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66D852">
      <w:pPr>
        <w:rPr>
          <w:rFonts w:ascii="仿宋_GB2312" w:hAnsi="仿宋_GB2312" w:eastAsia="仿宋_GB2312" w:cs="仿宋_GB2312"/>
          <w:color w:val="auto"/>
          <w:sz w:val="36"/>
          <w:szCs w:val="36"/>
          <w:highlight w:val="yellow"/>
        </w:rPr>
      </w:pPr>
    </w:p>
    <w:p w14:paraId="2170D058">
      <w:pPr>
        <w:rPr>
          <w:rFonts w:ascii="仿宋_GB2312" w:hAnsi="仿宋_GB2312" w:eastAsia="仿宋_GB2312" w:cs="仿宋_GB2312"/>
          <w:color w:val="auto"/>
          <w:sz w:val="36"/>
          <w:szCs w:val="36"/>
          <w:highlight w:val="yellow"/>
        </w:rPr>
      </w:pPr>
    </w:p>
    <w:p w14:paraId="0C1FDFEB">
      <w:pPr>
        <w:rPr>
          <w:rFonts w:ascii="仿宋_GB2312" w:hAnsi="仿宋_GB2312" w:eastAsia="仿宋_GB2312" w:cs="仿宋_GB2312"/>
          <w:color w:val="auto"/>
          <w:sz w:val="36"/>
          <w:szCs w:val="36"/>
          <w:highlight w:val="yellow"/>
        </w:rPr>
      </w:pPr>
    </w:p>
    <w:p w14:paraId="5FC68F1E">
      <w:pPr>
        <w:rPr>
          <w:rFonts w:hint="eastAsia" w:ascii="仿宋_GB2312" w:hAnsi="仿宋_GB2312" w:eastAsia="仿宋_GB2312" w:cs="仿宋_GB2312"/>
          <w:color w:val="auto"/>
          <w:sz w:val="36"/>
          <w:szCs w:val="36"/>
          <w:highlight w:val="yellow"/>
          <w:lang w:val="en-US" w:eastAsia="zh-CN"/>
        </w:rPr>
      </w:pPr>
    </w:p>
    <w:p w14:paraId="11643A06">
      <w:pPr>
        <w:rPr>
          <w:rFonts w:hint="eastAsia" w:ascii="仿宋_GB2312" w:hAnsi="仿宋_GB2312" w:eastAsia="仿宋_GB2312" w:cs="仿宋_GB2312"/>
          <w:color w:val="auto"/>
          <w:sz w:val="36"/>
          <w:szCs w:val="36"/>
          <w:highlight w:val="yellow"/>
        </w:rPr>
      </w:pPr>
    </w:p>
    <w:p w14:paraId="61DDE1C4">
      <w:pPr>
        <w:adjustRightInd w:val="0"/>
        <w:snapToGrid w:val="0"/>
        <w:jc w:val="center"/>
        <w:outlineLvl w:val="0"/>
        <w:rPr>
          <w:rFonts w:hint="eastAsia" w:ascii="方正小标宋_GBK" w:eastAsia="方正小标宋_GBK"/>
          <w:bCs/>
          <w:color w:val="auto"/>
          <w:sz w:val="72"/>
          <w:szCs w:val="72"/>
          <w:highlight w:val="none"/>
        </w:rPr>
      </w:pPr>
      <w:bookmarkStart w:id="0" w:name="_Toc31503"/>
      <w:r>
        <w:rPr>
          <w:rFonts w:hint="eastAsia" w:ascii="方正小标宋_GBK" w:eastAsia="方正小标宋_GBK"/>
          <w:bCs/>
          <w:color w:val="auto"/>
          <w:sz w:val="72"/>
          <w:szCs w:val="72"/>
          <w:highlight w:val="none"/>
        </w:rPr>
        <w:t>建设项目环境影响报告表</w:t>
      </w:r>
      <w:bookmarkEnd w:id="0"/>
    </w:p>
    <w:p w14:paraId="129BF5D8">
      <w:pPr>
        <w:adjustRightInd w:val="0"/>
        <w:snapToGrid w:val="0"/>
        <w:spacing w:before="192" w:beforeLines="80"/>
        <w:jc w:val="center"/>
        <w:rPr>
          <w:rFonts w:hint="eastAsia" w:ascii="楷体_GB2312" w:eastAsia="楷体_GB2312"/>
          <w:bCs/>
          <w:color w:val="auto"/>
          <w:sz w:val="48"/>
          <w:szCs w:val="48"/>
          <w:highlight w:val="none"/>
        </w:rPr>
      </w:pPr>
      <w:r>
        <w:rPr>
          <w:rFonts w:hint="eastAsia" w:ascii="楷体_GB2312" w:eastAsia="楷体_GB2312"/>
          <w:bCs/>
          <w:color w:val="auto"/>
          <w:sz w:val="48"/>
          <w:szCs w:val="48"/>
          <w:highlight w:val="none"/>
        </w:rPr>
        <w:t>（污染影响类）</w:t>
      </w:r>
    </w:p>
    <w:p w14:paraId="4408E184">
      <w:pPr>
        <w:adjustRightInd w:val="0"/>
        <w:snapToGrid w:val="0"/>
        <w:spacing w:line="288" w:lineRule="auto"/>
        <w:jc w:val="center"/>
        <w:outlineLvl w:val="9"/>
        <w:rPr>
          <w:rFonts w:ascii="华文仿宋" w:hAnsi="华文仿宋" w:eastAsia="华文仿宋" w:cs="华文仿宋"/>
          <w:color w:val="auto"/>
          <w:kern w:val="44"/>
          <w:sz w:val="44"/>
          <w:szCs w:val="44"/>
          <w:highlight w:val="yellow"/>
        </w:rPr>
      </w:pPr>
    </w:p>
    <w:p w14:paraId="1E6F4EEF">
      <w:pPr>
        <w:ind w:firstLine="1040"/>
        <w:rPr>
          <w:rFonts w:eastAsia="仿宋"/>
          <w:color w:val="auto"/>
          <w:sz w:val="44"/>
          <w:szCs w:val="44"/>
          <w:highlight w:val="yellow"/>
        </w:rPr>
      </w:pPr>
    </w:p>
    <w:p w14:paraId="4D9B823B">
      <w:pPr>
        <w:adjustRightInd w:val="0"/>
        <w:snapToGrid w:val="0"/>
        <w:spacing w:line="288" w:lineRule="auto"/>
        <w:ind w:left="0" w:leftChars="0" w:firstLine="957" w:firstLineChars="266"/>
        <w:jc w:val="left"/>
        <w:rPr>
          <w:rFonts w:hint="default" w:ascii="Times New Roman" w:hAnsi="Times New Roman" w:eastAsia="仿宋_GB2312"/>
          <w:color w:val="auto"/>
          <w:sz w:val="36"/>
          <w:szCs w:val="36"/>
          <w:highlight w:val="none"/>
          <w:u w:val="single"/>
          <w:lang w:val="en-US" w:eastAsia="zh-CN"/>
        </w:rPr>
      </w:pPr>
      <w:r>
        <w:rPr>
          <w:rFonts w:hint="eastAsia" w:ascii="Times New Roman" w:hAnsi="Times New Roman" w:eastAsia="仿宋_GB2312"/>
          <w:color w:val="auto"/>
          <w:sz w:val="36"/>
          <w:szCs w:val="36"/>
          <w:highlight w:val="none"/>
        </w:rPr>
        <w:t>项目名称：</w:t>
      </w:r>
      <w:r>
        <w:rPr>
          <w:rFonts w:hint="eastAsia" w:eastAsia="仿宋_GB2312"/>
          <w:color w:val="auto"/>
          <w:sz w:val="36"/>
          <w:szCs w:val="36"/>
          <w:highlight w:val="none"/>
          <w:u w:val="single"/>
          <w:lang w:val="en-US" w:eastAsia="zh-CN"/>
        </w:rPr>
        <w:t>年加工8000吨鲜黄花菜</w:t>
      </w:r>
      <w:r>
        <w:rPr>
          <w:rFonts w:hint="eastAsia" w:ascii="Times New Roman" w:hAnsi="Times New Roman" w:eastAsia="仿宋_GB2312"/>
          <w:color w:val="auto"/>
          <w:sz w:val="36"/>
          <w:szCs w:val="36"/>
          <w:highlight w:val="none"/>
          <w:u w:val="single"/>
          <w:lang w:val="en-US" w:eastAsia="zh-CN"/>
        </w:rPr>
        <w:t>项目</w:t>
      </w:r>
      <w:r>
        <w:rPr>
          <w:rFonts w:hint="eastAsia" w:eastAsia="仿宋_GB2312"/>
          <w:color w:val="auto"/>
          <w:sz w:val="36"/>
          <w:szCs w:val="36"/>
          <w:highlight w:val="none"/>
          <w:u w:val="single"/>
          <w:lang w:val="en-US" w:eastAsia="zh-CN"/>
        </w:rPr>
        <w:t xml:space="preserve">         </w:t>
      </w:r>
    </w:p>
    <w:p w14:paraId="18CBB12D">
      <w:pPr>
        <w:adjustRightInd w:val="0"/>
        <w:snapToGrid w:val="0"/>
        <w:spacing w:line="288" w:lineRule="auto"/>
        <w:ind w:left="0" w:leftChars="0" w:firstLine="957" w:firstLineChars="266"/>
        <w:jc w:val="left"/>
        <w:rPr>
          <w:rFonts w:hint="default" w:ascii="Times New Roman" w:hAnsi="Times New Roman" w:eastAsia="仿宋_GB2312"/>
          <w:color w:val="auto"/>
          <w:sz w:val="36"/>
          <w:szCs w:val="36"/>
          <w:highlight w:val="none"/>
          <w:u w:val="single"/>
          <w:lang w:val="en-US"/>
        </w:rPr>
      </w:pPr>
      <w:r>
        <w:rPr>
          <w:rFonts w:hint="eastAsia" w:ascii="Times New Roman" w:hAnsi="Times New Roman" w:eastAsia="仿宋_GB2312"/>
          <w:color w:val="auto"/>
          <w:sz w:val="36"/>
          <w:szCs w:val="36"/>
          <w:highlight w:val="none"/>
        </w:rPr>
        <w:t>建设单位：</w:t>
      </w:r>
      <w:r>
        <w:rPr>
          <w:rFonts w:hint="eastAsia" w:eastAsia="仿宋_GB2312" w:cs="Times New Roman"/>
          <w:color w:val="auto"/>
          <w:sz w:val="36"/>
          <w:szCs w:val="36"/>
          <w:highlight w:val="none"/>
          <w:u w:val="single"/>
          <w:lang w:val="en-US" w:eastAsia="zh-CN"/>
        </w:rPr>
        <w:t xml:space="preserve">湖南利胜达生态农业科技开发有限公司      </w:t>
      </w:r>
    </w:p>
    <w:p w14:paraId="2C681DE1">
      <w:pPr>
        <w:adjustRightInd w:val="0"/>
        <w:snapToGrid w:val="0"/>
        <w:spacing w:line="288" w:lineRule="auto"/>
        <w:ind w:left="0" w:leftChars="0" w:firstLine="957" w:firstLineChars="266"/>
        <w:jc w:val="left"/>
        <w:rPr>
          <w:rFonts w:hint="default" w:ascii="Times New Roman" w:hAnsi="Times New Roman" w:eastAsia="仿宋_GB2312"/>
          <w:color w:val="auto"/>
          <w:sz w:val="36"/>
          <w:szCs w:val="36"/>
          <w:highlight w:val="none"/>
          <w:u w:val="single"/>
          <w:lang w:val="en-US"/>
        </w:rPr>
      </w:pPr>
      <w:r>
        <w:rPr>
          <w:rFonts w:hint="eastAsia" w:ascii="Times New Roman" w:hAnsi="Times New Roman" w:eastAsia="仿宋_GB2312"/>
          <w:color w:val="auto"/>
          <w:sz w:val="36"/>
          <w:szCs w:val="36"/>
          <w:highlight w:val="none"/>
        </w:rPr>
        <w:t>编制日期：</w:t>
      </w:r>
      <w:r>
        <w:rPr>
          <w:rFonts w:hint="eastAsia" w:ascii="Times New Roman" w:hAnsi="Times New Roman" w:eastAsia="仿宋_GB2312" w:cs="Times New Roman"/>
          <w:color w:val="auto"/>
          <w:sz w:val="36"/>
          <w:szCs w:val="36"/>
          <w:highlight w:val="none"/>
          <w:u w:val="single"/>
          <w:lang w:val="en-US" w:eastAsia="zh-CN"/>
        </w:rPr>
        <w:t xml:space="preserve">      </w:t>
      </w:r>
      <w:r>
        <w:rPr>
          <w:rFonts w:hint="default" w:ascii="Times New Roman" w:hAnsi="Times New Roman" w:eastAsia="仿宋_GB2312" w:cs="Times New Roman"/>
          <w:color w:val="auto"/>
          <w:sz w:val="36"/>
          <w:szCs w:val="36"/>
          <w:highlight w:val="none"/>
          <w:u w:val="single"/>
          <w:lang w:val="en-US" w:eastAsia="zh-CN"/>
        </w:rPr>
        <w:t>202</w:t>
      </w:r>
      <w:r>
        <w:rPr>
          <w:rFonts w:hint="eastAsia" w:eastAsia="仿宋_GB2312" w:cs="Times New Roman"/>
          <w:color w:val="auto"/>
          <w:sz w:val="36"/>
          <w:szCs w:val="36"/>
          <w:highlight w:val="none"/>
          <w:u w:val="single"/>
          <w:lang w:val="en-US" w:eastAsia="zh-CN"/>
        </w:rPr>
        <w:t>5</w:t>
      </w:r>
      <w:r>
        <w:rPr>
          <w:rFonts w:hint="eastAsia" w:ascii="Times New Roman" w:hAnsi="Times New Roman" w:eastAsia="仿宋_GB2312" w:cs="Times New Roman"/>
          <w:color w:val="auto"/>
          <w:sz w:val="36"/>
          <w:szCs w:val="36"/>
          <w:highlight w:val="none"/>
          <w:u w:val="single"/>
          <w:lang w:val="en-US" w:eastAsia="zh-CN"/>
        </w:rPr>
        <w:t>年</w:t>
      </w:r>
      <w:r>
        <w:rPr>
          <w:rFonts w:hint="eastAsia" w:eastAsia="仿宋_GB2312" w:cs="Times New Roman"/>
          <w:color w:val="auto"/>
          <w:sz w:val="36"/>
          <w:szCs w:val="36"/>
          <w:highlight w:val="none"/>
          <w:u w:val="single"/>
          <w:lang w:val="en-US" w:eastAsia="zh-CN"/>
        </w:rPr>
        <w:t>7</w:t>
      </w:r>
      <w:r>
        <w:rPr>
          <w:rFonts w:hint="eastAsia" w:ascii="Times New Roman" w:hAnsi="Times New Roman" w:eastAsia="仿宋_GB2312" w:cs="Times New Roman"/>
          <w:color w:val="auto"/>
          <w:sz w:val="36"/>
          <w:szCs w:val="36"/>
          <w:highlight w:val="none"/>
          <w:u w:val="single"/>
          <w:lang w:val="en-US" w:eastAsia="zh-CN"/>
        </w:rPr>
        <w:t>月</w:t>
      </w:r>
      <w:r>
        <w:rPr>
          <w:rFonts w:hint="eastAsia" w:eastAsia="仿宋_GB2312" w:cs="Times New Roman"/>
          <w:color w:val="auto"/>
          <w:sz w:val="36"/>
          <w:szCs w:val="36"/>
          <w:highlight w:val="none"/>
          <w:u w:val="single"/>
          <w:lang w:val="en-US" w:eastAsia="zh-CN"/>
        </w:rPr>
        <w:t xml:space="preserve">                 </w:t>
      </w:r>
    </w:p>
    <w:p w14:paraId="7A2F3C57">
      <w:pPr>
        <w:adjustRightInd w:val="0"/>
        <w:snapToGrid w:val="0"/>
        <w:spacing w:line="288" w:lineRule="auto"/>
        <w:ind w:firstLine="1040"/>
        <w:rPr>
          <w:rFonts w:ascii="仿宋_GB2312" w:eastAsia="仿宋_GB2312"/>
          <w:color w:val="auto"/>
          <w:sz w:val="36"/>
          <w:szCs w:val="36"/>
          <w:highlight w:val="yellow"/>
          <w:u w:val="single"/>
        </w:rPr>
      </w:pPr>
      <w:bookmarkStart w:id="1" w:name="_Hlk57884087"/>
    </w:p>
    <w:p w14:paraId="401D5034">
      <w:pPr>
        <w:adjustRightInd w:val="0"/>
        <w:snapToGrid w:val="0"/>
        <w:spacing w:line="288" w:lineRule="auto"/>
        <w:ind w:firstLine="1040"/>
        <w:rPr>
          <w:rFonts w:ascii="仿宋_GB2312" w:eastAsia="仿宋_GB2312"/>
          <w:color w:val="auto"/>
          <w:sz w:val="36"/>
          <w:szCs w:val="36"/>
          <w:highlight w:val="yellow"/>
        </w:rPr>
      </w:pPr>
    </w:p>
    <w:p w14:paraId="3BEB40B0">
      <w:pPr>
        <w:adjustRightInd w:val="0"/>
        <w:snapToGrid w:val="0"/>
        <w:spacing w:line="288" w:lineRule="auto"/>
        <w:ind w:firstLine="1040"/>
        <w:rPr>
          <w:rFonts w:hint="eastAsia" w:ascii="仿宋_GB2312" w:eastAsia="仿宋_GB2312"/>
          <w:color w:val="auto"/>
          <w:sz w:val="36"/>
          <w:szCs w:val="36"/>
          <w:highlight w:val="yellow"/>
        </w:rPr>
      </w:pPr>
    </w:p>
    <w:p w14:paraId="7EF7A3E8">
      <w:pPr>
        <w:adjustRightInd w:val="0"/>
        <w:snapToGrid w:val="0"/>
        <w:spacing w:line="288" w:lineRule="auto"/>
        <w:ind w:firstLine="1040"/>
        <w:rPr>
          <w:rFonts w:hint="eastAsia" w:ascii="仿宋_GB2312" w:eastAsia="仿宋_GB2312"/>
          <w:color w:val="auto"/>
          <w:sz w:val="36"/>
          <w:szCs w:val="36"/>
          <w:highlight w:val="yellow"/>
        </w:rPr>
      </w:pPr>
    </w:p>
    <w:bookmarkEnd w:id="1"/>
    <w:p w14:paraId="11474BD4">
      <w:pPr>
        <w:adjustRightInd w:val="0"/>
        <w:snapToGrid w:val="0"/>
        <w:spacing w:line="288" w:lineRule="auto"/>
        <w:jc w:val="center"/>
        <w:outlineLvl w:val="0"/>
        <w:rPr>
          <w:rFonts w:hint="eastAsia" w:ascii="楷体_GB2312" w:eastAsia="楷体_GB2312"/>
          <w:color w:val="auto"/>
          <w:sz w:val="36"/>
          <w:szCs w:val="36"/>
          <w:highlight w:val="none"/>
        </w:rPr>
      </w:pPr>
      <w:bookmarkStart w:id="2" w:name="_Toc7177"/>
      <w:r>
        <w:rPr>
          <w:rFonts w:hint="eastAsia" w:ascii="楷体_GB2312" w:eastAsia="楷体_GB2312"/>
          <w:color w:val="auto"/>
          <w:sz w:val="36"/>
          <w:szCs w:val="36"/>
          <w:highlight w:val="none"/>
        </w:rPr>
        <w:t>中华人民共和国生态环境部制</w:t>
      </w:r>
      <w:bookmarkEnd w:id="2"/>
    </w:p>
    <w:p w14:paraId="001BE589">
      <w:pPr>
        <w:adjustRightInd w:val="0"/>
        <w:snapToGrid w:val="0"/>
        <w:spacing w:line="288" w:lineRule="auto"/>
        <w:ind w:firstLine="1040"/>
        <w:rPr>
          <w:rFonts w:ascii="仿宋_GB2312" w:eastAsia="仿宋_GB2312"/>
          <w:color w:val="auto"/>
          <w:sz w:val="36"/>
          <w:szCs w:val="36"/>
          <w:highlight w:val="none"/>
        </w:rPr>
        <w:sectPr>
          <w:footerReference r:id="rId5" w:type="default"/>
          <w:footerReference r:id="rId6" w:type="even"/>
          <w:pgSz w:w="11906" w:h="16838"/>
          <w:pgMar w:top="1701" w:right="1531" w:bottom="1701" w:left="1531" w:header="851" w:footer="1077" w:gutter="0"/>
          <w:pgBorders>
            <w:top w:val="none" w:sz="0" w:space="0"/>
            <w:left w:val="none" w:sz="0" w:space="0"/>
            <w:bottom w:val="none" w:sz="0" w:space="0"/>
            <w:right w:val="none" w:sz="0" w:space="0"/>
          </w:pgBorders>
          <w:pgNumType w:fmt="decimal" w:start="3"/>
          <w:cols w:space="720" w:num="1"/>
          <w:docGrid w:linePitch="312" w:charSpace="0"/>
        </w:sectPr>
      </w:pPr>
    </w:p>
    <w:p w14:paraId="6436FB43">
      <w:pPr>
        <w:adjustRightInd w:val="0"/>
        <w:snapToGrid w:val="0"/>
        <w:spacing w:line="288" w:lineRule="auto"/>
        <w:jc w:val="center"/>
        <w:rPr>
          <w:rFonts w:ascii="仿宋_GB2312" w:eastAsia="仿宋_GB2312"/>
          <w:color w:val="auto"/>
          <w:sz w:val="36"/>
          <w:szCs w:val="36"/>
          <w:highlight w:val="none"/>
        </w:rPr>
        <w:sectPr>
          <w:pgSz w:w="11906" w:h="16838"/>
          <w:pgMar w:top="1701" w:right="1531" w:bottom="1701" w:left="1531" w:header="851" w:footer="1077" w:gutter="0"/>
          <w:pgBorders>
            <w:top w:val="none" w:sz="0" w:space="0"/>
            <w:left w:val="none" w:sz="0" w:space="0"/>
            <w:bottom w:val="none" w:sz="0" w:space="0"/>
            <w:right w:val="none" w:sz="0" w:space="0"/>
          </w:pgBorders>
          <w:pgNumType w:fmt="decimal" w:start="3"/>
          <w:cols w:space="720" w:num="1"/>
          <w:docGrid w:linePitch="312" w:charSpace="0"/>
        </w:sectPr>
      </w:pPr>
      <w:r>
        <w:drawing>
          <wp:inline distT="0" distB="0" distL="114300" distR="114300">
            <wp:extent cx="5612765" cy="7580630"/>
            <wp:effectExtent l="0" t="0" r="6985" b="127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5"/>
                    <a:stretch>
                      <a:fillRect/>
                    </a:stretch>
                  </pic:blipFill>
                  <pic:spPr>
                    <a:xfrm>
                      <a:off x="0" y="0"/>
                      <a:ext cx="5612765" cy="7580630"/>
                    </a:xfrm>
                    <a:prstGeom prst="rect">
                      <a:avLst/>
                    </a:prstGeom>
                    <a:noFill/>
                    <a:ln>
                      <a:noFill/>
                    </a:ln>
                  </pic:spPr>
                </pic:pic>
              </a:graphicData>
            </a:graphic>
          </wp:inline>
        </w:drawing>
      </w:r>
    </w:p>
    <w:p w14:paraId="0C8CC91A">
      <w:pPr>
        <w:rPr>
          <w:rFonts w:hint="default" w:ascii="Times New Roman" w:hAnsi="Times New Roman" w:eastAsia="宋体" w:cs="Times New Roman"/>
          <w:color w:val="auto"/>
          <w:sz w:val="36"/>
          <w:szCs w:val="36"/>
          <w:highlight w:val="none"/>
          <w:lang w:val="en-US" w:eastAsia="zh-CN"/>
        </w:rPr>
        <w:sectPr>
          <w:footerReference r:id="rId7" w:type="default"/>
          <w:pgSz w:w="16838" w:h="11906" w:orient="landscape"/>
          <w:pgMar w:top="1531" w:right="1701" w:bottom="1531" w:left="1701" w:header="851" w:footer="1077" w:gutter="0"/>
          <w:pgBorders>
            <w:top w:val="none" w:sz="0" w:space="0"/>
            <w:left w:val="none" w:sz="0" w:space="0"/>
            <w:bottom w:val="none" w:sz="0" w:space="0"/>
            <w:right w:val="none" w:sz="0" w:space="0"/>
          </w:pgBorders>
          <w:pgNumType w:fmt="decimal" w:start="1"/>
          <w:cols w:space="720" w:num="1"/>
          <w:docGrid w:linePitch="312" w:charSpace="0"/>
        </w:sectPr>
      </w:pPr>
      <w:r>
        <w:rPr>
          <w:color w:val="auto"/>
          <w:sz w:val="36"/>
          <w:highlight w:val="none"/>
        </w:rPr>
        <mc:AlternateContent>
          <mc:Choice Requires="wps">
            <w:drawing>
              <wp:anchor distT="0" distB="0" distL="114300" distR="114300" simplePos="0" relativeHeight="251662336" behindDoc="0" locked="0" layoutInCell="1" allowOverlap="1">
                <wp:simplePos x="0" y="0"/>
                <wp:positionH relativeFrom="column">
                  <wp:posOffset>697230</wp:posOffset>
                </wp:positionH>
                <wp:positionV relativeFrom="paragraph">
                  <wp:posOffset>2957830</wp:posOffset>
                </wp:positionV>
                <wp:extent cx="7450455" cy="578485"/>
                <wp:effectExtent l="0" t="0" r="17145" b="12065"/>
                <wp:wrapNone/>
                <wp:docPr id="9" name="文本框 9"/>
                <wp:cNvGraphicFramePr/>
                <a:graphic xmlns:a="http://schemas.openxmlformats.org/drawingml/2006/main">
                  <a:graphicData uri="http://schemas.microsoft.com/office/word/2010/wordprocessingShape">
                    <wps:wsp>
                      <wps:cNvSpPr txBox="1"/>
                      <wps:spPr>
                        <a:xfrm>
                          <a:off x="0" y="0"/>
                          <a:ext cx="7450455" cy="578485"/>
                        </a:xfrm>
                        <a:prstGeom prst="rect">
                          <a:avLst/>
                        </a:prstGeom>
                        <a:solidFill>
                          <a:srgbClr val="FFFFFF">
                            <a:alpha val="50000"/>
                          </a:srgbClr>
                        </a:solidFill>
                        <a:ln>
                          <a:noFill/>
                        </a:ln>
                      </wps:spPr>
                      <wps:txbx>
                        <w:txbxContent>
                          <w:p w14:paraId="66CBAA55">
                            <w:pPr>
                              <w:jc w:val="center"/>
                              <w:rPr>
                                <w:rFonts w:hint="default" w:ascii="华文行楷" w:hAnsi="华文行楷" w:eastAsia="华文行楷" w:cs="华文行楷"/>
                                <w:color w:val="FF0000"/>
                                <w:sz w:val="52"/>
                                <w:szCs w:val="60"/>
                                <w:shd w:val="clear" w:color="auto" w:fill="auto"/>
                                <w:lang w:val="en-US" w:eastAsia="zh-CN"/>
                              </w:rPr>
                            </w:pPr>
                            <w:r>
                              <w:rPr>
                                <w:rFonts w:hint="eastAsia" w:ascii="华文行楷" w:hAnsi="华文行楷" w:eastAsia="华文行楷" w:cs="华文行楷"/>
                                <w:color w:val="FF0000"/>
                                <w:sz w:val="52"/>
                                <w:szCs w:val="60"/>
                                <w:shd w:val="clear" w:color="auto" w:fill="auto"/>
                                <w:lang w:val="en-US" w:eastAsia="zh-CN"/>
                              </w:rPr>
                              <w:t>仅用于年加工8000吨鲜黄花菜项目环境影响评价</w:t>
                            </w:r>
                          </w:p>
                        </w:txbxContent>
                      </wps:txbx>
                      <wps:bodyPr upright="1"/>
                    </wps:wsp>
                  </a:graphicData>
                </a:graphic>
              </wp:anchor>
            </w:drawing>
          </mc:Choice>
          <mc:Fallback>
            <w:pict>
              <v:shape id="_x0000_s1026" o:spid="_x0000_s1026" o:spt="202" type="#_x0000_t202" style="position:absolute;left:0pt;margin-left:54.9pt;margin-top:232.9pt;height:45.55pt;width:586.65pt;z-index:251662336;mso-width-relative:page;mso-height-relative:page;" fillcolor="#FFFFFF" filled="t" stroked="f" coordsize="21600,21600" o:gfxdata="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krtguNoAAAAMAQAADwAAAAAAAAABACAAAAAi&#10;AAAAZHJzL2Rvd25yZXYueG1sUEsBAhQAFAAAAAgAh07iQPat76bPAQAAmAMAAA4AAAAAAAAAAQAg&#10;AAAAKQEAAGRycy9lMm9Eb2MueG1sUEsFBgAAAAAGAAYAWQEAAGoFAAAAAA==&#10;">
                <v:fill on="t" opacity="32768f" focussize="0,0"/>
                <v:stroke on="f"/>
                <v:imagedata o:title=""/>
                <o:lock v:ext="edit" aspectratio="f"/>
                <v:textbox>
                  <w:txbxContent>
                    <w:p w14:paraId="66CBAA55">
                      <w:pPr>
                        <w:jc w:val="center"/>
                        <w:rPr>
                          <w:rFonts w:hint="default" w:ascii="华文行楷" w:hAnsi="华文行楷" w:eastAsia="华文行楷" w:cs="华文行楷"/>
                          <w:color w:val="FF0000"/>
                          <w:sz w:val="52"/>
                          <w:szCs w:val="60"/>
                          <w:shd w:val="clear" w:color="auto" w:fill="auto"/>
                          <w:lang w:val="en-US" w:eastAsia="zh-CN"/>
                        </w:rPr>
                      </w:pPr>
                      <w:r>
                        <w:rPr>
                          <w:rFonts w:hint="eastAsia" w:ascii="华文行楷" w:hAnsi="华文行楷" w:eastAsia="华文行楷" w:cs="华文行楷"/>
                          <w:color w:val="FF0000"/>
                          <w:sz w:val="52"/>
                          <w:szCs w:val="60"/>
                          <w:shd w:val="clear" w:color="auto" w:fill="auto"/>
                          <w:lang w:val="en-US" w:eastAsia="zh-CN"/>
                        </w:rPr>
                        <w:t>仅用于年加工8000吨鲜黄花菜项目环境影响评价</w:t>
                      </w:r>
                    </w:p>
                  </w:txbxContent>
                </v:textbox>
              </v:shape>
            </w:pict>
          </mc:Fallback>
        </mc:AlternateContent>
      </w:r>
      <w:r>
        <w:rPr>
          <w:rFonts w:hint="default" w:ascii="Times New Roman" w:hAnsi="Times New Roman" w:eastAsia="宋体" w:cs="Times New Roman"/>
          <w:color w:val="auto"/>
          <w:sz w:val="36"/>
          <w:szCs w:val="36"/>
          <w:highlight w:val="none"/>
          <w:lang w:val="en-US" w:eastAsia="zh-CN"/>
        </w:rPr>
        <w:drawing>
          <wp:inline distT="0" distB="0" distL="114300" distR="114300">
            <wp:extent cx="8528050" cy="6045835"/>
            <wp:effectExtent l="0" t="0" r="6350" b="12065"/>
            <wp:docPr id="5" name="图片 5" descr="博科营业执照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博科营业执照副本"/>
                    <pic:cNvPicPr>
                      <a:picLocks noChangeAspect="1"/>
                    </pic:cNvPicPr>
                  </pic:nvPicPr>
                  <pic:blipFill>
                    <a:blip r:embed="rId16"/>
                    <a:stretch>
                      <a:fillRect/>
                    </a:stretch>
                  </pic:blipFill>
                  <pic:spPr>
                    <a:xfrm>
                      <a:off x="0" y="0"/>
                      <a:ext cx="8528050" cy="6045835"/>
                    </a:xfrm>
                    <a:prstGeom prst="rect">
                      <a:avLst/>
                    </a:prstGeom>
                    <a:noFill/>
                    <a:ln>
                      <a:noFill/>
                    </a:ln>
                  </pic:spPr>
                </pic:pic>
              </a:graphicData>
            </a:graphic>
          </wp:inline>
        </w:drawing>
      </w:r>
    </w:p>
    <w:p w14:paraId="41DF9924">
      <w:pPr>
        <w:pageBreakBefore w:val="0"/>
        <w:kinsoku/>
        <w:topLinePunct w:val="0"/>
        <w:bidi w:val="0"/>
        <w:adjustRightInd w:val="0"/>
        <w:snapToGrid w:val="0"/>
        <w:spacing w:line="240" w:lineRule="auto"/>
        <w:ind w:left="0" w:leftChars="0" w:right="0" w:rightChars="0" w:firstLine="0" w:firstLineChars="0"/>
        <w:jc w:val="center"/>
        <w:rPr>
          <w:rFonts w:hint="default" w:ascii="Times New Roman" w:hAnsi="Times New Roman" w:eastAsia="宋体" w:cs="Times New Roman"/>
          <w:color w:val="auto"/>
          <w:sz w:val="36"/>
          <w:szCs w:val="36"/>
          <w:highlight w:val="none"/>
          <w:lang w:val="en-US" w:eastAsia="zh-CN"/>
        </w:rPr>
        <w:sectPr>
          <w:footerReference r:id="rId8" w:type="default"/>
          <w:pgSz w:w="16838" w:h="11906" w:orient="landscape"/>
          <w:pgMar w:top="1531" w:right="1701" w:bottom="1531" w:left="1701" w:header="851" w:footer="1077" w:gutter="0"/>
          <w:pgBorders>
            <w:top w:val="none" w:sz="0" w:space="0"/>
            <w:left w:val="none" w:sz="0" w:space="0"/>
            <w:bottom w:val="none" w:sz="0" w:space="0"/>
            <w:right w:val="none" w:sz="0" w:space="0"/>
          </w:pgBorders>
          <w:pgNumType w:fmt="decimal" w:start="1"/>
          <w:cols w:space="720" w:num="1"/>
          <w:docGrid w:linePitch="312" w:charSpace="0"/>
        </w:sectPr>
      </w:pPr>
      <w:r>
        <w:rPr>
          <w:color w:val="auto"/>
          <w:sz w:val="36"/>
          <w:highlight w:val="none"/>
        </w:rPr>
        <mc:AlternateContent>
          <mc:Choice Requires="wps">
            <w:drawing>
              <wp:anchor distT="0" distB="0" distL="114300" distR="114300" simplePos="0" relativeHeight="251663360" behindDoc="0" locked="0" layoutInCell="1" allowOverlap="1">
                <wp:simplePos x="0" y="0"/>
                <wp:positionH relativeFrom="column">
                  <wp:posOffset>1577340</wp:posOffset>
                </wp:positionH>
                <wp:positionV relativeFrom="paragraph">
                  <wp:posOffset>2878455</wp:posOffset>
                </wp:positionV>
                <wp:extent cx="5536565" cy="1212215"/>
                <wp:effectExtent l="0" t="0" r="6985" b="6985"/>
                <wp:wrapNone/>
                <wp:docPr id="6" name="文本框 6"/>
                <wp:cNvGraphicFramePr/>
                <a:graphic xmlns:a="http://schemas.openxmlformats.org/drawingml/2006/main">
                  <a:graphicData uri="http://schemas.microsoft.com/office/word/2010/wordprocessingShape">
                    <wps:wsp>
                      <wps:cNvSpPr txBox="1"/>
                      <wps:spPr>
                        <a:xfrm>
                          <a:off x="0" y="0"/>
                          <a:ext cx="5536565" cy="1212215"/>
                        </a:xfrm>
                        <a:prstGeom prst="rect">
                          <a:avLst/>
                        </a:prstGeom>
                        <a:solidFill>
                          <a:srgbClr val="FFFFFF">
                            <a:alpha val="50000"/>
                          </a:srgbClr>
                        </a:solidFill>
                        <a:ln>
                          <a:noFill/>
                        </a:ln>
                      </wps:spPr>
                      <wps:txbx>
                        <w:txbxContent>
                          <w:p w14:paraId="75EA16D9">
                            <w:pPr>
                              <w:jc w:val="center"/>
                              <w:rPr>
                                <w:rFonts w:hint="default" w:ascii="华文行楷" w:hAnsi="华文行楷" w:eastAsia="华文行楷" w:cs="华文行楷"/>
                                <w:color w:val="FF0000"/>
                                <w:sz w:val="52"/>
                                <w:szCs w:val="60"/>
                                <w:shd w:val="clear" w:color="auto" w:fill="auto"/>
                                <w:lang w:val="en-US" w:eastAsia="zh-CN"/>
                              </w:rPr>
                            </w:pPr>
                            <w:r>
                              <w:rPr>
                                <w:rFonts w:hint="eastAsia" w:ascii="华文行楷" w:hAnsi="华文行楷" w:eastAsia="华文行楷" w:cs="华文行楷"/>
                                <w:color w:val="FF0000"/>
                                <w:sz w:val="52"/>
                                <w:szCs w:val="60"/>
                                <w:shd w:val="clear" w:color="auto" w:fill="auto"/>
                                <w:lang w:val="en-US" w:eastAsia="zh-CN"/>
                              </w:rPr>
                              <w:t>仅用于年加工8000吨鲜黄花菜项目环境影响评价</w:t>
                            </w:r>
                          </w:p>
                          <w:p w14:paraId="03C44C1F">
                            <w:pPr>
                              <w:rPr>
                                <w:rFonts w:hint="default"/>
                                <w:lang w:val="en-US" w:eastAsia="zh-CN"/>
                              </w:rPr>
                            </w:pPr>
                          </w:p>
                        </w:txbxContent>
                      </wps:txbx>
                      <wps:bodyPr upright="1"/>
                    </wps:wsp>
                  </a:graphicData>
                </a:graphic>
              </wp:anchor>
            </w:drawing>
          </mc:Choice>
          <mc:Fallback>
            <w:pict>
              <v:shape id="_x0000_s1026" o:spid="_x0000_s1026" o:spt="202" type="#_x0000_t202" style="position:absolute;left:0pt;margin-left:124.2pt;margin-top:226.65pt;height:95.45pt;width:435.95pt;z-index:251663360;mso-width-relative:page;mso-height-relative:page;" fillcolor="#FFFFFF" filled="t" stroked="f" coordsize="21600,21600" o:gfxdata="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od6qe2gAAAAwBAAAPAAAAAAAAAAEAIAAAACIA&#10;AABkcnMvZG93bnJldi54bWxQSwECFAAUAAAACACHTuJAd6F4Cs4BAACZAwAADgAAAAAAAAABACAA&#10;AAApAQAAZHJzL2Uyb0RvYy54bWxQSwUGAAAAAAYABgBZAQAAaQUAAAAA&#10;">
                <v:fill on="t" opacity="32768f" focussize="0,0"/>
                <v:stroke on="f"/>
                <v:imagedata o:title=""/>
                <o:lock v:ext="edit" aspectratio="f"/>
                <v:textbox>
                  <w:txbxContent>
                    <w:p w14:paraId="75EA16D9">
                      <w:pPr>
                        <w:jc w:val="center"/>
                        <w:rPr>
                          <w:rFonts w:hint="default" w:ascii="华文行楷" w:hAnsi="华文行楷" w:eastAsia="华文行楷" w:cs="华文行楷"/>
                          <w:color w:val="FF0000"/>
                          <w:sz w:val="52"/>
                          <w:szCs w:val="60"/>
                          <w:shd w:val="clear" w:color="auto" w:fill="auto"/>
                          <w:lang w:val="en-US" w:eastAsia="zh-CN"/>
                        </w:rPr>
                      </w:pPr>
                      <w:r>
                        <w:rPr>
                          <w:rFonts w:hint="eastAsia" w:ascii="华文行楷" w:hAnsi="华文行楷" w:eastAsia="华文行楷" w:cs="华文行楷"/>
                          <w:color w:val="FF0000"/>
                          <w:sz w:val="52"/>
                          <w:szCs w:val="60"/>
                          <w:shd w:val="clear" w:color="auto" w:fill="auto"/>
                          <w:lang w:val="en-US" w:eastAsia="zh-CN"/>
                        </w:rPr>
                        <w:t>仅用于年加工8000吨鲜黄花菜项目环境影响评价</w:t>
                      </w:r>
                    </w:p>
                    <w:p w14:paraId="03C44C1F">
                      <w:pPr>
                        <w:rPr>
                          <w:rFonts w:hint="default"/>
                          <w:lang w:val="en-US" w:eastAsia="zh-CN"/>
                        </w:rPr>
                      </w:pPr>
                    </w:p>
                  </w:txbxContent>
                </v:textbox>
              </v:shape>
            </w:pict>
          </mc:Fallback>
        </mc:AlternateContent>
      </w:r>
      <w:r>
        <w:rPr>
          <w:highlight w:val="none"/>
        </w:rPr>
        <w:drawing>
          <wp:inline distT="0" distB="0" distL="114300" distR="114300">
            <wp:extent cx="8529955" cy="6002655"/>
            <wp:effectExtent l="0" t="0" r="4445" b="171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tretch>
                      <a:fillRect/>
                    </a:stretch>
                  </pic:blipFill>
                  <pic:spPr>
                    <a:xfrm>
                      <a:off x="0" y="0"/>
                      <a:ext cx="8529955" cy="6002655"/>
                    </a:xfrm>
                    <a:prstGeom prst="rect">
                      <a:avLst/>
                    </a:prstGeom>
                    <a:noFill/>
                    <a:ln>
                      <a:noFill/>
                    </a:ln>
                  </pic:spPr>
                </pic:pic>
              </a:graphicData>
            </a:graphic>
          </wp:inline>
        </w:drawing>
      </w:r>
    </w:p>
    <w:p w14:paraId="7A510C73">
      <w:pPr>
        <w:bidi w:val="0"/>
        <w:jc w:val="center"/>
        <w:rPr>
          <w:rFonts w:hint="eastAsia" w:eastAsia="宋体"/>
          <w:highlight w:val="none"/>
          <w:lang w:val="en-US" w:eastAsia="zh-CN"/>
        </w:rPr>
      </w:pPr>
      <w:r>
        <w:rPr>
          <w:highlight w:val="none"/>
        </w:rPr>
        <mc:AlternateContent>
          <mc:Choice Requires="wps">
            <w:drawing>
              <wp:anchor distT="0" distB="0" distL="114300" distR="114300" simplePos="0" relativeHeight="251664384" behindDoc="0" locked="0" layoutInCell="1" allowOverlap="1">
                <wp:simplePos x="0" y="0"/>
                <wp:positionH relativeFrom="column">
                  <wp:posOffset>110490</wp:posOffset>
                </wp:positionH>
                <wp:positionV relativeFrom="paragraph">
                  <wp:posOffset>917575</wp:posOffset>
                </wp:positionV>
                <wp:extent cx="5536565" cy="1184910"/>
                <wp:effectExtent l="0" t="0" r="6985" b="15240"/>
                <wp:wrapNone/>
                <wp:docPr id="20" name="文本框 20"/>
                <wp:cNvGraphicFramePr/>
                <a:graphic xmlns:a="http://schemas.openxmlformats.org/drawingml/2006/main">
                  <a:graphicData uri="http://schemas.microsoft.com/office/word/2010/wordprocessingShape">
                    <wps:wsp>
                      <wps:cNvSpPr txBox="1"/>
                      <wps:spPr>
                        <a:xfrm>
                          <a:off x="0" y="0"/>
                          <a:ext cx="5536565" cy="1184910"/>
                        </a:xfrm>
                        <a:prstGeom prst="rect">
                          <a:avLst/>
                        </a:prstGeom>
                        <a:solidFill>
                          <a:srgbClr val="FFFFFF">
                            <a:alpha val="50000"/>
                          </a:srgbClr>
                        </a:solidFill>
                        <a:ln>
                          <a:noFill/>
                        </a:ln>
                      </wps:spPr>
                      <wps:txbx>
                        <w:txbxContent>
                          <w:p w14:paraId="3244BB34">
                            <w:pPr>
                              <w:jc w:val="center"/>
                              <w:rPr>
                                <w:rFonts w:hint="default"/>
                                <w:lang w:val="en-US" w:eastAsia="zh-CN"/>
                              </w:rPr>
                            </w:pPr>
                            <w:r>
                              <w:rPr>
                                <w:rFonts w:hint="eastAsia" w:ascii="华文行楷" w:hAnsi="华文行楷" w:eastAsia="华文行楷" w:cs="华文行楷"/>
                                <w:color w:val="FF0000"/>
                                <w:sz w:val="52"/>
                                <w:szCs w:val="60"/>
                                <w:shd w:val="clear" w:color="auto" w:fill="auto"/>
                                <w:lang w:val="en-US" w:eastAsia="zh-CN"/>
                              </w:rPr>
                              <w:t>仅用于年加工8000吨鲜黄花菜项目环境影响评价</w:t>
                            </w:r>
                          </w:p>
                        </w:txbxContent>
                      </wps:txbx>
                      <wps:bodyPr upright="1"/>
                    </wps:wsp>
                  </a:graphicData>
                </a:graphic>
              </wp:anchor>
            </w:drawing>
          </mc:Choice>
          <mc:Fallback>
            <w:pict>
              <v:shape id="_x0000_s1026" o:spid="_x0000_s1026" o:spt="202" type="#_x0000_t202" style="position:absolute;left:0pt;margin-left:8.7pt;margin-top:72.25pt;height:93.3pt;width:435.95pt;z-index:251664384;mso-width-relative:page;mso-height-relative:page;" fillcolor="#FFFFFF" filled="t" stroked="f" coordsize="21600,21600" o:gfxdata="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DUPgJt2QAAAAoBAAAPAAAAAAAAAAEAIAAA&#10;ACIAAABkcnMvZG93bnJldi54bWxQSwECFAAUAAAACACHTuJA2k6DjdIBAACbAwAADgAAAAAAAAAB&#10;ACAAAAAoAQAAZHJzL2Uyb0RvYy54bWxQSwUGAAAAAAYABgBZAQAAbAUAAAAA&#10;">
                <v:fill on="t" opacity="32768f" focussize="0,0"/>
                <v:stroke on="f"/>
                <v:imagedata o:title=""/>
                <o:lock v:ext="edit" aspectratio="f"/>
                <v:textbox>
                  <w:txbxContent>
                    <w:p w14:paraId="3244BB34">
                      <w:pPr>
                        <w:jc w:val="center"/>
                        <w:rPr>
                          <w:rFonts w:hint="default"/>
                          <w:lang w:val="en-US" w:eastAsia="zh-CN"/>
                        </w:rPr>
                      </w:pPr>
                      <w:r>
                        <w:rPr>
                          <w:rFonts w:hint="eastAsia" w:ascii="华文行楷" w:hAnsi="华文行楷" w:eastAsia="华文行楷" w:cs="华文行楷"/>
                          <w:color w:val="FF0000"/>
                          <w:sz w:val="52"/>
                          <w:szCs w:val="60"/>
                          <w:shd w:val="clear" w:color="auto" w:fill="auto"/>
                          <w:lang w:val="en-US" w:eastAsia="zh-CN"/>
                        </w:rPr>
                        <w:t>仅用于年加工8000吨鲜黄花菜项目环境影响评价</w:t>
                      </w:r>
                    </w:p>
                  </w:txbxContent>
                </v:textbox>
              </v:shape>
            </w:pict>
          </mc:Fallback>
        </mc:AlternateContent>
      </w:r>
      <w:r>
        <w:rPr>
          <w:highlight w:val="none"/>
        </w:rPr>
        <w:drawing>
          <wp:inline distT="0" distB="0" distL="114300" distR="114300">
            <wp:extent cx="5615305" cy="7966075"/>
            <wp:effectExtent l="0" t="0" r="4445" b="158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a:stretch>
                      <a:fillRect/>
                    </a:stretch>
                  </pic:blipFill>
                  <pic:spPr>
                    <a:xfrm>
                      <a:off x="0" y="0"/>
                      <a:ext cx="5615305" cy="7966075"/>
                    </a:xfrm>
                    <a:prstGeom prst="rect">
                      <a:avLst/>
                    </a:prstGeom>
                    <a:noFill/>
                    <a:ln>
                      <a:noFill/>
                    </a:ln>
                  </pic:spPr>
                </pic:pic>
              </a:graphicData>
            </a:graphic>
          </wp:inline>
        </w:drawing>
      </w:r>
      <w:r>
        <w:rPr>
          <w:highlight w:val="none"/>
        </w:rPr>
        <mc:AlternateContent>
          <mc:Choice Requires="wps">
            <w:drawing>
              <wp:anchor distT="0" distB="0" distL="114300" distR="114300" simplePos="0" relativeHeight="251665408" behindDoc="0" locked="0" layoutInCell="1" allowOverlap="1">
                <wp:simplePos x="0" y="0"/>
                <wp:positionH relativeFrom="column">
                  <wp:posOffset>-235585</wp:posOffset>
                </wp:positionH>
                <wp:positionV relativeFrom="paragraph">
                  <wp:posOffset>1293495</wp:posOffset>
                </wp:positionV>
                <wp:extent cx="5536565" cy="1184910"/>
                <wp:effectExtent l="0" t="0" r="6985" b="15240"/>
                <wp:wrapNone/>
                <wp:docPr id="8" name="文本框 8"/>
                <wp:cNvGraphicFramePr/>
                <a:graphic xmlns:a="http://schemas.openxmlformats.org/drawingml/2006/main">
                  <a:graphicData uri="http://schemas.microsoft.com/office/word/2010/wordprocessingShape">
                    <wps:wsp>
                      <wps:cNvSpPr txBox="1"/>
                      <wps:spPr>
                        <a:xfrm>
                          <a:off x="0" y="0"/>
                          <a:ext cx="5536565" cy="1184910"/>
                        </a:xfrm>
                        <a:prstGeom prst="rect">
                          <a:avLst/>
                        </a:prstGeom>
                        <a:solidFill>
                          <a:srgbClr val="FFFFFF">
                            <a:alpha val="50000"/>
                          </a:srgbClr>
                        </a:solidFill>
                        <a:ln>
                          <a:noFill/>
                        </a:ln>
                      </wps:spPr>
                      <wps:txbx>
                        <w:txbxContent>
                          <w:p w14:paraId="1C4409C9">
                            <w:pPr>
                              <w:jc w:val="center"/>
                              <w:rPr>
                                <w:rFonts w:hint="default"/>
                                <w:lang w:val="en-US" w:eastAsia="zh-CN"/>
                              </w:rPr>
                            </w:pPr>
                            <w:r>
                              <w:rPr>
                                <w:rFonts w:hint="eastAsia" w:ascii="华文行楷" w:hAnsi="华文行楷" w:eastAsia="华文行楷" w:cs="华文行楷"/>
                                <w:color w:val="FF0000"/>
                                <w:sz w:val="52"/>
                                <w:szCs w:val="60"/>
                                <w:shd w:val="clear" w:color="auto" w:fill="auto"/>
                                <w:lang w:val="en-US" w:eastAsia="zh-CN"/>
                              </w:rPr>
                              <w:t>仅用于年加工8000吨鲜黄花菜项目环境影响评价</w:t>
                            </w:r>
                          </w:p>
                        </w:txbxContent>
                      </wps:txbx>
                      <wps:bodyPr upright="1"/>
                    </wps:wsp>
                  </a:graphicData>
                </a:graphic>
              </wp:anchor>
            </w:drawing>
          </mc:Choice>
          <mc:Fallback>
            <w:pict>
              <v:shape id="_x0000_s1026" o:spid="_x0000_s1026" o:spt="202" type="#_x0000_t202" style="position:absolute;left:0pt;margin-left:-18.55pt;margin-top:101.85pt;height:93.3pt;width:435.95pt;z-index:251665408;mso-width-relative:page;mso-height-relative:page;" fillcolor="#FFFFFF" filled="t" stroked="f" coordsize="21600,21600" o:gfxdata="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tIR/v2gAAAAsBAAAPAAAAAAAAAAEAIAAA&#10;ACIAAABkcnMvZG93bnJldi54bWxQSwECFAAUAAAACACHTuJAOvUM4tEBAACZAwAADgAAAAAAAAAB&#10;ACAAAAApAQAAZHJzL2Uyb0RvYy54bWxQSwUGAAAAAAYABgBZAQAAbAUAAAAA&#10;">
                <v:fill on="t" opacity="32768f" focussize="0,0"/>
                <v:stroke on="f"/>
                <v:imagedata o:title=""/>
                <o:lock v:ext="edit" aspectratio="f"/>
                <v:textbox>
                  <w:txbxContent>
                    <w:p w14:paraId="1C4409C9">
                      <w:pPr>
                        <w:jc w:val="center"/>
                        <w:rPr>
                          <w:rFonts w:hint="default"/>
                          <w:lang w:val="en-US" w:eastAsia="zh-CN"/>
                        </w:rPr>
                      </w:pPr>
                      <w:r>
                        <w:rPr>
                          <w:rFonts w:hint="eastAsia" w:ascii="华文行楷" w:hAnsi="华文行楷" w:eastAsia="华文行楷" w:cs="华文行楷"/>
                          <w:color w:val="FF0000"/>
                          <w:sz w:val="52"/>
                          <w:szCs w:val="60"/>
                          <w:shd w:val="clear" w:color="auto" w:fill="auto"/>
                          <w:lang w:val="en-US" w:eastAsia="zh-CN"/>
                        </w:rPr>
                        <w:t>仅用于年加工8000吨鲜黄花菜项目环境影响评价</w:t>
                      </w:r>
                    </w:p>
                  </w:txbxContent>
                </v:textbox>
              </v:shape>
            </w:pict>
          </mc:Fallback>
        </mc:AlternateContent>
      </w:r>
      <w:r>
        <w:rPr>
          <w:highlight w:val="none"/>
        </w:rPr>
        <w:drawing>
          <wp:inline distT="0" distB="0" distL="114300" distR="114300">
            <wp:extent cx="5615305" cy="7576820"/>
            <wp:effectExtent l="0" t="0" r="4445" b="508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9"/>
                    <a:stretch>
                      <a:fillRect/>
                    </a:stretch>
                  </pic:blipFill>
                  <pic:spPr>
                    <a:xfrm>
                      <a:off x="0" y="0"/>
                      <a:ext cx="5615305" cy="7576820"/>
                    </a:xfrm>
                    <a:prstGeom prst="rect">
                      <a:avLst/>
                    </a:prstGeom>
                    <a:noFill/>
                    <a:ln>
                      <a:noFill/>
                    </a:ln>
                  </pic:spPr>
                </pic:pic>
              </a:graphicData>
            </a:graphic>
          </wp:inline>
        </w:drawing>
      </w:r>
    </w:p>
    <w:p w14:paraId="2564B657">
      <w:pPr>
        <w:bidi w:val="0"/>
        <w:jc w:val="center"/>
        <w:rPr>
          <w:rFonts w:hint="default"/>
          <w:highlight w:val="none"/>
          <w:lang w:val="en-US" w:eastAsia="zh-CN"/>
        </w:rPr>
        <w:sectPr>
          <w:pgSz w:w="11906" w:h="16838"/>
          <w:pgMar w:top="1701" w:right="1531" w:bottom="1701" w:left="1531" w:header="851" w:footer="1077" w:gutter="0"/>
          <w:pgBorders>
            <w:top w:val="none" w:sz="0" w:space="0"/>
            <w:left w:val="none" w:sz="0" w:space="0"/>
            <w:bottom w:val="none" w:sz="0" w:space="0"/>
            <w:right w:val="none" w:sz="0" w:space="0"/>
          </w:pgBorders>
          <w:pgNumType w:fmt="decimal" w:start="1"/>
          <w:cols w:space="720" w:num="1"/>
          <w:docGrid w:linePitch="312" w:charSpace="0"/>
        </w:sectPr>
      </w:pPr>
    </w:p>
    <w:p w14:paraId="606586B7">
      <w:pPr>
        <w:pStyle w:val="24"/>
        <w:jc w:val="center"/>
        <w:outlineLvl w:val="0"/>
        <w:rPr>
          <w:rFonts w:hint="eastAsia" w:ascii="黑体" w:hAnsi="黑体" w:eastAsia="黑体" w:cs="黑体"/>
          <w:color w:val="auto"/>
          <w:sz w:val="36"/>
          <w:szCs w:val="24"/>
          <w:highlight w:val="none"/>
          <w:lang w:val="en-US" w:eastAsia="zh-CN"/>
        </w:rPr>
      </w:pPr>
      <w:bookmarkStart w:id="3" w:name="_Toc16761"/>
      <w:r>
        <w:rPr>
          <w:rFonts w:hint="eastAsia" w:ascii="黑体" w:hAnsi="黑体" w:eastAsia="黑体" w:cs="黑体"/>
          <w:color w:val="auto"/>
          <w:sz w:val="36"/>
          <w:szCs w:val="24"/>
          <w:highlight w:val="none"/>
          <w:lang w:val="en-US" w:eastAsia="zh-CN"/>
        </w:rPr>
        <w:t>目  录</w:t>
      </w:r>
      <w:bookmarkEnd w:id="3"/>
    </w:p>
    <w:p w14:paraId="194CB84D">
      <w:pPr>
        <w:pStyle w:val="69"/>
        <w:tabs>
          <w:tab w:val="right" w:leader="dot" w:pos="8844"/>
        </w:tabs>
        <w:rPr>
          <w:color w:val="auto"/>
          <w:highlight w:val="none"/>
        </w:rPr>
      </w:pPr>
      <w:r>
        <w:rPr>
          <w:rFonts w:hint="eastAsia" w:ascii="黑体" w:hAnsi="黑体" w:eastAsia="黑体" w:cs="黑体"/>
          <w:color w:val="auto"/>
          <w:sz w:val="36"/>
          <w:szCs w:val="24"/>
          <w:highlight w:val="none"/>
          <w:lang w:val="en-US" w:eastAsia="zh-CN"/>
        </w:rPr>
        <w:fldChar w:fldCharType="begin"/>
      </w:r>
      <w:r>
        <w:rPr>
          <w:rFonts w:hint="eastAsia" w:ascii="黑体" w:hAnsi="黑体" w:eastAsia="黑体" w:cs="黑体"/>
          <w:color w:val="auto"/>
          <w:sz w:val="36"/>
          <w:szCs w:val="24"/>
          <w:highlight w:val="none"/>
          <w:lang w:val="en-US" w:eastAsia="zh-CN"/>
        </w:rPr>
        <w:instrText xml:space="preserve">TOC \o "1-1" \h \u </w:instrText>
      </w:r>
      <w:r>
        <w:rPr>
          <w:rFonts w:hint="eastAsia" w:ascii="黑体" w:hAnsi="黑体" w:eastAsia="黑体" w:cs="黑体"/>
          <w:color w:val="auto"/>
          <w:sz w:val="36"/>
          <w:szCs w:val="24"/>
          <w:highlight w:val="none"/>
          <w:lang w:val="en-US" w:eastAsia="zh-CN"/>
        </w:rPr>
        <w:fldChar w:fldCharType="separate"/>
      </w:r>
    </w:p>
    <w:p w14:paraId="2696D0D0">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ascii="Times New Roman" w:hAnsi="Times New Roman" w:eastAsia="宋体"/>
          <w:color w:val="auto"/>
          <w:sz w:val="24"/>
          <w:highlight w:val="none"/>
        </w:rPr>
      </w:pPr>
      <w:r>
        <w:rPr>
          <w:rFonts w:hint="eastAsia" w:ascii="Times New Roman" w:hAnsi="Times New Roman" w:eastAsia="宋体" w:cs="黑体"/>
          <w:color w:val="auto"/>
          <w:sz w:val="24"/>
          <w:szCs w:val="24"/>
          <w:highlight w:val="none"/>
          <w:lang w:val="en-US" w:eastAsia="zh-CN"/>
        </w:rPr>
        <w:fldChar w:fldCharType="begin"/>
      </w:r>
      <w:r>
        <w:rPr>
          <w:rFonts w:hint="eastAsia" w:ascii="Times New Roman" w:hAnsi="Times New Roman" w:eastAsia="宋体" w:cs="黑体"/>
          <w:color w:val="auto"/>
          <w:sz w:val="24"/>
          <w:szCs w:val="24"/>
          <w:highlight w:val="none"/>
          <w:lang w:val="en-US" w:eastAsia="zh-CN"/>
        </w:rPr>
        <w:instrText xml:space="preserve"> HYPERLINK \l _Toc27008 </w:instrText>
      </w:r>
      <w:r>
        <w:rPr>
          <w:rFonts w:hint="eastAsia" w:ascii="Times New Roman" w:hAnsi="Times New Roman" w:eastAsia="宋体" w:cs="黑体"/>
          <w:color w:val="auto"/>
          <w:sz w:val="24"/>
          <w:szCs w:val="24"/>
          <w:highlight w:val="none"/>
          <w:lang w:val="en-US" w:eastAsia="zh-CN"/>
        </w:rPr>
        <w:fldChar w:fldCharType="separate"/>
      </w:r>
      <w:r>
        <w:rPr>
          <w:rFonts w:hint="eastAsia" w:ascii="Times New Roman" w:hAnsi="Times New Roman" w:eastAsia="宋体"/>
          <w:snapToGrid w:val="0"/>
          <w:color w:val="auto"/>
          <w:sz w:val="24"/>
          <w:szCs w:val="30"/>
          <w:highlight w:val="none"/>
        </w:rPr>
        <w:t>一、建设项目基本情况</w:t>
      </w:r>
      <w:r>
        <w:rPr>
          <w:rFonts w:ascii="Times New Roman" w:hAnsi="Times New Roman" w:eastAsia="宋体"/>
          <w:color w:val="auto"/>
          <w:sz w:val="24"/>
          <w:highlight w:val="none"/>
        </w:rPr>
        <w:tab/>
      </w:r>
      <w:r>
        <w:rPr>
          <w:rFonts w:hint="default" w:ascii="Times New Roman" w:hAnsi="Times New Roman" w:eastAsia="宋体" w:cs="Times New Roman"/>
          <w:color w:val="auto"/>
          <w:sz w:val="24"/>
          <w:highlight w:val="none"/>
        </w:rPr>
        <w:fldChar w:fldCharType="begin"/>
      </w:r>
      <w:r>
        <w:rPr>
          <w:rFonts w:hint="default" w:ascii="Times New Roman" w:hAnsi="Times New Roman" w:eastAsia="宋体" w:cs="Times New Roman"/>
          <w:color w:val="auto"/>
          <w:sz w:val="24"/>
          <w:highlight w:val="none"/>
        </w:rPr>
        <w:instrText xml:space="preserve"> PAGEREF _Toc27008 \h </w:instrText>
      </w:r>
      <w:r>
        <w:rPr>
          <w:rFonts w:hint="default" w:ascii="Times New Roman" w:hAnsi="Times New Roman" w:eastAsia="宋体" w:cs="Times New Roman"/>
          <w:color w:val="auto"/>
          <w:sz w:val="24"/>
          <w:highlight w:val="none"/>
        </w:rPr>
        <w:fldChar w:fldCharType="separate"/>
      </w:r>
      <w:r>
        <w:rPr>
          <w:rFonts w:hint="default" w:ascii="Times New Roman" w:hAnsi="Times New Roman" w:eastAsia="宋体" w:cs="Times New Roman"/>
          <w:color w:val="auto"/>
          <w:sz w:val="24"/>
          <w:highlight w:val="none"/>
        </w:rPr>
        <w:t>1</w:t>
      </w:r>
      <w:r>
        <w:rPr>
          <w:rFonts w:hint="default" w:ascii="Times New Roman" w:hAnsi="Times New Roman" w:eastAsia="宋体" w:cs="Times New Roman"/>
          <w:color w:val="auto"/>
          <w:sz w:val="24"/>
          <w:highlight w:val="none"/>
        </w:rPr>
        <w:fldChar w:fldCharType="end"/>
      </w:r>
      <w:r>
        <w:rPr>
          <w:rFonts w:hint="eastAsia" w:ascii="Times New Roman" w:hAnsi="Times New Roman" w:eastAsia="宋体" w:cs="黑体"/>
          <w:color w:val="auto"/>
          <w:sz w:val="24"/>
          <w:szCs w:val="24"/>
          <w:highlight w:val="none"/>
          <w:lang w:val="en-US" w:eastAsia="zh-CN"/>
        </w:rPr>
        <w:fldChar w:fldCharType="end"/>
      </w:r>
    </w:p>
    <w:p w14:paraId="727D3855">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ascii="Times New Roman" w:hAnsi="Times New Roman" w:eastAsia="宋体"/>
          <w:color w:val="auto"/>
          <w:sz w:val="24"/>
          <w:highlight w:val="none"/>
        </w:rPr>
      </w:pPr>
      <w:r>
        <w:rPr>
          <w:rFonts w:hint="eastAsia" w:ascii="Times New Roman" w:hAnsi="Times New Roman" w:eastAsia="宋体" w:cs="黑体"/>
          <w:color w:val="auto"/>
          <w:sz w:val="24"/>
          <w:szCs w:val="24"/>
          <w:highlight w:val="none"/>
          <w:lang w:val="en-US" w:eastAsia="zh-CN"/>
        </w:rPr>
        <w:fldChar w:fldCharType="begin"/>
      </w:r>
      <w:r>
        <w:rPr>
          <w:rFonts w:hint="eastAsia" w:ascii="Times New Roman" w:hAnsi="Times New Roman" w:eastAsia="宋体" w:cs="黑体"/>
          <w:color w:val="auto"/>
          <w:sz w:val="24"/>
          <w:szCs w:val="24"/>
          <w:highlight w:val="none"/>
          <w:lang w:val="en-US" w:eastAsia="zh-CN"/>
        </w:rPr>
        <w:instrText xml:space="preserve"> HYPERLINK \l _Toc19446 </w:instrText>
      </w:r>
      <w:r>
        <w:rPr>
          <w:rFonts w:hint="eastAsia" w:ascii="Times New Roman" w:hAnsi="Times New Roman" w:eastAsia="宋体" w:cs="黑体"/>
          <w:color w:val="auto"/>
          <w:sz w:val="24"/>
          <w:szCs w:val="24"/>
          <w:highlight w:val="none"/>
          <w:lang w:val="en-US" w:eastAsia="zh-CN"/>
        </w:rPr>
        <w:fldChar w:fldCharType="separate"/>
      </w:r>
      <w:r>
        <w:rPr>
          <w:rFonts w:hint="eastAsia" w:ascii="Times New Roman" w:hAnsi="Times New Roman" w:eastAsia="宋体"/>
          <w:snapToGrid w:val="0"/>
          <w:color w:val="auto"/>
          <w:sz w:val="24"/>
          <w:szCs w:val="30"/>
          <w:highlight w:val="none"/>
        </w:rPr>
        <w:t>二、建设项目工程分析</w:t>
      </w:r>
      <w:r>
        <w:rPr>
          <w:rFonts w:ascii="Times New Roman" w:hAnsi="Times New Roman" w:eastAsia="宋体"/>
          <w:color w:val="auto"/>
          <w:sz w:val="24"/>
          <w:highlight w:val="none"/>
        </w:rPr>
        <w:tab/>
      </w:r>
      <w:r>
        <w:rPr>
          <w:rFonts w:ascii="Times New Roman" w:hAnsi="Times New Roman" w:eastAsia="宋体"/>
          <w:color w:val="auto"/>
          <w:sz w:val="24"/>
          <w:highlight w:val="none"/>
        </w:rPr>
        <w:fldChar w:fldCharType="begin"/>
      </w:r>
      <w:r>
        <w:rPr>
          <w:rFonts w:ascii="Times New Roman" w:hAnsi="Times New Roman" w:eastAsia="宋体"/>
          <w:color w:val="auto"/>
          <w:sz w:val="24"/>
          <w:highlight w:val="none"/>
        </w:rPr>
        <w:instrText xml:space="preserve"> PAGEREF _Toc19446 \h </w:instrText>
      </w:r>
      <w:r>
        <w:rPr>
          <w:rFonts w:ascii="Times New Roman" w:hAnsi="Times New Roman" w:eastAsia="宋体"/>
          <w:color w:val="auto"/>
          <w:sz w:val="24"/>
          <w:highlight w:val="none"/>
        </w:rPr>
        <w:fldChar w:fldCharType="separate"/>
      </w:r>
      <w:r>
        <w:rPr>
          <w:rFonts w:ascii="Times New Roman" w:hAnsi="Times New Roman" w:eastAsia="宋体"/>
          <w:color w:val="auto"/>
          <w:sz w:val="24"/>
          <w:highlight w:val="none"/>
        </w:rPr>
        <w:t>11</w:t>
      </w:r>
      <w:r>
        <w:rPr>
          <w:rFonts w:ascii="Times New Roman" w:hAnsi="Times New Roman" w:eastAsia="宋体"/>
          <w:color w:val="auto"/>
          <w:sz w:val="24"/>
          <w:highlight w:val="none"/>
        </w:rPr>
        <w:fldChar w:fldCharType="end"/>
      </w:r>
      <w:r>
        <w:rPr>
          <w:rFonts w:hint="eastAsia" w:ascii="Times New Roman" w:hAnsi="Times New Roman" w:eastAsia="宋体" w:cs="黑体"/>
          <w:color w:val="auto"/>
          <w:sz w:val="24"/>
          <w:szCs w:val="24"/>
          <w:highlight w:val="none"/>
          <w:lang w:val="en-US" w:eastAsia="zh-CN"/>
        </w:rPr>
        <w:fldChar w:fldCharType="end"/>
      </w:r>
    </w:p>
    <w:p w14:paraId="613EC1E9">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ascii="Times New Roman" w:hAnsi="Times New Roman" w:eastAsia="宋体"/>
          <w:color w:val="auto"/>
          <w:sz w:val="24"/>
          <w:highlight w:val="none"/>
        </w:rPr>
      </w:pPr>
      <w:r>
        <w:rPr>
          <w:rFonts w:hint="eastAsia" w:ascii="Times New Roman" w:hAnsi="Times New Roman" w:eastAsia="宋体" w:cs="黑体"/>
          <w:color w:val="auto"/>
          <w:sz w:val="24"/>
          <w:szCs w:val="24"/>
          <w:highlight w:val="none"/>
          <w:lang w:val="en-US" w:eastAsia="zh-CN"/>
        </w:rPr>
        <w:fldChar w:fldCharType="begin"/>
      </w:r>
      <w:r>
        <w:rPr>
          <w:rFonts w:hint="eastAsia" w:ascii="Times New Roman" w:hAnsi="Times New Roman" w:eastAsia="宋体" w:cs="黑体"/>
          <w:color w:val="auto"/>
          <w:sz w:val="24"/>
          <w:szCs w:val="24"/>
          <w:highlight w:val="none"/>
          <w:lang w:val="en-US" w:eastAsia="zh-CN"/>
        </w:rPr>
        <w:instrText xml:space="preserve"> HYPERLINK \l _Toc11584 </w:instrText>
      </w:r>
      <w:r>
        <w:rPr>
          <w:rFonts w:hint="eastAsia" w:ascii="Times New Roman" w:hAnsi="Times New Roman" w:eastAsia="宋体" w:cs="黑体"/>
          <w:color w:val="auto"/>
          <w:sz w:val="24"/>
          <w:szCs w:val="24"/>
          <w:highlight w:val="none"/>
          <w:lang w:val="en-US" w:eastAsia="zh-CN"/>
        </w:rPr>
        <w:fldChar w:fldCharType="separate"/>
      </w:r>
      <w:r>
        <w:rPr>
          <w:rFonts w:hint="eastAsia" w:ascii="Times New Roman" w:hAnsi="Times New Roman" w:eastAsia="宋体"/>
          <w:snapToGrid w:val="0"/>
          <w:color w:val="auto"/>
          <w:sz w:val="24"/>
          <w:szCs w:val="30"/>
          <w:highlight w:val="none"/>
        </w:rPr>
        <w:t>三、区域环境质量现状、环境保护目标及评价标准</w:t>
      </w:r>
      <w:r>
        <w:rPr>
          <w:rFonts w:ascii="Times New Roman" w:hAnsi="Times New Roman" w:eastAsia="宋体"/>
          <w:color w:val="auto"/>
          <w:sz w:val="24"/>
          <w:highlight w:val="none"/>
        </w:rPr>
        <w:tab/>
      </w:r>
      <w:r>
        <w:rPr>
          <w:rFonts w:ascii="Times New Roman" w:hAnsi="Times New Roman" w:eastAsia="宋体"/>
          <w:color w:val="auto"/>
          <w:sz w:val="24"/>
          <w:highlight w:val="none"/>
        </w:rPr>
        <w:fldChar w:fldCharType="begin"/>
      </w:r>
      <w:r>
        <w:rPr>
          <w:rFonts w:ascii="Times New Roman" w:hAnsi="Times New Roman" w:eastAsia="宋体"/>
          <w:color w:val="auto"/>
          <w:sz w:val="24"/>
          <w:highlight w:val="none"/>
        </w:rPr>
        <w:instrText xml:space="preserve"> PAGEREF _Toc11584 \h </w:instrText>
      </w:r>
      <w:r>
        <w:rPr>
          <w:rFonts w:ascii="Times New Roman" w:hAnsi="Times New Roman" w:eastAsia="宋体"/>
          <w:color w:val="auto"/>
          <w:sz w:val="24"/>
          <w:highlight w:val="none"/>
        </w:rPr>
        <w:fldChar w:fldCharType="separate"/>
      </w:r>
      <w:r>
        <w:rPr>
          <w:rFonts w:ascii="Times New Roman" w:hAnsi="Times New Roman" w:eastAsia="宋体"/>
          <w:color w:val="auto"/>
          <w:sz w:val="24"/>
          <w:highlight w:val="none"/>
        </w:rPr>
        <w:t>29</w:t>
      </w:r>
      <w:r>
        <w:rPr>
          <w:rFonts w:ascii="Times New Roman" w:hAnsi="Times New Roman" w:eastAsia="宋体"/>
          <w:color w:val="auto"/>
          <w:sz w:val="24"/>
          <w:highlight w:val="none"/>
        </w:rPr>
        <w:fldChar w:fldCharType="end"/>
      </w:r>
      <w:r>
        <w:rPr>
          <w:rFonts w:hint="eastAsia" w:ascii="Times New Roman" w:hAnsi="Times New Roman" w:eastAsia="宋体" w:cs="黑体"/>
          <w:color w:val="auto"/>
          <w:sz w:val="24"/>
          <w:szCs w:val="24"/>
          <w:highlight w:val="none"/>
          <w:lang w:val="en-US" w:eastAsia="zh-CN"/>
        </w:rPr>
        <w:fldChar w:fldCharType="end"/>
      </w:r>
    </w:p>
    <w:p w14:paraId="20894D9F">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ascii="Times New Roman" w:hAnsi="Times New Roman" w:eastAsia="宋体"/>
          <w:color w:val="auto"/>
          <w:sz w:val="24"/>
          <w:highlight w:val="none"/>
        </w:rPr>
      </w:pPr>
      <w:r>
        <w:rPr>
          <w:rFonts w:hint="eastAsia" w:ascii="Times New Roman" w:hAnsi="Times New Roman" w:eastAsia="宋体" w:cs="黑体"/>
          <w:color w:val="auto"/>
          <w:sz w:val="24"/>
          <w:szCs w:val="24"/>
          <w:highlight w:val="none"/>
          <w:lang w:val="en-US" w:eastAsia="zh-CN"/>
        </w:rPr>
        <w:fldChar w:fldCharType="begin"/>
      </w:r>
      <w:r>
        <w:rPr>
          <w:rFonts w:hint="eastAsia" w:ascii="Times New Roman" w:hAnsi="Times New Roman" w:eastAsia="宋体" w:cs="黑体"/>
          <w:color w:val="auto"/>
          <w:sz w:val="24"/>
          <w:szCs w:val="24"/>
          <w:highlight w:val="none"/>
          <w:lang w:val="en-US" w:eastAsia="zh-CN"/>
        </w:rPr>
        <w:instrText xml:space="preserve"> HYPERLINK \l _Toc22024 </w:instrText>
      </w:r>
      <w:r>
        <w:rPr>
          <w:rFonts w:hint="eastAsia" w:ascii="Times New Roman" w:hAnsi="Times New Roman" w:eastAsia="宋体" w:cs="黑体"/>
          <w:color w:val="auto"/>
          <w:sz w:val="24"/>
          <w:szCs w:val="24"/>
          <w:highlight w:val="none"/>
          <w:lang w:val="en-US" w:eastAsia="zh-CN"/>
        </w:rPr>
        <w:fldChar w:fldCharType="separate"/>
      </w:r>
      <w:r>
        <w:rPr>
          <w:rFonts w:hint="eastAsia" w:ascii="Times New Roman" w:hAnsi="Times New Roman" w:eastAsia="宋体"/>
          <w:snapToGrid w:val="0"/>
          <w:color w:val="auto"/>
          <w:sz w:val="24"/>
          <w:szCs w:val="30"/>
          <w:highlight w:val="none"/>
        </w:rPr>
        <w:t>四、主要环境影响和保护措施</w:t>
      </w:r>
      <w:r>
        <w:rPr>
          <w:rFonts w:ascii="Times New Roman" w:hAnsi="Times New Roman" w:eastAsia="宋体"/>
          <w:color w:val="auto"/>
          <w:sz w:val="24"/>
          <w:highlight w:val="none"/>
        </w:rPr>
        <w:tab/>
      </w:r>
      <w:r>
        <w:rPr>
          <w:rFonts w:ascii="Times New Roman" w:hAnsi="Times New Roman" w:eastAsia="宋体"/>
          <w:color w:val="auto"/>
          <w:sz w:val="24"/>
          <w:highlight w:val="none"/>
        </w:rPr>
        <w:fldChar w:fldCharType="begin"/>
      </w:r>
      <w:r>
        <w:rPr>
          <w:rFonts w:ascii="Times New Roman" w:hAnsi="Times New Roman" w:eastAsia="宋体"/>
          <w:color w:val="auto"/>
          <w:sz w:val="24"/>
          <w:highlight w:val="none"/>
        </w:rPr>
        <w:instrText xml:space="preserve"> PAGEREF _Toc22024 \h </w:instrText>
      </w:r>
      <w:r>
        <w:rPr>
          <w:rFonts w:ascii="Times New Roman" w:hAnsi="Times New Roman" w:eastAsia="宋体"/>
          <w:color w:val="auto"/>
          <w:sz w:val="24"/>
          <w:highlight w:val="none"/>
        </w:rPr>
        <w:fldChar w:fldCharType="separate"/>
      </w:r>
      <w:r>
        <w:rPr>
          <w:rFonts w:ascii="Times New Roman" w:hAnsi="Times New Roman" w:eastAsia="宋体"/>
          <w:color w:val="auto"/>
          <w:sz w:val="24"/>
          <w:highlight w:val="none"/>
        </w:rPr>
        <w:t>36</w:t>
      </w:r>
      <w:r>
        <w:rPr>
          <w:rFonts w:ascii="Times New Roman" w:hAnsi="Times New Roman" w:eastAsia="宋体"/>
          <w:color w:val="auto"/>
          <w:sz w:val="24"/>
          <w:highlight w:val="none"/>
        </w:rPr>
        <w:fldChar w:fldCharType="end"/>
      </w:r>
      <w:r>
        <w:rPr>
          <w:rFonts w:hint="eastAsia" w:ascii="Times New Roman" w:hAnsi="Times New Roman" w:eastAsia="宋体" w:cs="黑体"/>
          <w:color w:val="auto"/>
          <w:sz w:val="24"/>
          <w:szCs w:val="24"/>
          <w:highlight w:val="none"/>
          <w:lang w:val="en-US" w:eastAsia="zh-CN"/>
        </w:rPr>
        <w:fldChar w:fldCharType="end"/>
      </w:r>
    </w:p>
    <w:p w14:paraId="415C6451">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ascii="Times New Roman" w:hAnsi="Times New Roman" w:eastAsia="宋体"/>
          <w:color w:val="auto"/>
          <w:sz w:val="24"/>
          <w:highlight w:val="none"/>
        </w:rPr>
      </w:pPr>
      <w:r>
        <w:rPr>
          <w:rFonts w:hint="eastAsia" w:ascii="Times New Roman" w:hAnsi="Times New Roman" w:eastAsia="宋体" w:cs="黑体"/>
          <w:color w:val="auto"/>
          <w:sz w:val="24"/>
          <w:szCs w:val="24"/>
          <w:highlight w:val="none"/>
          <w:lang w:val="en-US" w:eastAsia="zh-CN"/>
        </w:rPr>
        <w:fldChar w:fldCharType="begin"/>
      </w:r>
      <w:r>
        <w:rPr>
          <w:rFonts w:hint="eastAsia" w:ascii="Times New Roman" w:hAnsi="Times New Roman" w:eastAsia="宋体" w:cs="黑体"/>
          <w:color w:val="auto"/>
          <w:sz w:val="24"/>
          <w:szCs w:val="24"/>
          <w:highlight w:val="none"/>
          <w:lang w:val="en-US" w:eastAsia="zh-CN"/>
        </w:rPr>
        <w:instrText xml:space="preserve"> HYPERLINK \l _Toc28415 </w:instrText>
      </w:r>
      <w:r>
        <w:rPr>
          <w:rFonts w:hint="eastAsia" w:ascii="Times New Roman" w:hAnsi="Times New Roman" w:eastAsia="宋体" w:cs="黑体"/>
          <w:color w:val="auto"/>
          <w:sz w:val="24"/>
          <w:szCs w:val="24"/>
          <w:highlight w:val="none"/>
          <w:lang w:val="en-US" w:eastAsia="zh-CN"/>
        </w:rPr>
        <w:fldChar w:fldCharType="separate"/>
      </w:r>
      <w:r>
        <w:rPr>
          <w:rFonts w:hint="eastAsia" w:ascii="Times New Roman" w:hAnsi="Times New Roman" w:eastAsia="宋体"/>
          <w:snapToGrid w:val="0"/>
          <w:color w:val="auto"/>
          <w:sz w:val="24"/>
          <w:szCs w:val="30"/>
          <w:highlight w:val="none"/>
        </w:rPr>
        <w:t>五、环境保护措施监督检查清单</w:t>
      </w:r>
      <w:r>
        <w:rPr>
          <w:rFonts w:ascii="Times New Roman" w:hAnsi="Times New Roman" w:eastAsia="宋体"/>
          <w:color w:val="auto"/>
          <w:sz w:val="24"/>
          <w:highlight w:val="none"/>
        </w:rPr>
        <w:tab/>
      </w:r>
      <w:r>
        <w:rPr>
          <w:rFonts w:ascii="Times New Roman" w:hAnsi="Times New Roman" w:eastAsia="宋体"/>
          <w:color w:val="auto"/>
          <w:sz w:val="24"/>
          <w:highlight w:val="none"/>
        </w:rPr>
        <w:fldChar w:fldCharType="begin"/>
      </w:r>
      <w:r>
        <w:rPr>
          <w:rFonts w:ascii="Times New Roman" w:hAnsi="Times New Roman" w:eastAsia="宋体"/>
          <w:color w:val="auto"/>
          <w:sz w:val="24"/>
          <w:highlight w:val="none"/>
        </w:rPr>
        <w:instrText xml:space="preserve"> PAGEREF _Toc28415 \h </w:instrText>
      </w:r>
      <w:r>
        <w:rPr>
          <w:rFonts w:ascii="Times New Roman" w:hAnsi="Times New Roman" w:eastAsia="宋体"/>
          <w:color w:val="auto"/>
          <w:sz w:val="24"/>
          <w:highlight w:val="none"/>
        </w:rPr>
        <w:fldChar w:fldCharType="separate"/>
      </w:r>
      <w:r>
        <w:rPr>
          <w:rFonts w:ascii="Times New Roman" w:hAnsi="Times New Roman" w:eastAsia="宋体"/>
          <w:color w:val="auto"/>
          <w:sz w:val="24"/>
          <w:highlight w:val="none"/>
        </w:rPr>
        <w:t>68</w:t>
      </w:r>
      <w:r>
        <w:rPr>
          <w:rFonts w:ascii="Times New Roman" w:hAnsi="Times New Roman" w:eastAsia="宋体"/>
          <w:color w:val="auto"/>
          <w:sz w:val="24"/>
          <w:highlight w:val="none"/>
        </w:rPr>
        <w:fldChar w:fldCharType="end"/>
      </w:r>
      <w:r>
        <w:rPr>
          <w:rFonts w:hint="eastAsia" w:ascii="Times New Roman" w:hAnsi="Times New Roman" w:eastAsia="宋体" w:cs="黑体"/>
          <w:color w:val="auto"/>
          <w:sz w:val="24"/>
          <w:szCs w:val="24"/>
          <w:highlight w:val="none"/>
          <w:lang w:val="en-US" w:eastAsia="zh-CN"/>
        </w:rPr>
        <w:fldChar w:fldCharType="end"/>
      </w:r>
    </w:p>
    <w:p w14:paraId="59E1A83F">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Times New Roman" w:hAnsi="Times New Roman" w:eastAsia="宋体" w:cs="黑体"/>
          <w:color w:val="auto"/>
          <w:sz w:val="24"/>
          <w:szCs w:val="24"/>
          <w:highlight w:val="none"/>
          <w:lang w:val="en-US" w:eastAsia="zh-CN"/>
        </w:rPr>
        <w:sectPr>
          <w:footerReference r:id="rId9" w:type="default"/>
          <w:pgSz w:w="11906" w:h="16838"/>
          <w:pgMar w:top="1701" w:right="1531" w:bottom="1701" w:left="1531" w:header="851" w:footer="1077" w:gutter="0"/>
          <w:pgBorders>
            <w:top w:val="none" w:sz="0" w:space="0"/>
            <w:left w:val="none" w:sz="0" w:space="0"/>
            <w:bottom w:val="none" w:sz="0" w:space="0"/>
            <w:right w:val="none" w:sz="0" w:space="0"/>
          </w:pgBorders>
          <w:pgNumType w:fmt="decimal" w:start="1"/>
          <w:cols w:space="720" w:num="1"/>
          <w:docGrid w:linePitch="312" w:charSpace="0"/>
        </w:sectPr>
      </w:pPr>
      <w:r>
        <w:rPr>
          <w:rFonts w:hint="eastAsia" w:ascii="Times New Roman" w:hAnsi="Times New Roman" w:eastAsia="宋体" w:cs="黑体"/>
          <w:color w:val="auto"/>
          <w:sz w:val="24"/>
          <w:szCs w:val="24"/>
          <w:highlight w:val="none"/>
          <w:lang w:val="en-US" w:eastAsia="zh-CN"/>
        </w:rPr>
        <w:fldChar w:fldCharType="begin"/>
      </w:r>
      <w:r>
        <w:rPr>
          <w:rFonts w:hint="eastAsia" w:ascii="Times New Roman" w:hAnsi="Times New Roman" w:eastAsia="宋体" w:cs="黑体"/>
          <w:color w:val="auto"/>
          <w:sz w:val="24"/>
          <w:szCs w:val="24"/>
          <w:highlight w:val="none"/>
          <w:lang w:val="en-US" w:eastAsia="zh-CN"/>
        </w:rPr>
        <w:instrText xml:space="preserve"> HYPERLINK \l _Toc14499 </w:instrText>
      </w:r>
      <w:r>
        <w:rPr>
          <w:rFonts w:hint="eastAsia" w:ascii="Times New Roman" w:hAnsi="Times New Roman" w:eastAsia="宋体" w:cs="黑体"/>
          <w:color w:val="auto"/>
          <w:sz w:val="24"/>
          <w:szCs w:val="24"/>
          <w:highlight w:val="none"/>
          <w:lang w:val="en-US" w:eastAsia="zh-CN"/>
        </w:rPr>
        <w:fldChar w:fldCharType="separate"/>
      </w:r>
      <w:r>
        <w:rPr>
          <w:rFonts w:hint="eastAsia" w:ascii="Times New Roman" w:hAnsi="Times New Roman" w:eastAsia="宋体"/>
          <w:snapToGrid w:val="0"/>
          <w:color w:val="auto"/>
          <w:sz w:val="24"/>
          <w:szCs w:val="30"/>
          <w:highlight w:val="none"/>
        </w:rPr>
        <w:t>六、结论</w:t>
      </w:r>
      <w:r>
        <w:rPr>
          <w:rFonts w:ascii="Times New Roman" w:hAnsi="Times New Roman" w:eastAsia="宋体"/>
          <w:color w:val="auto"/>
          <w:sz w:val="24"/>
          <w:highlight w:val="none"/>
        </w:rPr>
        <w:tab/>
      </w:r>
      <w:r>
        <w:rPr>
          <w:rFonts w:ascii="Times New Roman" w:hAnsi="Times New Roman" w:eastAsia="宋体"/>
          <w:color w:val="auto"/>
          <w:sz w:val="24"/>
          <w:highlight w:val="none"/>
        </w:rPr>
        <w:fldChar w:fldCharType="begin"/>
      </w:r>
      <w:r>
        <w:rPr>
          <w:rFonts w:ascii="Times New Roman" w:hAnsi="Times New Roman" w:eastAsia="宋体"/>
          <w:color w:val="auto"/>
          <w:sz w:val="24"/>
          <w:highlight w:val="none"/>
        </w:rPr>
        <w:instrText xml:space="preserve"> PAGEREF _Toc14499 \h </w:instrText>
      </w:r>
      <w:r>
        <w:rPr>
          <w:rFonts w:ascii="Times New Roman" w:hAnsi="Times New Roman" w:eastAsia="宋体"/>
          <w:color w:val="auto"/>
          <w:sz w:val="24"/>
          <w:highlight w:val="none"/>
        </w:rPr>
        <w:fldChar w:fldCharType="separate"/>
      </w:r>
      <w:r>
        <w:rPr>
          <w:rFonts w:ascii="Times New Roman" w:hAnsi="Times New Roman" w:eastAsia="宋体"/>
          <w:color w:val="auto"/>
          <w:sz w:val="24"/>
          <w:highlight w:val="none"/>
        </w:rPr>
        <w:t>70</w:t>
      </w:r>
      <w:r>
        <w:rPr>
          <w:rFonts w:ascii="Times New Roman" w:hAnsi="Times New Roman" w:eastAsia="宋体"/>
          <w:color w:val="auto"/>
          <w:sz w:val="24"/>
          <w:highlight w:val="none"/>
        </w:rPr>
        <w:fldChar w:fldCharType="end"/>
      </w:r>
      <w:r>
        <w:rPr>
          <w:rFonts w:hint="eastAsia" w:ascii="Times New Roman" w:hAnsi="Times New Roman" w:eastAsia="宋体" w:cs="黑体"/>
          <w:color w:val="auto"/>
          <w:sz w:val="24"/>
          <w:szCs w:val="24"/>
          <w:highlight w:val="none"/>
          <w:lang w:val="en-US" w:eastAsia="zh-CN"/>
        </w:rPr>
        <w:fldChar w:fldCharType="end"/>
      </w:r>
    </w:p>
    <w:p w14:paraId="1BA675C4">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Times New Roman" w:hAnsi="Times New Roman" w:eastAsia="宋体" w:cs="黑体"/>
          <w:color w:val="auto"/>
          <w:sz w:val="24"/>
          <w:szCs w:val="24"/>
          <w:highlight w:val="none"/>
          <w:lang w:val="en-US" w:eastAsia="zh-CN"/>
        </w:rPr>
      </w:pPr>
      <w:r>
        <w:rPr>
          <w:rFonts w:hint="eastAsia" w:ascii="黑体" w:hAnsi="黑体" w:eastAsia="黑体" w:cs="黑体"/>
          <w:color w:val="auto"/>
          <w:szCs w:val="24"/>
          <w:highlight w:val="none"/>
          <w:lang w:val="en-US" w:eastAsia="zh-CN"/>
        </w:rPr>
        <w:fldChar w:fldCharType="end"/>
      </w:r>
      <w:r>
        <w:rPr>
          <w:rFonts w:hint="eastAsia" w:ascii="Times New Roman" w:hAnsi="Times New Roman" w:eastAsia="宋体" w:cs="黑体"/>
          <w:color w:val="auto"/>
          <w:sz w:val="24"/>
          <w:szCs w:val="24"/>
          <w:highlight w:val="none"/>
          <w:lang w:val="en-US" w:eastAsia="zh-CN"/>
        </w:rPr>
        <w:t>附图：</w:t>
      </w:r>
    </w:p>
    <w:p w14:paraId="5179213E">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黑体"/>
          <w:color w:val="auto"/>
          <w:sz w:val="24"/>
          <w:szCs w:val="24"/>
          <w:highlight w:val="none"/>
          <w:lang w:val="en-US" w:eastAsia="zh-CN"/>
        </w:rPr>
      </w:pPr>
      <w:r>
        <w:rPr>
          <w:rFonts w:hint="eastAsia" w:ascii="Times New Roman" w:hAnsi="Times New Roman" w:eastAsia="宋体" w:cs="黑体"/>
          <w:color w:val="auto"/>
          <w:sz w:val="24"/>
          <w:szCs w:val="24"/>
          <w:highlight w:val="none"/>
          <w:lang w:val="en-US" w:eastAsia="zh-CN"/>
        </w:rPr>
        <w:t>附图1 项目地理位置图</w:t>
      </w:r>
    </w:p>
    <w:p w14:paraId="7CDDD2CC">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黑体"/>
          <w:color w:val="auto"/>
          <w:sz w:val="24"/>
          <w:szCs w:val="24"/>
          <w:highlight w:val="none"/>
          <w:lang w:val="en-US" w:eastAsia="zh-CN"/>
        </w:rPr>
      </w:pPr>
      <w:r>
        <w:rPr>
          <w:rFonts w:hint="eastAsia" w:ascii="Times New Roman" w:hAnsi="Times New Roman" w:eastAsia="宋体" w:cs="黑体"/>
          <w:color w:val="auto"/>
          <w:sz w:val="24"/>
          <w:szCs w:val="24"/>
          <w:highlight w:val="none"/>
          <w:lang w:val="en-US" w:eastAsia="zh-CN"/>
        </w:rPr>
        <w:t>附图2 项目平面布置图</w:t>
      </w:r>
    </w:p>
    <w:p w14:paraId="44899CE7">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黑体"/>
          <w:color w:val="auto"/>
          <w:sz w:val="24"/>
          <w:szCs w:val="24"/>
          <w:highlight w:val="none"/>
          <w:lang w:val="en-US" w:eastAsia="zh-CN"/>
        </w:rPr>
      </w:pPr>
      <w:r>
        <w:rPr>
          <w:rFonts w:hint="eastAsia" w:ascii="Times New Roman" w:hAnsi="Times New Roman" w:eastAsia="宋体" w:cs="黑体"/>
          <w:color w:val="auto"/>
          <w:sz w:val="24"/>
          <w:szCs w:val="24"/>
          <w:highlight w:val="none"/>
          <w:lang w:val="en-US" w:eastAsia="zh-CN"/>
        </w:rPr>
        <w:t xml:space="preserve">附图3 </w:t>
      </w:r>
      <w:r>
        <w:rPr>
          <w:rFonts w:hint="eastAsia" w:cs="黑体"/>
          <w:color w:val="auto"/>
          <w:sz w:val="24"/>
          <w:szCs w:val="24"/>
          <w:highlight w:val="none"/>
          <w:lang w:val="en-US" w:eastAsia="zh-CN"/>
        </w:rPr>
        <w:t>监测布点图</w:t>
      </w:r>
    </w:p>
    <w:p w14:paraId="4BD77F9D">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黑体"/>
          <w:color w:val="auto"/>
          <w:sz w:val="24"/>
          <w:szCs w:val="24"/>
          <w:highlight w:val="none"/>
          <w:lang w:val="en-US" w:eastAsia="zh-CN"/>
        </w:rPr>
      </w:pPr>
      <w:r>
        <w:rPr>
          <w:rFonts w:hint="eastAsia" w:ascii="Times New Roman" w:hAnsi="Times New Roman" w:eastAsia="宋体" w:cs="黑体"/>
          <w:color w:val="auto"/>
          <w:sz w:val="24"/>
          <w:szCs w:val="24"/>
          <w:highlight w:val="none"/>
          <w:lang w:val="en-US" w:eastAsia="zh-CN"/>
        </w:rPr>
        <w:t>附图4</w:t>
      </w:r>
      <w:r>
        <w:rPr>
          <w:rFonts w:hint="eastAsia" w:cs="黑体"/>
          <w:color w:val="auto"/>
          <w:sz w:val="24"/>
          <w:szCs w:val="24"/>
          <w:highlight w:val="none"/>
          <w:lang w:val="en-US" w:eastAsia="zh-CN"/>
        </w:rPr>
        <w:t xml:space="preserve"> 环保目标分布图</w:t>
      </w:r>
    </w:p>
    <w:p w14:paraId="3E1BF4A0">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eastAsia" w:cs="黑体"/>
          <w:color w:val="auto"/>
          <w:sz w:val="24"/>
          <w:szCs w:val="24"/>
          <w:highlight w:val="none"/>
          <w:lang w:val="en-US" w:eastAsia="zh-CN"/>
        </w:rPr>
      </w:pPr>
      <w:r>
        <w:rPr>
          <w:rFonts w:hint="eastAsia" w:cs="黑体"/>
          <w:color w:val="auto"/>
          <w:sz w:val="24"/>
          <w:szCs w:val="24"/>
          <w:highlight w:val="none"/>
          <w:lang w:val="en-US" w:eastAsia="zh-CN"/>
        </w:rPr>
        <w:t>附图5</w:t>
      </w:r>
      <w:r>
        <w:rPr>
          <w:rFonts w:hint="eastAsia" w:ascii="Times New Roman" w:hAnsi="Times New Roman" w:eastAsia="宋体" w:cs="黑体"/>
          <w:color w:val="auto"/>
          <w:sz w:val="24"/>
          <w:szCs w:val="24"/>
          <w:highlight w:val="none"/>
          <w:lang w:val="en-US" w:eastAsia="zh-CN"/>
        </w:rPr>
        <w:t xml:space="preserve"> </w:t>
      </w:r>
      <w:r>
        <w:rPr>
          <w:rFonts w:hint="eastAsia" w:cs="黑体"/>
          <w:color w:val="auto"/>
          <w:sz w:val="24"/>
          <w:szCs w:val="24"/>
          <w:highlight w:val="none"/>
          <w:lang w:val="en-US" w:eastAsia="zh-CN"/>
        </w:rPr>
        <w:t>项目废水排放路径图</w:t>
      </w:r>
    </w:p>
    <w:p w14:paraId="027A2C36">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eastAsia" w:cs="黑体"/>
          <w:color w:val="auto"/>
          <w:sz w:val="24"/>
          <w:szCs w:val="24"/>
          <w:highlight w:val="none"/>
          <w:lang w:val="en-US" w:eastAsia="zh-CN"/>
        </w:rPr>
      </w:pPr>
      <w:r>
        <w:rPr>
          <w:rFonts w:hint="eastAsia" w:cs="黑体"/>
          <w:color w:val="auto"/>
          <w:sz w:val="24"/>
          <w:szCs w:val="24"/>
          <w:highlight w:val="none"/>
          <w:lang w:val="en-US" w:eastAsia="zh-CN"/>
        </w:rPr>
        <w:t>附图6雨污分流管网图</w:t>
      </w:r>
    </w:p>
    <w:p w14:paraId="42C5FD4A">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eastAsia" w:cs="黑体"/>
          <w:color w:val="auto"/>
          <w:sz w:val="24"/>
          <w:szCs w:val="24"/>
          <w:highlight w:val="none"/>
          <w:lang w:val="en-US" w:eastAsia="zh-CN"/>
        </w:rPr>
      </w:pPr>
      <w:r>
        <w:rPr>
          <w:rFonts w:hint="eastAsia" w:cs="黑体"/>
          <w:color w:val="auto"/>
          <w:sz w:val="24"/>
          <w:szCs w:val="24"/>
          <w:highlight w:val="none"/>
          <w:lang w:val="en-US" w:eastAsia="zh-CN"/>
        </w:rPr>
        <w:t>附图7区域水系图</w:t>
      </w:r>
    </w:p>
    <w:p w14:paraId="3CCB577A">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eastAsia" w:cs="黑体"/>
          <w:color w:val="auto"/>
          <w:sz w:val="24"/>
          <w:szCs w:val="24"/>
          <w:highlight w:val="none"/>
          <w:lang w:val="en-US" w:eastAsia="zh-CN"/>
        </w:rPr>
      </w:pPr>
      <w:r>
        <w:rPr>
          <w:rFonts w:hint="eastAsia" w:cs="黑体"/>
          <w:color w:val="auto"/>
          <w:sz w:val="24"/>
          <w:szCs w:val="24"/>
          <w:highlight w:val="none"/>
          <w:lang w:val="en-US" w:eastAsia="zh-CN"/>
        </w:rPr>
        <w:t>附图8污水站平面布置图</w:t>
      </w:r>
    </w:p>
    <w:p w14:paraId="6D69CE7D">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default" w:cs="黑体"/>
          <w:color w:val="auto"/>
          <w:sz w:val="24"/>
          <w:szCs w:val="24"/>
          <w:highlight w:val="none"/>
          <w:lang w:val="en-US" w:eastAsia="zh-CN"/>
        </w:rPr>
      </w:pPr>
      <w:r>
        <w:rPr>
          <w:rFonts w:hint="eastAsia" w:cs="黑体"/>
          <w:color w:val="auto"/>
          <w:sz w:val="24"/>
          <w:szCs w:val="24"/>
          <w:highlight w:val="none"/>
          <w:lang w:val="en-US" w:eastAsia="zh-CN"/>
        </w:rPr>
        <w:t>附图9祁东黄花菜地理标志保护范围图</w:t>
      </w:r>
    </w:p>
    <w:p w14:paraId="7995F847">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default" w:cs="黑体"/>
          <w:color w:val="auto"/>
          <w:sz w:val="24"/>
          <w:szCs w:val="24"/>
          <w:highlight w:val="none"/>
          <w:lang w:val="en-US" w:eastAsia="zh-CN"/>
        </w:rPr>
      </w:pPr>
    </w:p>
    <w:p w14:paraId="26A9401A">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Times New Roman" w:hAnsi="Times New Roman" w:eastAsia="宋体" w:cs="黑体"/>
          <w:color w:val="auto"/>
          <w:sz w:val="24"/>
          <w:szCs w:val="24"/>
          <w:highlight w:val="none"/>
          <w:lang w:val="en-US" w:eastAsia="zh-CN"/>
        </w:rPr>
      </w:pPr>
      <w:r>
        <w:rPr>
          <w:rFonts w:hint="eastAsia" w:ascii="Times New Roman" w:hAnsi="Times New Roman" w:eastAsia="宋体" w:cs="黑体"/>
          <w:color w:val="auto"/>
          <w:sz w:val="24"/>
          <w:szCs w:val="24"/>
          <w:highlight w:val="none"/>
          <w:lang w:val="en-US" w:eastAsia="zh-CN"/>
        </w:rPr>
        <w:t>附件：</w:t>
      </w:r>
    </w:p>
    <w:p w14:paraId="58CCD957">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黑体"/>
          <w:color w:val="auto"/>
          <w:sz w:val="24"/>
          <w:szCs w:val="24"/>
          <w:highlight w:val="none"/>
          <w:lang w:val="en-US" w:eastAsia="zh-CN"/>
        </w:rPr>
      </w:pPr>
      <w:r>
        <w:rPr>
          <w:rFonts w:hint="eastAsia" w:ascii="Times New Roman" w:hAnsi="Times New Roman" w:eastAsia="宋体" w:cs="黑体"/>
          <w:color w:val="auto"/>
          <w:sz w:val="24"/>
          <w:szCs w:val="24"/>
          <w:highlight w:val="none"/>
          <w:lang w:val="en-US" w:eastAsia="zh-CN"/>
        </w:rPr>
        <w:t>附件</w:t>
      </w:r>
      <w:r>
        <w:rPr>
          <w:rFonts w:hint="default" w:ascii="Times New Roman" w:hAnsi="Times New Roman" w:eastAsia="宋体" w:cs="Times New Roman"/>
          <w:color w:val="auto"/>
          <w:sz w:val="24"/>
          <w:szCs w:val="24"/>
          <w:highlight w:val="none"/>
          <w:lang w:val="en-US" w:eastAsia="zh-CN"/>
        </w:rPr>
        <w:t>1</w:t>
      </w:r>
      <w:r>
        <w:rPr>
          <w:rFonts w:hint="eastAsia" w:ascii="Times New Roman" w:hAnsi="Times New Roman" w:eastAsia="宋体" w:cs="黑体"/>
          <w:color w:val="auto"/>
          <w:sz w:val="24"/>
          <w:szCs w:val="24"/>
          <w:highlight w:val="none"/>
          <w:lang w:val="en-US" w:eastAsia="zh-CN"/>
        </w:rPr>
        <w:t xml:space="preserve"> 企业营业执照</w:t>
      </w:r>
    </w:p>
    <w:p w14:paraId="12BFA72D">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黑体"/>
          <w:color w:val="auto"/>
          <w:sz w:val="24"/>
          <w:szCs w:val="24"/>
          <w:highlight w:val="none"/>
          <w:lang w:val="en-US" w:eastAsia="zh-CN"/>
        </w:rPr>
      </w:pPr>
      <w:r>
        <w:rPr>
          <w:rFonts w:hint="eastAsia" w:ascii="Times New Roman" w:hAnsi="Times New Roman" w:eastAsia="宋体" w:cs="黑体"/>
          <w:color w:val="auto"/>
          <w:sz w:val="24"/>
          <w:szCs w:val="24"/>
          <w:highlight w:val="none"/>
          <w:lang w:val="en-US" w:eastAsia="zh-CN"/>
        </w:rPr>
        <w:t>附件</w:t>
      </w:r>
      <w:r>
        <w:rPr>
          <w:rFonts w:hint="default" w:ascii="Times New Roman" w:hAnsi="Times New Roman" w:eastAsia="宋体" w:cs="Times New Roman"/>
          <w:color w:val="auto"/>
          <w:sz w:val="24"/>
          <w:szCs w:val="24"/>
          <w:highlight w:val="none"/>
          <w:lang w:val="en-US" w:eastAsia="zh-CN"/>
        </w:rPr>
        <w:t>2</w:t>
      </w:r>
      <w:r>
        <w:rPr>
          <w:rFonts w:hint="eastAsia" w:ascii="Times New Roman" w:hAnsi="Times New Roman" w:eastAsia="宋体" w:cs="黑体"/>
          <w:color w:val="auto"/>
          <w:sz w:val="24"/>
          <w:szCs w:val="24"/>
          <w:highlight w:val="none"/>
          <w:lang w:val="en-US" w:eastAsia="zh-CN"/>
        </w:rPr>
        <w:t xml:space="preserve"> 项目备案文件</w:t>
      </w:r>
    </w:p>
    <w:p w14:paraId="4DFE78F6">
      <w:pPr>
        <w:pStyle w:val="69"/>
        <w:keepNext w:val="0"/>
        <w:keepLines w:val="0"/>
        <w:pageBreakBefore w:val="0"/>
        <w:widowControl/>
        <w:tabs>
          <w:tab w:val="right" w:leader="dot" w:pos="8844"/>
        </w:tabs>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黑体"/>
          <w:color w:val="auto"/>
          <w:sz w:val="24"/>
          <w:szCs w:val="24"/>
          <w:highlight w:val="none"/>
          <w:lang w:val="en-US" w:eastAsia="zh-CN"/>
        </w:rPr>
      </w:pPr>
      <w:r>
        <w:rPr>
          <w:rFonts w:hint="eastAsia" w:ascii="Times New Roman" w:hAnsi="Times New Roman" w:eastAsia="宋体" w:cs="黑体"/>
          <w:color w:val="auto"/>
          <w:sz w:val="24"/>
          <w:szCs w:val="24"/>
          <w:highlight w:val="none"/>
          <w:lang w:val="en-US" w:eastAsia="zh-CN"/>
        </w:rPr>
        <w:t>附件</w:t>
      </w:r>
      <w:r>
        <w:rPr>
          <w:rFonts w:hint="default" w:ascii="Times New Roman" w:hAnsi="Times New Roman" w:eastAsia="宋体" w:cs="Times New Roman"/>
          <w:color w:val="auto"/>
          <w:sz w:val="24"/>
          <w:szCs w:val="24"/>
          <w:highlight w:val="none"/>
          <w:lang w:val="en-US" w:eastAsia="zh-CN"/>
        </w:rPr>
        <w:t>3</w:t>
      </w:r>
      <w:r>
        <w:rPr>
          <w:rFonts w:hint="eastAsia" w:ascii="Times New Roman" w:hAnsi="Times New Roman" w:eastAsia="宋体" w:cs="黑体"/>
          <w:color w:val="auto"/>
          <w:sz w:val="24"/>
          <w:szCs w:val="24"/>
          <w:highlight w:val="none"/>
          <w:lang w:val="en-US" w:eastAsia="zh-CN"/>
        </w:rPr>
        <w:t xml:space="preserve"> </w:t>
      </w:r>
      <w:r>
        <w:rPr>
          <w:rFonts w:hint="eastAsia" w:cs="黑体"/>
          <w:color w:val="auto"/>
          <w:sz w:val="24"/>
          <w:szCs w:val="24"/>
          <w:highlight w:val="none"/>
          <w:lang w:val="en-US" w:eastAsia="zh-CN"/>
        </w:rPr>
        <w:t>项目用地证明</w:t>
      </w:r>
    </w:p>
    <w:p w14:paraId="5EA0C0E2">
      <w:pPr>
        <w:bidi w:val="0"/>
        <w:ind w:firstLine="480" w:firstLineChars="200"/>
        <w:rPr>
          <w:rFonts w:hint="default"/>
          <w:b w:val="0"/>
          <w:bCs w:val="0"/>
          <w:color w:val="auto"/>
          <w:highlight w:val="none"/>
          <w:u w:val="none"/>
          <w:lang w:val="en-US" w:eastAsia="zh-CN"/>
        </w:rPr>
      </w:pPr>
      <w:r>
        <w:rPr>
          <w:rFonts w:hint="default"/>
          <w:b w:val="0"/>
          <w:bCs w:val="0"/>
          <w:color w:val="auto"/>
          <w:highlight w:val="none"/>
          <w:u w:val="none"/>
          <w:lang w:val="en-US" w:eastAsia="zh-CN"/>
        </w:rPr>
        <w:t>附件</w:t>
      </w:r>
      <w:r>
        <w:rPr>
          <w:rFonts w:hint="default" w:ascii="Times New Roman" w:hAnsi="Times New Roman" w:cs="Times New Roman"/>
          <w:b w:val="0"/>
          <w:bCs w:val="0"/>
          <w:color w:val="auto"/>
          <w:highlight w:val="none"/>
          <w:u w:val="none"/>
          <w:lang w:val="en-US" w:eastAsia="zh-CN"/>
        </w:rPr>
        <w:t>4</w:t>
      </w:r>
      <w:r>
        <w:rPr>
          <w:rFonts w:hint="default"/>
          <w:b w:val="0"/>
          <w:bCs w:val="0"/>
          <w:color w:val="auto"/>
          <w:highlight w:val="none"/>
          <w:u w:val="none"/>
          <w:lang w:val="en-US" w:eastAsia="zh-CN"/>
        </w:rPr>
        <w:t xml:space="preserve"> </w:t>
      </w:r>
      <w:r>
        <w:rPr>
          <w:rFonts w:hint="eastAsia" w:cs="Times New Roman"/>
          <w:b w:val="0"/>
          <w:bCs w:val="0"/>
          <w:color w:val="auto"/>
          <w:sz w:val="24"/>
          <w:szCs w:val="24"/>
          <w:highlight w:val="none"/>
          <w:u w:val="none"/>
          <w:lang w:val="en-US" w:eastAsia="zh-CN"/>
        </w:rPr>
        <w:t>官家嘴镇污水处理站可接纳本项目废水证明</w:t>
      </w:r>
    </w:p>
    <w:p w14:paraId="03547FE0">
      <w:pPr>
        <w:bidi w:val="0"/>
        <w:ind w:firstLine="480" w:firstLineChars="200"/>
        <w:rPr>
          <w:rFonts w:hint="eastAsia" w:cs="黑体"/>
          <w:color w:val="auto"/>
          <w:sz w:val="24"/>
          <w:szCs w:val="24"/>
          <w:highlight w:val="none"/>
          <w:lang w:val="en-US" w:eastAsia="zh-CN"/>
        </w:rPr>
      </w:pPr>
      <w:r>
        <w:rPr>
          <w:rFonts w:hint="default"/>
          <w:b w:val="0"/>
          <w:bCs w:val="0"/>
          <w:color w:val="auto"/>
          <w:highlight w:val="none"/>
          <w:u w:val="none"/>
          <w:lang w:val="en-US" w:eastAsia="zh-CN"/>
        </w:rPr>
        <w:t>附件</w:t>
      </w:r>
      <w:r>
        <w:rPr>
          <w:rFonts w:hint="default" w:ascii="Times New Roman" w:hAnsi="Times New Roman" w:cs="Times New Roman"/>
          <w:b w:val="0"/>
          <w:bCs w:val="0"/>
          <w:color w:val="auto"/>
          <w:highlight w:val="none"/>
          <w:u w:val="none"/>
          <w:lang w:val="en-US" w:eastAsia="zh-CN"/>
        </w:rPr>
        <w:t>5</w:t>
      </w:r>
      <w:r>
        <w:rPr>
          <w:rFonts w:hint="default"/>
          <w:b w:val="0"/>
          <w:bCs w:val="0"/>
          <w:color w:val="auto"/>
          <w:highlight w:val="none"/>
          <w:u w:val="none"/>
          <w:lang w:val="en-US" w:eastAsia="zh-CN"/>
        </w:rPr>
        <w:t xml:space="preserve"> </w:t>
      </w:r>
      <w:r>
        <w:rPr>
          <w:rFonts w:hint="eastAsia" w:cs="黑体"/>
          <w:color w:val="auto"/>
          <w:sz w:val="24"/>
          <w:szCs w:val="24"/>
          <w:highlight w:val="none"/>
          <w:lang w:val="en-US" w:eastAsia="zh-CN"/>
        </w:rPr>
        <w:t>官家嘴镇污水处理站环评批复</w:t>
      </w:r>
    </w:p>
    <w:p w14:paraId="509DCEAF">
      <w:pPr>
        <w:bidi w:val="0"/>
        <w:ind w:firstLine="480" w:firstLineChars="200"/>
        <w:rPr>
          <w:rFonts w:hint="eastAsia" w:cs="黑体"/>
          <w:color w:val="auto"/>
          <w:sz w:val="24"/>
          <w:szCs w:val="24"/>
          <w:highlight w:val="none"/>
          <w:lang w:val="en-US" w:eastAsia="zh-CN"/>
        </w:rPr>
      </w:pPr>
      <w:r>
        <w:rPr>
          <w:rFonts w:hint="eastAsia" w:cs="黑体"/>
          <w:color w:val="auto"/>
          <w:sz w:val="24"/>
          <w:szCs w:val="24"/>
          <w:highlight w:val="none"/>
          <w:lang w:val="en-US" w:eastAsia="zh-CN"/>
        </w:rPr>
        <w:t>附件6 官家嘴镇污水处理站入河排污口批复</w:t>
      </w:r>
    </w:p>
    <w:p w14:paraId="15E21073">
      <w:pPr>
        <w:bidi w:val="0"/>
        <w:ind w:firstLine="480" w:firstLineChars="200"/>
        <w:rPr>
          <w:rFonts w:hint="default"/>
          <w:b w:val="0"/>
          <w:bCs w:val="0"/>
          <w:color w:val="auto"/>
          <w:highlight w:val="none"/>
          <w:u w:val="none"/>
          <w:lang w:val="en-US" w:eastAsia="zh-CN"/>
        </w:rPr>
      </w:pPr>
      <w:r>
        <w:rPr>
          <w:rFonts w:hint="eastAsia" w:cs="黑体"/>
          <w:color w:val="auto"/>
          <w:sz w:val="24"/>
          <w:szCs w:val="24"/>
          <w:highlight w:val="none"/>
          <w:lang w:val="en-US" w:eastAsia="zh-CN"/>
        </w:rPr>
        <w:t>附件7 生物质燃料检测报告</w:t>
      </w:r>
    </w:p>
    <w:p w14:paraId="3A0C46CA">
      <w:pPr>
        <w:bidi w:val="0"/>
        <w:rPr>
          <w:rFonts w:hint="eastAsia"/>
          <w:color w:val="auto"/>
          <w:highlight w:val="yellow"/>
          <w:lang w:val="en-US" w:eastAsia="zh-CN"/>
        </w:rPr>
      </w:pPr>
    </w:p>
    <w:p w14:paraId="2573038D">
      <w:pPr>
        <w:bidi w:val="0"/>
        <w:rPr>
          <w:rFonts w:hint="eastAsia"/>
          <w:color w:val="auto"/>
          <w:highlight w:val="yellow"/>
          <w:lang w:val="en-US" w:eastAsia="zh-CN"/>
        </w:rPr>
        <w:sectPr>
          <w:footerReference r:id="rId10" w:type="default"/>
          <w:pgSz w:w="11906" w:h="16838"/>
          <w:pgMar w:top="1701" w:right="1531" w:bottom="1701" w:left="1531" w:header="851" w:footer="1077" w:gutter="0"/>
          <w:pgBorders>
            <w:top w:val="none" w:sz="0" w:space="0"/>
            <w:left w:val="none" w:sz="0" w:space="0"/>
            <w:bottom w:val="none" w:sz="0" w:space="0"/>
            <w:right w:val="none" w:sz="0" w:space="0"/>
          </w:pgBorders>
          <w:pgNumType w:fmt="decimal" w:start="1"/>
          <w:cols w:space="720" w:num="1"/>
          <w:docGrid w:linePitch="312" w:charSpace="0"/>
        </w:sectPr>
      </w:pPr>
    </w:p>
    <w:p w14:paraId="0C668763">
      <w:pPr>
        <w:pStyle w:val="24"/>
        <w:jc w:val="center"/>
        <w:outlineLvl w:val="0"/>
        <w:rPr>
          <w:rFonts w:hint="eastAsia" w:ascii="黑体" w:hAnsi="黑体" w:eastAsia="黑体"/>
          <w:snapToGrid w:val="0"/>
          <w:color w:val="auto"/>
          <w:sz w:val="30"/>
          <w:szCs w:val="30"/>
          <w:highlight w:val="none"/>
        </w:rPr>
      </w:pPr>
      <w:bookmarkStart w:id="4" w:name="_Toc27008"/>
      <w:r>
        <w:rPr>
          <w:rFonts w:hint="eastAsia" w:ascii="黑体" w:hAnsi="黑体" w:eastAsia="黑体"/>
          <w:snapToGrid w:val="0"/>
          <w:color w:val="auto"/>
          <w:sz w:val="30"/>
          <w:szCs w:val="30"/>
          <w:highlight w:val="none"/>
        </w:rPr>
        <w:t>一、建设项目基本情况</w:t>
      </w:r>
      <w:bookmarkEnd w:id="4"/>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435"/>
        <w:gridCol w:w="2521"/>
        <w:gridCol w:w="2179"/>
        <w:gridCol w:w="2735"/>
      </w:tblGrid>
      <w:tr w14:paraId="338F68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35" w:type="dxa"/>
            <w:noWrap w:val="0"/>
            <w:tcMar>
              <w:top w:w="16" w:type="dxa"/>
              <w:left w:w="16" w:type="dxa"/>
              <w:right w:w="16" w:type="dxa"/>
            </w:tcMar>
            <w:vAlign w:val="center"/>
          </w:tcPr>
          <w:p w14:paraId="1A348EF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建设项目名称</w:t>
            </w:r>
          </w:p>
        </w:tc>
        <w:tc>
          <w:tcPr>
            <w:tcW w:w="7435" w:type="dxa"/>
            <w:gridSpan w:val="3"/>
            <w:noWrap w:val="0"/>
            <w:vAlign w:val="center"/>
          </w:tcPr>
          <w:p w14:paraId="4AC26E4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yellow"/>
                <w:lang w:val="en-US"/>
              </w:rPr>
            </w:pPr>
            <w:r>
              <w:rPr>
                <w:rFonts w:hint="eastAsia" w:ascii="宋体" w:hAnsi="宋体" w:cs="宋体"/>
                <w:color w:val="auto"/>
                <w:sz w:val="24"/>
                <w:szCs w:val="24"/>
                <w:highlight w:val="none"/>
                <w:lang w:val="en-US" w:eastAsia="zh-CN"/>
              </w:rPr>
              <w:t>年加工</w:t>
            </w:r>
            <w:r>
              <w:rPr>
                <w:rFonts w:hint="eastAsia" w:cs="Times New Roman"/>
                <w:color w:val="auto"/>
                <w:sz w:val="24"/>
                <w:szCs w:val="24"/>
                <w:highlight w:val="none"/>
                <w:lang w:val="en-US" w:eastAsia="zh-CN"/>
              </w:rPr>
              <w:t>8000</w:t>
            </w:r>
            <w:r>
              <w:rPr>
                <w:rFonts w:hint="eastAsia" w:ascii="宋体" w:hAnsi="宋体" w:cs="宋体"/>
                <w:color w:val="auto"/>
                <w:sz w:val="24"/>
                <w:szCs w:val="24"/>
                <w:highlight w:val="none"/>
                <w:lang w:val="en-US" w:eastAsia="zh-CN"/>
              </w:rPr>
              <w:t>吨鲜黄花菜项目</w:t>
            </w:r>
          </w:p>
        </w:tc>
      </w:tr>
      <w:tr w14:paraId="1A59C9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35" w:type="dxa"/>
            <w:noWrap w:val="0"/>
            <w:tcMar>
              <w:top w:w="16" w:type="dxa"/>
              <w:left w:w="16" w:type="dxa"/>
              <w:right w:w="16" w:type="dxa"/>
            </w:tcMar>
            <w:vAlign w:val="center"/>
          </w:tcPr>
          <w:p w14:paraId="22FCA3C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项目代码</w:t>
            </w:r>
          </w:p>
        </w:tc>
        <w:tc>
          <w:tcPr>
            <w:tcW w:w="7435" w:type="dxa"/>
            <w:gridSpan w:val="3"/>
            <w:noWrap w:val="0"/>
            <w:vAlign w:val="center"/>
          </w:tcPr>
          <w:p w14:paraId="42E1BB0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yellow"/>
                <w:lang w:val="en-US"/>
              </w:rPr>
            </w:pPr>
            <w:r>
              <w:rPr>
                <w:rFonts w:hint="eastAsia" w:cs="Times New Roman"/>
                <w:color w:val="auto"/>
                <w:sz w:val="24"/>
                <w:szCs w:val="24"/>
                <w:highlight w:val="none"/>
                <w:lang w:val="en-US" w:eastAsia="zh-CN"/>
              </w:rPr>
              <w:t>2502-430426-04-01-485911</w:t>
            </w:r>
          </w:p>
        </w:tc>
      </w:tr>
      <w:tr w14:paraId="2DD2B7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35" w:type="dxa"/>
            <w:noWrap w:val="0"/>
            <w:tcMar>
              <w:top w:w="16" w:type="dxa"/>
              <w:left w:w="16" w:type="dxa"/>
              <w:right w:w="16" w:type="dxa"/>
            </w:tcMar>
            <w:vAlign w:val="center"/>
          </w:tcPr>
          <w:p w14:paraId="37A2F50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rPr>
              <w:t>建设单位联系人</w:t>
            </w:r>
          </w:p>
        </w:tc>
        <w:tc>
          <w:tcPr>
            <w:tcW w:w="2521" w:type="dxa"/>
            <w:noWrap w:val="0"/>
            <w:vAlign w:val="center"/>
          </w:tcPr>
          <w:p w14:paraId="130DC0F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肖淙濒</w:t>
            </w:r>
          </w:p>
        </w:tc>
        <w:tc>
          <w:tcPr>
            <w:tcW w:w="2179" w:type="dxa"/>
            <w:noWrap w:val="0"/>
            <w:vAlign w:val="center"/>
          </w:tcPr>
          <w:p w14:paraId="68E0861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联系方式</w:t>
            </w:r>
          </w:p>
        </w:tc>
        <w:tc>
          <w:tcPr>
            <w:tcW w:w="2735" w:type="dxa"/>
            <w:noWrap w:val="0"/>
            <w:vAlign w:val="center"/>
          </w:tcPr>
          <w:p w14:paraId="6C9CC3C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eastAsia="宋体" w:cs="宋体"/>
                <w:color w:val="auto"/>
                <w:sz w:val="24"/>
                <w:szCs w:val="24"/>
                <w:highlight w:val="yellow"/>
                <w:lang w:val="en-US" w:eastAsia="zh-CN"/>
              </w:rPr>
            </w:pPr>
            <w:r>
              <w:rPr>
                <w:rFonts w:hint="default" w:ascii="Times New Roman" w:hAnsi="Times New Roman" w:eastAsia="宋体" w:cs="Times New Roman"/>
                <w:color w:val="auto"/>
                <w:sz w:val="24"/>
                <w:szCs w:val="24"/>
                <w:highlight w:val="none"/>
                <w:lang w:val="en-US" w:eastAsia="zh-CN"/>
              </w:rPr>
              <w:t>13762459252</w:t>
            </w:r>
          </w:p>
        </w:tc>
      </w:tr>
      <w:tr w14:paraId="44C3C9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435" w:type="dxa"/>
            <w:noWrap w:val="0"/>
            <w:tcMar>
              <w:top w:w="16" w:type="dxa"/>
              <w:left w:w="16" w:type="dxa"/>
              <w:right w:w="16" w:type="dxa"/>
            </w:tcMar>
            <w:vAlign w:val="center"/>
          </w:tcPr>
          <w:p w14:paraId="47E4CC1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建设地点</w:t>
            </w:r>
          </w:p>
        </w:tc>
        <w:tc>
          <w:tcPr>
            <w:tcW w:w="7435" w:type="dxa"/>
            <w:gridSpan w:val="3"/>
            <w:noWrap w:val="0"/>
            <w:vAlign w:val="center"/>
          </w:tcPr>
          <w:p w14:paraId="63C3F2A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lang w:val="en-US"/>
              </w:rPr>
            </w:pPr>
            <w:r>
              <w:rPr>
                <w:rFonts w:hint="eastAsia" w:cs="Times New Roman"/>
                <w:color w:val="auto"/>
                <w:sz w:val="24"/>
                <w:szCs w:val="24"/>
                <w:highlight w:val="none"/>
                <w:u w:val="none"/>
                <w:lang w:val="en-US" w:eastAsia="zh-CN"/>
              </w:rPr>
              <w:t>湖南省衡阳市祁东县官家嘴镇官家嘴村</w:t>
            </w:r>
          </w:p>
        </w:tc>
      </w:tr>
      <w:tr w14:paraId="520BB4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35" w:type="dxa"/>
            <w:noWrap w:val="0"/>
            <w:tcMar>
              <w:top w:w="16" w:type="dxa"/>
              <w:left w:w="16" w:type="dxa"/>
              <w:right w:w="16" w:type="dxa"/>
            </w:tcMar>
            <w:vAlign w:val="center"/>
          </w:tcPr>
          <w:p w14:paraId="79FF2D0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地理坐标</w:t>
            </w:r>
          </w:p>
        </w:tc>
        <w:tc>
          <w:tcPr>
            <w:tcW w:w="7435" w:type="dxa"/>
            <w:gridSpan w:val="3"/>
            <w:noWrap w:val="0"/>
            <w:vAlign w:val="center"/>
          </w:tcPr>
          <w:p w14:paraId="09A79406">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宋体" w:hAnsi="宋体" w:cs="宋体"/>
                <w:color w:val="auto"/>
                <w:sz w:val="24"/>
                <w:szCs w:val="24"/>
                <w:highlight w:val="none"/>
              </w:rPr>
            </w:pPr>
            <w:r>
              <w:rPr>
                <w:rFonts w:hint="eastAsia" w:ascii="Times New Roman" w:hAnsi="Times New Roman" w:cs="Times New Roman"/>
                <w:color w:val="auto"/>
                <w:sz w:val="24"/>
                <w:szCs w:val="24"/>
                <w:highlight w:val="none"/>
              </w:rPr>
              <w:t>（</w:t>
            </w:r>
            <w:r>
              <w:rPr>
                <w:rFonts w:hint="default" w:ascii="Times New Roman" w:hAnsi="Times New Roman" w:cs="Times New Roman"/>
                <w:color w:val="auto"/>
                <w:sz w:val="24"/>
                <w:szCs w:val="24"/>
                <w:highlight w:val="none"/>
                <w:u w:val="single"/>
              </w:rPr>
              <w:t xml:space="preserve"> </w:t>
            </w:r>
            <w:r>
              <w:rPr>
                <w:rFonts w:hint="eastAsia" w:ascii="Times New Roman" w:hAnsi="Times New Roman" w:cs="Times New Roman"/>
                <w:color w:val="auto"/>
                <w:sz w:val="24"/>
                <w:szCs w:val="24"/>
                <w:highlight w:val="none"/>
                <w:u w:val="single"/>
                <w:lang w:val="en-US" w:eastAsia="zh-CN"/>
              </w:rPr>
              <w:t>东经</w:t>
            </w:r>
            <w:r>
              <w:rPr>
                <w:rFonts w:hint="default" w:ascii="Times New Roman" w:hAnsi="Times New Roman" w:cs="Times New Roman"/>
                <w:color w:val="auto"/>
                <w:sz w:val="24"/>
                <w:szCs w:val="24"/>
                <w:highlight w:val="none"/>
                <w:u w:val="single"/>
                <w:lang w:val="en-US" w:eastAsia="zh-CN"/>
              </w:rPr>
              <w:t>11</w:t>
            </w:r>
            <w:r>
              <w:rPr>
                <w:rFonts w:hint="eastAsia" w:cs="Times New Roman"/>
                <w:color w:val="auto"/>
                <w:sz w:val="24"/>
                <w:szCs w:val="24"/>
                <w:highlight w:val="none"/>
                <w:u w:val="single"/>
                <w:lang w:val="en-US" w:eastAsia="zh-CN"/>
              </w:rPr>
              <w:t>1</w:t>
            </w:r>
            <w:r>
              <w:rPr>
                <w:rFonts w:hint="default" w:ascii="Times New Roman" w:hAnsi="Times New Roman" w:cs="Times New Roman"/>
                <w:color w:val="auto"/>
                <w:sz w:val="24"/>
                <w:szCs w:val="24"/>
                <w:highlight w:val="none"/>
                <w:u w:val="single"/>
              </w:rPr>
              <w:t xml:space="preserve"> </w:t>
            </w:r>
            <w:r>
              <w:rPr>
                <w:rFonts w:hint="eastAsia" w:ascii="Times New Roman" w:hAnsi="Times New Roman" w:cs="Times New Roman"/>
                <w:color w:val="auto"/>
                <w:sz w:val="24"/>
                <w:szCs w:val="24"/>
                <w:highlight w:val="none"/>
              </w:rPr>
              <w:t>度</w:t>
            </w:r>
            <w:r>
              <w:rPr>
                <w:rFonts w:hint="default" w:ascii="Times New Roman" w:hAnsi="Times New Roman" w:cs="Times New Roman"/>
                <w:color w:val="auto"/>
                <w:sz w:val="24"/>
                <w:szCs w:val="24"/>
                <w:highlight w:val="none"/>
                <w:u w:val="single"/>
              </w:rPr>
              <w:t xml:space="preserve"> </w:t>
            </w:r>
            <w:r>
              <w:rPr>
                <w:rFonts w:hint="eastAsia" w:cs="Times New Roman"/>
                <w:color w:val="auto"/>
                <w:sz w:val="24"/>
                <w:szCs w:val="24"/>
                <w:highlight w:val="none"/>
                <w:u w:val="single"/>
                <w:lang w:val="en-US" w:eastAsia="zh-CN"/>
              </w:rPr>
              <w:t>50</w:t>
            </w:r>
            <w:r>
              <w:rPr>
                <w:rFonts w:hint="default" w:ascii="Times New Roman" w:hAnsi="Times New Roman" w:cs="Times New Roman"/>
                <w:color w:val="auto"/>
                <w:sz w:val="24"/>
                <w:szCs w:val="24"/>
                <w:highlight w:val="none"/>
                <w:u w:val="single"/>
              </w:rPr>
              <w:t xml:space="preserve"> </w:t>
            </w:r>
            <w:r>
              <w:rPr>
                <w:rFonts w:hint="eastAsia" w:ascii="Times New Roman" w:hAnsi="Times New Roman" w:cs="Times New Roman"/>
                <w:color w:val="auto"/>
                <w:sz w:val="24"/>
                <w:szCs w:val="24"/>
                <w:highlight w:val="none"/>
              </w:rPr>
              <w:t>分</w:t>
            </w:r>
            <w:r>
              <w:rPr>
                <w:rFonts w:hint="default" w:ascii="Times New Roman" w:hAnsi="Times New Roman" w:cs="Times New Roman"/>
                <w:color w:val="auto"/>
                <w:sz w:val="24"/>
                <w:szCs w:val="24"/>
                <w:highlight w:val="none"/>
                <w:u w:val="single"/>
              </w:rPr>
              <w:t xml:space="preserve"> </w:t>
            </w:r>
            <w:r>
              <w:rPr>
                <w:rFonts w:hint="eastAsia" w:cs="Times New Roman"/>
                <w:color w:val="auto"/>
                <w:sz w:val="24"/>
                <w:szCs w:val="24"/>
                <w:highlight w:val="none"/>
                <w:u w:val="single"/>
                <w:lang w:val="en-US" w:eastAsia="zh-CN"/>
              </w:rPr>
              <w:t>7.01271</w:t>
            </w:r>
            <w:r>
              <w:rPr>
                <w:rFonts w:hint="default" w:ascii="Times New Roman" w:hAnsi="Times New Roman" w:cs="Times New Roman"/>
                <w:color w:val="auto"/>
                <w:sz w:val="24"/>
                <w:szCs w:val="24"/>
                <w:highlight w:val="none"/>
                <w:u w:val="single"/>
              </w:rPr>
              <w:t xml:space="preserve"> </w:t>
            </w:r>
            <w:r>
              <w:rPr>
                <w:rFonts w:hint="eastAsia" w:ascii="Times New Roman" w:hAnsi="Times New Roman" w:cs="Times New Roman"/>
                <w:color w:val="auto"/>
                <w:sz w:val="24"/>
                <w:szCs w:val="24"/>
                <w:highlight w:val="none"/>
              </w:rPr>
              <w:t>秒，</w:t>
            </w:r>
            <w:r>
              <w:rPr>
                <w:rFonts w:hint="default" w:ascii="Times New Roman" w:hAnsi="Times New Roman" w:cs="Times New Roman"/>
                <w:color w:val="auto"/>
                <w:sz w:val="24"/>
                <w:szCs w:val="24"/>
                <w:highlight w:val="none"/>
                <w:u w:val="single"/>
              </w:rPr>
              <w:t xml:space="preserve"> </w:t>
            </w:r>
            <w:r>
              <w:rPr>
                <w:rFonts w:hint="eastAsia" w:ascii="Times New Roman" w:hAnsi="Times New Roman" w:cs="Times New Roman"/>
                <w:color w:val="auto"/>
                <w:sz w:val="24"/>
                <w:szCs w:val="24"/>
                <w:highlight w:val="none"/>
                <w:u w:val="single"/>
                <w:lang w:val="en-US" w:eastAsia="zh-CN"/>
              </w:rPr>
              <w:t>北纬</w:t>
            </w:r>
            <w:r>
              <w:rPr>
                <w:rFonts w:hint="default" w:ascii="Times New Roman" w:hAnsi="Times New Roman" w:cs="Times New Roman"/>
                <w:color w:val="auto"/>
                <w:sz w:val="24"/>
                <w:szCs w:val="24"/>
                <w:highlight w:val="none"/>
                <w:u w:val="single"/>
                <w:lang w:val="en-US" w:eastAsia="zh-CN"/>
              </w:rPr>
              <w:t>26</w:t>
            </w:r>
            <w:r>
              <w:rPr>
                <w:rFonts w:hint="default" w:ascii="Times New Roman" w:hAnsi="Times New Roman" w:cs="Times New Roman"/>
                <w:color w:val="auto"/>
                <w:sz w:val="24"/>
                <w:szCs w:val="24"/>
                <w:highlight w:val="none"/>
                <w:u w:val="single"/>
              </w:rPr>
              <w:t xml:space="preserve"> </w:t>
            </w:r>
            <w:r>
              <w:rPr>
                <w:rFonts w:hint="eastAsia" w:ascii="Times New Roman" w:hAnsi="Times New Roman" w:cs="Times New Roman"/>
                <w:color w:val="auto"/>
                <w:sz w:val="24"/>
                <w:szCs w:val="24"/>
                <w:highlight w:val="none"/>
              </w:rPr>
              <w:t>度</w:t>
            </w:r>
            <w:r>
              <w:rPr>
                <w:rFonts w:hint="default" w:ascii="Times New Roman" w:hAnsi="Times New Roman" w:cs="Times New Roman"/>
                <w:color w:val="auto"/>
                <w:sz w:val="24"/>
                <w:szCs w:val="24"/>
                <w:highlight w:val="none"/>
                <w:u w:val="single"/>
              </w:rPr>
              <w:t xml:space="preserve"> </w:t>
            </w:r>
            <w:r>
              <w:rPr>
                <w:rFonts w:hint="eastAsia" w:cs="Times New Roman"/>
                <w:color w:val="auto"/>
                <w:sz w:val="24"/>
                <w:szCs w:val="24"/>
                <w:highlight w:val="none"/>
                <w:u w:val="single"/>
                <w:lang w:val="en-US" w:eastAsia="zh-CN"/>
              </w:rPr>
              <w:t>56</w:t>
            </w:r>
            <w:r>
              <w:rPr>
                <w:rFonts w:hint="default" w:ascii="Times New Roman" w:hAnsi="Times New Roman" w:cs="Times New Roman"/>
                <w:color w:val="auto"/>
                <w:sz w:val="24"/>
                <w:szCs w:val="24"/>
                <w:highlight w:val="none"/>
                <w:u w:val="single"/>
              </w:rPr>
              <w:t xml:space="preserve"> </w:t>
            </w:r>
            <w:r>
              <w:rPr>
                <w:rFonts w:hint="eastAsia" w:ascii="Times New Roman" w:hAnsi="Times New Roman" w:cs="Times New Roman"/>
                <w:color w:val="auto"/>
                <w:sz w:val="24"/>
                <w:szCs w:val="24"/>
                <w:highlight w:val="none"/>
              </w:rPr>
              <w:t>分</w:t>
            </w:r>
            <w:r>
              <w:rPr>
                <w:rFonts w:hint="default" w:ascii="Times New Roman" w:hAnsi="Times New Roman" w:cs="Times New Roman"/>
                <w:color w:val="auto"/>
                <w:sz w:val="24"/>
                <w:szCs w:val="24"/>
                <w:highlight w:val="none"/>
                <w:u w:val="single"/>
              </w:rPr>
              <w:t xml:space="preserve"> </w:t>
            </w:r>
            <w:r>
              <w:rPr>
                <w:rFonts w:hint="eastAsia" w:cs="Times New Roman"/>
                <w:color w:val="auto"/>
                <w:sz w:val="24"/>
                <w:szCs w:val="24"/>
                <w:highlight w:val="none"/>
                <w:u w:val="single"/>
                <w:lang w:val="en-US" w:eastAsia="zh-CN"/>
              </w:rPr>
              <w:t xml:space="preserve">12.55719 </w:t>
            </w:r>
            <w:r>
              <w:rPr>
                <w:rFonts w:hint="default" w:ascii="Times New Roman" w:hAnsi="Times New Roman" w:cs="Times New Roman"/>
                <w:color w:val="auto"/>
                <w:sz w:val="24"/>
                <w:szCs w:val="24"/>
                <w:highlight w:val="none"/>
                <w:u w:val="single"/>
              </w:rPr>
              <w:t xml:space="preserve"> </w:t>
            </w:r>
            <w:r>
              <w:rPr>
                <w:rFonts w:hint="eastAsia" w:ascii="Times New Roman" w:hAnsi="Times New Roman" w:cs="Times New Roman"/>
                <w:color w:val="auto"/>
                <w:sz w:val="24"/>
                <w:szCs w:val="24"/>
                <w:highlight w:val="none"/>
              </w:rPr>
              <w:t>秒）</w:t>
            </w:r>
          </w:p>
        </w:tc>
      </w:tr>
      <w:tr w14:paraId="7BBC44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435" w:type="dxa"/>
            <w:noWrap w:val="0"/>
            <w:tcMar>
              <w:top w:w="16" w:type="dxa"/>
              <w:left w:w="16" w:type="dxa"/>
              <w:right w:w="16" w:type="dxa"/>
            </w:tcMar>
            <w:vAlign w:val="center"/>
          </w:tcPr>
          <w:p w14:paraId="4C27EB1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rPr>
              <w:t>国民经济</w:t>
            </w:r>
          </w:p>
          <w:p w14:paraId="41F518D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行业类别</w:t>
            </w:r>
          </w:p>
        </w:tc>
        <w:tc>
          <w:tcPr>
            <w:tcW w:w="2521" w:type="dxa"/>
            <w:noWrap w:val="0"/>
            <w:vAlign w:val="center"/>
          </w:tcPr>
          <w:p w14:paraId="68DF3A70">
            <w:pPr>
              <w:keepNext w:val="0"/>
              <w:keepLines w:val="0"/>
              <w:suppressLineNumbers w:val="0"/>
              <w:bidi w:val="0"/>
              <w:spacing w:before="0" w:beforeAutospacing="0" w:after="0" w:afterAutospacing="0" w:line="240" w:lineRule="auto"/>
              <w:ind w:left="0" w:right="0"/>
              <w:rPr>
                <w:rFonts w:hint="default" w:cs="Times New Roman"/>
                <w:color w:val="auto"/>
                <w:sz w:val="24"/>
                <w:szCs w:val="24"/>
                <w:highlight w:val="none"/>
                <w:lang w:val="en-US" w:eastAsia="zh-CN"/>
              </w:rPr>
            </w:pPr>
            <w:r>
              <w:rPr>
                <w:rFonts w:hint="eastAsia" w:cs="Times New Roman"/>
                <w:color w:val="auto"/>
                <w:sz w:val="24"/>
                <w:szCs w:val="24"/>
                <w:highlight w:val="none"/>
                <w:lang w:val="en-US" w:eastAsia="zh-CN"/>
              </w:rPr>
              <w:t>C1439其他方便食品制造</w:t>
            </w:r>
          </w:p>
          <w:p w14:paraId="7B4B360B">
            <w:pPr>
              <w:keepNext w:val="0"/>
              <w:keepLines w:val="0"/>
              <w:suppressLineNumbers w:val="0"/>
              <w:bidi w:val="0"/>
              <w:spacing w:before="0" w:beforeAutospacing="0" w:after="0" w:afterAutospacing="0" w:line="240" w:lineRule="auto"/>
              <w:ind w:left="0" w:right="0"/>
              <w:rPr>
                <w:rFonts w:hint="default" w:cs="Times New Roman"/>
                <w:color w:val="auto"/>
                <w:sz w:val="24"/>
                <w:szCs w:val="24"/>
                <w:highlight w:val="none"/>
                <w:lang w:val="en-US"/>
              </w:rPr>
            </w:pPr>
            <w:r>
              <w:rPr>
                <w:rFonts w:hint="default" w:ascii="Times New Roman" w:hAnsi="Times New Roman" w:cs="Times New Roman"/>
                <w:color w:val="auto"/>
                <w:sz w:val="24"/>
                <w:szCs w:val="24"/>
                <w:highlight w:val="none"/>
                <w:lang w:val="en-US" w:eastAsia="zh-CN"/>
              </w:rPr>
              <w:t>C</w:t>
            </w:r>
            <w:r>
              <w:rPr>
                <w:rFonts w:hint="eastAsia" w:cs="Times New Roman"/>
                <w:color w:val="auto"/>
                <w:sz w:val="24"/>
                <w:szCs w:val="24"/>
                <w:highlight w:val="none"/>
                <w:lang w:val="en-US" w:eastAsia="zh-CN"/>
              </w:rPr>
              <w:t>1371蔬菜加工</w:t>
            </w:r>
          </w:p>
        </w:tc>
        <w:tc>
          <w:tcPr>
            <w:tcW w:w="2179" w:type="dxa"/>
            <w:noWrap w:val="0"/>
            <w:vAlign w:val="center"/>
          </w:tcPr>
          <w:p w14:paraId="4AD29D8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bookmarkStart w:id="5" w:name="_Hlk49843745"/>
            <w:r>
              <w:rPr>
                <w:rFonts w:hint="eastAsia" w:ascii="宋体" w:hAnsi="宋体" w:cs="宋体"/>
                <w:color w:val="auto"/>
                <w:sz w:val="24"/>
                <w:szCs w:val="24"/>
                <w:highlight w:val="none"/>
              </w:rPr>
              <w:t>建设项目</w:t>
            </w:r>
          </w:p>
          <w:p w14:paraId="7755434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行业类别</w:t>
            </w:r>
            <w:bookmarkEnd w:id="5"/>
          </w:p>
        </w:tc>
        <w:tc>
          <w:tcPr>
            <w:tcW w:w="2735" w:type="dxa"/>
            <w:noWrap w:val="0"/>
            <w:vAlign w:val="center"/>
          </w:tcPr>
          <w:p w14:paraId="499A7326">
            <w:pPr>
              <w:pStyle w:val="3"/>
              <w:numPr>
                <w:ilvl w:val="0"/>
                <w:numId w:val="0"/>
              </w:numPr>
              <w:suppressLineNumbers w:val="0"/>
              <w:spacing w:before="0" w:after="0" w:line="240" w:lineRule="auto"/>
              <w:ind w:left="0" w:leftChars="0" w:right="0"/>
              <w:rPr>
                <w:rFonts w:hint="default" w:eastAsia="宋体" w:cs="Times New Roman"/>
                <w:b w:val="0"/>
                <w:bCs w:val="0"/>
                <w:color w:val="auto"/>
                <w:sz w:val="24"/>
                <w:szCs w:val="24"/>
                <w:highlight w:val="none"/>
                <w:lang w:val="en-US" w:eastAsia="zh-CN"/>
              </w:rPr>
            </w:pPr>
            <w:r>
              <w:rPr>
                <w:rFonts w:hint="default" w:cs="Times New Roman"/>
                <w:b w:val="0"/>
                <w:bCs w:val="0"/>
                <w:color w:val="auto"/>
                <w:sz w:val="24"/>
                <w:szCs w:val="24"/>
                <w:highlight w:val="none"/>
                <w:lang w:val="en-US"/>
              </w:rPr>
              <w:t>十</w:t>
            </w:r>
            <w:r>
              <w:rPr>
                <w:rFonts w:hint="eastAsia" w:cs="Times New Roman"/>
                <w:b w:val="0"/>
                <w:bCs w:val="0"/>
                <w:color w:val="auto"/>
                <w:sz w:val="24"/>
                <w:szCs w:val="24"/>
                <w:highlight w:val="none"/>
                <w:lang w:val="en-US" w:eastAsia="zh-CN"/>
              </w:rPr>
              <w:t>一</w:t>
            </w:r>
            <w:r>
              <w:rPr>
                <w:rFonts w:hint="default" w:cs="Times New Roman"/>
                <w:b w:val="0"/>
                <w:bCs w:val="0"/>
                <w:color w:val="auto"/>
                <w:sz w:val="24"/>
                <w:szCs w:val="24"/>
                <w:highlight w:val="none"/>
                <w:lang w:val="en-US"/>
              </w:rPr>
              <w:t>、</w:t>
            </w:r>
            <w:r>
              <w:rPr>
                <w:rFonts w:hint="eastAsia" w:cs="Times New Roman"/>
                <w:b w:val="0"/>
                <w:bCs w:val="0"/>
                <w:color w:val="auto"/>
                <w:sz w:val="24"/>
                <w:szCs w:val="24"/>
                <w:highlight w:val="none"/>
                <w:lang w:val="en-US" w:eastAsia="zh-CN"/>
              </w:rPr>
              <w:t xml:space="preserve">食品制造业14—— </w:t>
            </w:r>
            <w:r>
              <w:rPr>
                <w:rFonts w:hint="eastAsia"/>
                <w:b w:val="0"/>
                <w:bCs w:val="0"/>
                <w:color w:val="auto"/>
                <w:highlight w:val="none"/>
                <w:lang w:val="en-US" w:eastAsia="zh-CN"/>
              </w:rPr>
              <w:t>方便食品制造143；十、农副食品加工业13——其他农副食品加工139</w:t>
            </w:r>
          </w:p>
        </w:tc>
      </w:tr>
      <w:tr w14:paraId="0F2E63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435" w:type="dxa"/>
            <w:noWrap w:val="0"/>
            <w:tcMar>
              <w:top w:w="16" w:type="dxa"/>
              <w:left w:w="16" w:type="dxa"/>
              <w:right w:w="16" w:type="dxa"/>
            </w:tcMar>
            <w:vAlign w:val="center"/>
          </w:tcPr>
          <w:p w14:paraId="39D5DA7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建设性质</w:t>
            </w:r>
          </w:p>
        </w:tc>
        <w:tc>
          <w:tcPr>
            <w:tcW w:w="2521" w:type="dxa"/>
            <w:noWrap w:val="0"/>
            <w:vAlign w:val="center"/>
          </w:tcPr>
          <w:p w14:paraId="064B133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left"/>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新建（迁建）</w:t>
            </w:r>
          </w:p>
          <w:p w14:paraId="08BA56A9">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left"/>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改建</w:t>
            </w:r>
          </w:p>
          <w:p w14:paraId="401911C6">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left"/>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扩建</w:t>
            </w:r>
          </w:p>
          <w:p w14:paraId="51BBD16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left"/>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技术改造</w:t>
            </w:r>
          </w:p>
        </w:tc>
        <w:tc>
          <w:tcPr>
            <w:tcW w:w="2179" w:type="dxa"/>
            <w:noWrap w:val="0"/>
            <w:vAlign w:val="center"/>
          </w:tcPr>
          <w:p w14:paraId="5A84285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rPr>
              <w:t>建设项目</w:t>
            </w:r>
          </w:p>
          <w:p w14:paraId="63B8129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申报情形</w:t>
            </w:r>
          </w:p>
        </w:tc>
        <w:tc>
          <w:tcPr>
            <w:tcW w:w="2735" w:type="dxa"/>
            <w:noWrap w:val="0"/>
            <w:vAlign w:val="center"/>
          </w:tcPr>
          <w:p w14:paraId="663BA56C">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left"/>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首次申报项目</w:t>
            </w:r>
          </w:p>
          <w:p w14:paraId="06A742E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left"/>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□不予批准后再次申报项目</w:t>
            </w:r>
          </w:p>
          <w:p w14:paraId="605DBD7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left"/>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超五年重新审核项目</w:t>
            </w:r>
            <w:r>
              <w:rPr>
                <w:rFonts w:hint="default" w:ascii="宋体" w:hAnsi="宋体" w:cs="宋体"/>
                <w:color w:val="auto"/>
                <w:sz w:val="24"/>
                <w:szCs w:val="24"/>
                <w:highlight w:val="none"/>
              </w:rPr>
              <w:t xml:space="preserve">     </w:t>
            </w:r>
          </w:p>
          <w:p w14:paraId="28D60EAA">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left"/>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□重大变动重新报批项目</w:t>
            </w:r>
          </w:p>
        </w:tc>
      </w:tr>
      <w:tr w14:paraId="04AAEF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1435" w:type="dxa"/>
            <w:noWrap w:val="0"/>
            <w:tcMar>
              <w:top w:w="16" w:type="dxa"/>
              <w:left w:w="16" w:type="dxa"/>
              <w:right w:w="16" w:type="dxa"/>
            </w:tcMar>
            <w:vAlign w:val="center"/>
          </w:tcPr>
          <w:p w14:paraId="4DEB14B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rPr>
              <w:t>项目审批（核准</w:t>
            </w:r>
            <w:r>
              <w:rPr>
                <w:rFonts w:hint="default" w:ascii="宋体" w:hAnsi="宋体" w:cs="宋体"/>
                <w:color w:val="auto"/>
                <w:sz w:val="24"/>
                <w:szCs w:val="24"/>
                <w:highlight w:val="none"/>
              </w:rPr>
              <w:t>/</w:t>
            </w:r>
          </w:p>
          <w:p w14:paraId="0F9C4E1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备案）部门（选填）</w:t>
            </w:r>
          </w:p>
        </w:tc>
        <w:tc>
          <w:tcPr>
            <w:tcW w:w="2521" w:type="dxa"/>
            <w:noWrap w:val="0"/>
            <w:vAlign w:val="center"/>
          </w:tcPr>
          <w:p w14:paraId="2DB4179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祁东县发展和改革局</w:t>
            </w:r>
          </w:p>
        </w:tc>
        <w:tc>
          <w:tcPr>
            <w:tcW w:w="2179" w:type="dxa"/>
            <w:noWrap w:val="0"/>
            <w:vAlign w:val="center"/>
          </w:tcPr>
          <w:p w14:paraId="54AFD08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rPr>
              <w:t>项目审批（核准</w:t>
            </w:r>
            <w:r>
              <w:rPr>
                <w:rFonts w:hint="default" w:ascii="宋体" w:hAnsi="宋体" w:cs="宋体"/>
                <w:color w:val="auto"/>
                <w:sz w:val="24"/>
                <w:szCs w:val="24"/>
                <w:highlight w:val="none"/>
              </w:rPr>
              <w:t>/</w:t>
            </w:r>
          </w:p>
          <w:p w14:paraId="5B07923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rPr>
              <w:t>备案）文号（选填）</w:t>
            </w:r>
          </w:p>
        </w:tc>
        <w:tc>
          <w:tcPr>
            <w:tcW w:w="2735" w:type="dxa"/>
            <w:noWrap w:val="0"/>
            <w:vAlign w:val="center"/>
          </w:tcPr>
          <w:p w14:paraId="5E8E68B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yellow"/>
              </w:rPr>
            </w:pPr>
            <w:r>
              <w:rPr>
                <w:rFonts w:hint="eastAsia" w:cs="Times New Roman"/>
                <w:color w:val="auto"/>
                <w:sz w:val="24"/>
                <w:szCs w:val="24"/>
                <w:highlight w:val="none"/>
                <w:lang w:val="en-US" w:eastAsia="zh-CN"/>
              </w:rPr>
              <w:t>2502-430426-04-01-485911</w:t>
            </w:r>
          </w:p>
        </w:tc>
      </w:tr>
      <w:tr w14:paraId="09AD41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35" w:type="dxa"/>
            <w:noWrap w:val="0"/>
            <w:tcMar>
              <w:top w:w="16" w:type="dxa"/>
              <w:left w:w="16" w:type="dxa"/>
              <w:right w:w="16" w:type="dxa"/>
            </w:tcMar>
            <w:vAlign w:val="center"/>
          </w:tcPr>
          <w:p w14:paraId="4C097D4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总投资（万元）</w:t>
            </w:r>
          </w:p>
        </w:tc>
        <w:tc>
          <w:tcPr>
            <w:tcW w:w="2521" w:type="dxa"/>
            <w:noWrap w:val="0"/>
            <w:vAlign w:val="center"/>
          </w:tcPr>
          <w:p w14:paraId="3F75769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宋体"/>
                <w:color w:val="auto"/>
                <w:sz w:val="24"/>
                <w:szCs w:val="24"/>
                <w:highlight w:val="none"/>
                <w:lang w:val="en-US" w:eastAsia="zh-CN"/>
              </w:rPr>
            </w:pPr>
            <w:r>
              <w:rPr>
                <w:rFonts w:hint="eastAsia" w:cs="Times New Roman"/>
                <w:color w:val="auto"/>
                <w:sz w:val="24"/>
                <w:szCs w:val="24"/>
                <w:highlight w:val="none"/>
                <w:lang w:val="en-US" w:eastAsia="zh-CN"/>
              </w:rPr>
              <w:t>2600</w:t>
            </w:r>
          </w:p>
        </w:tc>
        <w:tc>
          <w:tcPr>
            <w:tcW w:w="2179" w:type="dxa"/>
            <w:noWrap w:val="0"/>
            <w:tcMar>
              <w:top w:w="16" w:type="dxa"/>
              <w:left w:w="16" w:type="dxa"/>
              <w:right w:w="16" w:type="dxa"/>
            </w:tcMar>
            <w:vAlign w:val="center"/>
          </w:tcPr>
          <w:p w14:paraId="1DC523A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宋体"/>
                <w:color w:val="auto"/>
                <w:sz w:val="24"/>
                <w:szCs w:val="24"/>
                <w:highlight w:val="none"/>
              </w:rPr>
            </w:pPr>
            <w:r>
              <w:rPr>
                <w:rFonts w:hint="eastAsia" w:ascii="Times New Roman" w:hAnsi="Times New Roman" w:cs="宋体"/>
                <w:color w:val="auto"/>
                <w:sz w:val="24"/>
                <w:szCs w:val="24"/>
                <w:highlight w:val="none"/>
              </w:rPr>
              <w:t>环保投资（万元）</w:t>
            </w:r>
          </w:p>
        </w:tc>
        <w:tc>
          <w:tcPr>
            <w:tcW w:w="2735" w:type="dxa"/>
            <w:noWrap w:val="0"/>
            <w:vAlign w:val="center"/>
          </w:tcPr>
          <w:p w14:paraId="0BEF28C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宋体"/>
                <w:color w:val="auto"/>
                <w:sz w:val="24"/>
                <w:szCs w:val="24"/>
                <w:highlight w:val="none"/>
                <w:lang w:val="en-US" w:eastAsia="zh-CN"/>
              </w:rPr>
            </w:pPr>
            <w:r>
              <w:rPr>
                <w:rFonts w:hint="eastAsia" w:cs="Times New Roman"/>
                <w:color w:val="auto"/>
                <w:sz w:val="24"/>
                <w:szCs w:val="24"/>
                <w:highlight w:val="none"/>
                <w:lang w:val="en-US" w:eastAsia="zh-CN"/>
              </w:rPr>
              <w:t>255</w:t>
            </w:r>
          </w:p>
        </w:tc>
      </w:tr>
      <w:tr w14:paraId="65FDD4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35" w:type="dxa"/>
            <w:noWrap w:val="0"/>
            <w:tcMar>
              <w:top w:w="16" w:type="dxa"/>
              <w:left w:w="16" w:type="dxa"/>
              <w:right w:w="16" w:type="dxa"/>
            </w:tcMar>
            <w:vAlign w:val="center"/>
          </w:tcPr>
          <w:p w14:paraId="49D0BEA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rPr>
              <w:t>环保投资占比（</w:t>
            </w:r>
            <w:r>
              <w:rPr>
                <w:rFonts w:hint="default" w:ascii="宋体" w:hAnsi="宋体" w:cs="宋体"/>
                <w:color w:val="auto"/>
                <w:sz w:val="24"/>
                <w:szCs w:val="24"/>
                <w:highlight w:val="none"/>
              </w:rPr>
              <w:t>%</w:t>
            </w:r>
            <w:r>
              <w:rPr>
                <w:rFonts w:hint="eastAsia" w:ascii="宋体" w:hAnsi="宋体" w:cs="宋体"/>
                <w:color w:val="auto"/>
                <w:sz w:val="24"/>
                <w:szCs w:val="24"/>
                <w:highlight w:val="none"/>
              </w:rPr>
              <w:t>）</w:t>
            </w:r>
          </w:p>
        </w:tc>
        <w:tc>
          <w:tcPr>
            <w:tcW w:w="2521" w:type="dxa"/>
            <w:noWrap w:val="0"/>
            <w:vAlign w:val="center"/>
          </w:tcPr>
          <w:p w14:paraId="3C05D88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宋体"/>
                <w:color w:val="auto"/>
                <w:sz w:val="24"/>
                <w:szCs w:val="24"/>
                <w:highlight w:val="none"/>
                <w:lang w:val="en-US" w:eastAsia="zh-CN"/>
              </w:rPr>
            </w:pPr>
            <w:r>
              <w:rPr>
                <w:rFonts w:hint="eastAsia" w:cs="Times New Roman"/>
                <w:color w:val="auto"/>
                <w:sz w:val="24"/>
                <w:szCs w:val="24"/>
                <w:highlight w:val="none"/>
                <w:lang w:val="en-US" w:eastAsia="zh-CN"/>
              </w:rPr>
              <w:t>9.8</w:t>
            </w:r>
            <w:r>
              <w:rPr>
                <w:rFonts w:hint="eastAsia" w:cs="宋体"/>
                <w:color w:val="auto"/>
                <w:sz w:val="24"/>
                <w:szCs w:val="24"/>
                <w:highlight w:val="none"/>
                <w:lang w:val="en-US" w:eastAsia="zh-CN"/>
              </w:rPr>
              <w:t>%</w:t>
            </w:r>
          </w:p>
        </w:tc>
        <w:tc>
          <w:tcPr>
            <w:tcW w:w="2179" w:type="dxa"/>
            <w:noWrap w:val="0"/>
            <w:tcMar>
              <w:top w:w="16" w:type="dxa"/>
              <w:left w:w="16" w:type="dxa"/>
              <w:right w:w="16" w:type="dxa"/>
            </w:tcMar>
            <w:vAlign w:val="center"/>
          </w:tcPr>
          <w:p w14:paraId="3ABD819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宋体"/>
                <w:color w:val="auto"/>
                <w:sz w:val="24"/>
                <w:szCs w:val="24"/>
                <w:highlight w:val="none"/>
              </w:rPr>
            </w:pPr>
            <w:r>
              <w:rPr>
                <w:rFonts w:hint="eastAsia" w:ascii="Times New Roman" w:hAnsi="Times New Roman" w:cs="宋体"/>
                <w:color w:val="auto"/>
                <w:sz w:val="24"/>
                <w:szCs w:val="24"/>
                <w:highlight w:val="none"/>
              </w:rPr>
              <w:t>施工工期</w:t>
            </w:r>
          </w:p>
        </w:tc>
        <w:tc>
          <w:tcPr>
            <w:tcW w:w="2735" w:type="dxa"/>
            <w:noWrap w:val="0"/>
            <w:vAlign w:val="center"/>
          </w:tcPr>
          <w:p w14:paraId="513A3F0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宋体"/>
                <w:color w:val="auto"/>
                <w:sz w:val="24"/>
                <w:szCs w:val="24"/>
                <w:highlight w:val="none"/>
                <w:lang w:val="en-US" w:eastAsia="zh-CN"/>
              </w:rPr>
            </w:pPr>
            <w:r>
              <w:rPr>
                <w:rFonts w:hint="eastAsia" w:cs="宋体"/>
                <w:color w:val="auto"/>
                <w:sz w:val="24"/>
                <w:szCs w:val="24"/>
                <w:highlight w:val="none"/>
                <w:lang w:val="en-US" w:eastAsia="zh-CN"/>
              </w:rPr>
              <w:t>/</w:t>
            </w:r>
          </w:p>
        </w:tc>
      </w:tr>
      <w:tr w14:paraId="5CEECF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35" w:type="dxa"/>
            <w:shd w:val="clear" w:color="auto" w:fill="auto"/>
            <w:noWrap w:val="0"/>
            <w:tcMar>
              <w:top w:w="16" w:type="dxa"/>
              <w:left w:w="16" w:type="dxa"/>
              <w:right w:w="16" w:type="dxa"/>
            </w:tcMar>
            <w:vAlign w:val="center"/>
          </w:tcPr>
          <w:p w14:paraId="345C90F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cs="宋体"/>
                <w:color w:val="auto"/>
                <w:sz w:val="24"/>
                <w:szCs w:val="24"/>
                <w:highlight w:val="none"/>
              </w:rPr>
              <w:t>是否开工建设</w:t>
            </w:r>
          </w:p>
        </w:tc>
        <w:tc>
          <w:tcPr>
            <w:tcW w:w="7435" w:type="dxa"/>
            <w:gridSpan w:val="3"/>
            <w:shd w:val="clear" w:color="auto" w:fill="auto"/>
            <w:noWrap w:val="0"/>
            <w:vAlign w:val="center"/>
          </w:tcPr>
          <w:p w14:paraId="36B01D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宋体" w:hAnsi="宋体" w:cs="宋体"/>
                <w:color w:val="auto"/>
                <w:sz w:val="24"/>
                <w:szCs w:val="24"/>
                <w:highlight w:val="none"/>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否</w:t>
            </w:r>
          </w:p>
          <w:p w14:paraId="6816DE5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sz w:val="24"/>
                <w:szCs w:val="24"/>
                <w:highlight w:val="none"/>
                <w:lang w:val="en-US" w:eastAsia="zh-CN"/>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是</w:t>
            </w:r>
            <w:r>
              <w:rPr>
                <w:rFonts w:hint="eastAsia" w:ascii="宋体" w:hAnsi="宋体" w:cs="宋体"/>
                <w:color w:val="auto"/>
                <w:sz w:val="24"/>
                <w:szCs w:val="24"/>
                <w:highlight w:val="none"/>
                <w:lang w:eastAsia="zh-CN"/>
              </w:rPr>
              <w:t>：</w:t>
            </w:r>
            <w:r>
              <w:rPr>
                <w:rFonts w:hint="default" w:ascii="Times New Roman" w:hAnsi="Times New Roman" w:eastAsia="宋体" w:cs="Times New Roman"/>
                <w:color w:val="000000" w:themeColor="text1"/>
                <w:sz w:val="24"/>
                <w:highlight w:val="none"/>
                <w14:textFill>
                  <w14:solidFill>
                    <w14:schemeClr w14:val="tx1"/>
                  </w14:solidFill>
                </w14:textFill>
              </w:rPr>
              <w:t>项目于202</w:t>
            </w:r>
            <w:r>
              <w:rPr>
                <w:rFonts w:hint="eastAsia" w:cs="Times New Roman"/>
                <w:color w:val="000000" w:themeColor="text1"/>
                <w:sz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highlight w:val="none"/>
                <w14:textFill>
                  <w14:solidFill>
                    <w14:schemeClr w14:val="tx1"/>
                  </w14:solidFill>
                </w14:textFill>
              </w:rPr>
              <w:t>年</w:t>
            </w:r>
            <w:r>
              <w:rPr>
                <w:rFonts w:hint="eastAsia" w:cs="Times New Roman"/>
                <w:color w:val="000000" w:themeColor="text1"/>
                <w:sz w:val="24"/>
                <w:highlight w:val="none"/>
                <w:lang w:val="en-US" w:eastAsia="zh-CN"/>
                <w14:textFill>
                  <w14:solidFill>
                    <w14:schemeClr w14:val="tx1"/>
                  </w14:solidFill>
                </w14:textFill>
              </w:rPr>
              <w:t>11</w:t>
            </w:r>
            <w:r>
              <w:rPr>
                <w:rFonts w:hint="default" w:ascii="Times New Roman" w:hAnsi="Times New Roman" w:eastAsia="宋体" w:cs="Times New Roman"/>
                <w:color w:val="000000" w:themeColor="text1"/>
                <w:sz w:val="24"/>
                <w:highlight w:val="none"/>
                <w14:textFill>
                  <w14:solidFill>
                    <w14:schemeClr w14:val="tx1"/>
                  </w14:solidFill>
                </w14:textFill>
              </w:rPr>
              <w:t>月</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擅自</w:t>
            </w:r>
            <w:r>
              <w:rPr>
                <w:rFonts w:hint="default" w:ascii="Times New Roman" w:hAnsi="Times New Roman" w:eastAsia="宋体" w:cs="Times New Roman"/>
                <w:color w:val="000000" w:themeColor="text1"/>
                <w:sz w:val="24"/>
                <w:highlight w:val="none"/>
                <w14:textFill>
                  <w14:solidFill>
                    <w14:schemeClr w14:val="tx1"/>
                  </w14:solidFill>
                </w14:textFill>
              </w:rPr>
              <w:t>开工建设</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2025年5月投入生产，</w:t>
            </w:r>
            <w:r>
              <w:rPr>
                <w:rFonts w:hint="default" w:ascii="Times New Roman" w:hAnsi="Times New Roman" w:eastAsia="宋体" w:cs="Times New Roman"/>
                <w:color w:val="000000" w:themeColor="text1"/>
                <w:sz w:val="24"/>
                <w:highlight w:val="none"/>
                <w14:textFill>
                  <w14:solidFill>
                    <w14:schemeClr w14:val="tx1"/>
                  </w14:solidFill>
                </w14:textFill>
              </w:rPr>
              <w:t>本项目在未依法</w:t>
            </w:r>
            <w:r>
              <w:rPr>
                <w:rFonts w:hint="eastAsia" w:cs="Times New Roman"/>
                <w:color w:val="000000" w:themeColor="text1"/>
                <w:sz w:val="24"/>
                <w:highlight w:val="none"/>
                <w:lang w:val="en-US" w:eastAsia="zh-CN"/>
                <w14:textFill>
                  <w14:solidFill>
                    <w14:schemeClr w14:val="tx1"/>
                  </w14:solidFill>
                </w14:textFill>
              </w:rPr>
              <w:t>报批</w:t>
            </w:r>
            <w:r>
              <w:rPr>
                <w:rFonts w:hint="default" w:ascii="Times New Roman" w:hAnsi="Times New Roman" w:eastAsia="宋体" w:cs="Times New Roman"/>
                <w:color w:val="000000" w:themeColor="text1"/>
                <w:sz w:val="24"/>
                <w:highlight w:val="none"/>
                <w14:textFill>
                  <w14:solidFill>
                    <w14:schemeClr w14:val="tx1"/>
                  </w14:solidFill>
                </w14:textFill>
              </w:rPr>
              <w:t>环境影响评价审批文件</w:t>
            </w:r>
            <w:r>
              <w:rPr>
                <w:rFonts w:hint="eastAsia"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未填报排污登记表、需要配套建设的环境保护设施未经“三同时”竣工自主验收的情形下，</w:t>
            </w:r>
            <w:r>
              <w:rPr>
                <w:rFonts w:hint="default" w:ascii="Times New Roman" w:hAnsi="Times New Roman" w:eastAsia="宋体" w:cs="Times New Roman"/>
                <w:color w:val="000000" w:themeColor="text1"/>
                <w:sz w:val="24"/>
                <w:highlight w:val="none"/>
                <w14:textFill>
                  <w14:solidFill>
                    <w14:schemeClr w14:val="tx1"/>
                  </w14:solidFill>
                </w14:textFill>
              </w:rPr>
              <w:t>擅自开工</w:t>
            </w:r>
            <w:r>
              <w:rPr>
                <w:rFonts w:hint="eastAsia" w:cs="Times New Roman"/>
                <w:color w:val="000000" w:themeColor="text1"/>
                <w:sz w:val="24"/>
                <w:highlight w:val="none"/>
                <w:lang w:val="en-US" w:eastAsia="zh-CN"/>
                <w14:textFill>
                  <w14:solidFill>
                    <w14:schemeClr w14:val="tx1"/>
                  </w14:solidFill>
                </w14:textFill>
              </w:rPr>
              <w:t>建设并投入使用生产</w:t>
            </w:r>
            <w:r>
              <w:rPr>
                <w:rFonts w:hint="default" w:ascii="Times New Roman" w:hAnsi="Times New Roman" w:eastAsia="宋体" w:cs="Times New Roman"/>
                <w:color w:val="000000" w:themeColor="text1"/>
                <w:sz w:val="24"/>
                <w:highlight w:val="none"/>
                <w14:textFill>
                  <w14:solidFill>
                    <w14:schemeClr w14:val="tx1"/>
                  </w14:solidFill>
                </w14:textFill>
              </w:rPr>
              <w:t>，其违反了《中华人民共和国环境影响评价法》第二十五条</w:t>
            </w:r>
            <w:r>
              <w:rPr>
                <w:rFonts w:hint="eastAsia"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排污许可管理条例</w:t>
            </w:r>
            <w:r>
              <w:rPr>
                <w:rFonts w:hint="eastAsia"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第二十四条、《中华人民共和国建设项目环境保护管理条例》第十九条。衡阳市生态环境局</w:t>
            </w:r>
            <w:r>
              <w:rPr>
                <w:rFonts w:hint="default" w:ascii="Times New Roman" w:hAnsi="Times New Roman" w:eastAsia="宋体" w:cs="Times New Roman"/>
                <w:color w:val="000000" w:themeColor="text1"/>
                <w:sz w:val="24"/>
                <w:highlight w:val="none"/>
                <w14:textFill>
                  <w14:solidFill>
                    <w14:schemeClr w14:val="tx1"/>
                  </w14:solidFill>
                </w14:textFill>
              </w:rPr>
              <w:t>于202</w:t>
            </w:r>
            <w:r>
              <w:rPr>
                <w:rFonts w:hint="eastAsia" w:cs="Times New Roman"/>
                <w:color w:val="000000" w:themeColor="text1"/>
                <w:sz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highlight w:val="none"/>
                <w14:textFill>
                  <w14:solidFill>
                    <w14:schemeClr w14:val="tx1"/>
                  </w14:solidFill>
                </w14:textFill>
              </w:rPr>
              <w:t>年</w:t>
            </w:r>
            <w:r>
              <w:rPr>
                <w:rFonts w:hint="eastAsia" w:cs="Times New Roman"/>
                <w:color w:val="000000" w:themeColor="text1"/>
                <w:sz w:val="24"/>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4"/>
                <w:highlight w:val="none"/>
                <w14:textFill>
                  <w14:solidFill>
                    <w14:schemeClr w14:val="tx1"/>
                  </w14:solidFill>
                </w14:textFill>
              </w:rPr>
              <w:t>月</w:t>
            </w:r>
            <w:r>
              <w:rPr>
                <w:rFonts w:hint="eastAsia" w:cs="Times New Roman"/>
                <w:color w:val="000000" w:themeColor="text1"/>
                <w:sz w:val="24"/>
                <w:highlight w:val="none"/>
                <w:lang w:val="en-US" w:eastAsia="zh-CN"/>
                <w14:textFill>
                  <w14:solidFill>
                    <w14:schemeClr w14:val="tx1"/>
                  </w14:solidFill>
                </w14:textFill>
              </w:rPr>
              <w:t>11</w:t>
            </w:r>
            <w:r>
              <w:rPr>
                <w:rFonts w:hint="default" w:ascii="Times New Roman" w:hAnsi="Times New Roman" w:eastAsia="宋体" w:cs="Times New Roman"/>
                <w:color w:val="000000" w:themeColor="text1"/>
                <w:sz w:val="24"/>
                <w:highlight w:val="none"/>
                <w14:textFill>
                  <w14:solidFill>
                    <w14:schemeClr w14:val="tx1"/>
                  </w14:solidFill>
                </w14:textFill>
              </w:rPr>
              <w:t>日</w:t>
            </w:r>
            <w:r>
              <w:rPr>
                <w:rFonts w:hint="eastAsia" w:cs="Times New Roman"/>
                <w:color w:val="000000" w:themeColor="text1"/>
                <w:sz w:val="24"/>
                <w:highlight w:val="none"/>
                <w:lang w:val="en-US" w:eastAsia="zh-CN"/>
                <w14:textFill>
                  <w14:solidFill>
                    <w14:schemeClr w14:val="tx1"/>
                  </w14:solidFill>
                </w14:textFill>
              </w:rPr>
              <w:t>对湖南利胜达生态农业科技开发有限公司下发了《责令改正违法行为决定书》（衡环（祁）责改[2025]4号），责令利胜达公司立即停止生产并改正环境违法行为</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目前</w:t>
            </w:r>
            <w:r>
              <w:rPr>
                <w:rFonts w:hint="eastAsia" w:cs="Times New Roman"/>
                <w:color w:val="000000" w:themeColor="text1"/>
                <w:sz w:val="24"/>
                <w:highlight w:val="none"/>
                <w:lang w:val="en-US" w:eastAsia="zh-CN"/>
                <w14:textFill>
                  <w14:solidFill>
                    <w14:schemeClr w14:val="tx1"/>
                  </w14:solidFill>
                </w14:textFill>
              </w:rPr>
              <w:t>企业正在办理相关环保手续，并</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处于停产状态。</w:t>
            </w:r>
            <w:r>
              <w:rPr>
                <w:rFonts w:hint="default" w:ascii="Times New Roman" w:hAnsi="Times New Roman" w:eastAsia="宋体" w:cs="Times New Roman"/>
                <w:color w:val="000000" w:themeColor="text1"/>
                <w:sz w:val="24"/>
                <w:highlight w:val="none"/>
                <w14:textFill>
                  <w14:solidFill>
                    <w14:schemeClr w14:val="tx1"/>
                  </w14:solidFill>
                </w14:textFill>
              </w:rPr>
              <w:t xml:space="preserve">  </w:t>
            </w:r>
          </w:p>
        </w:tc>
      </w:tr>
      <w:tr w14:paraId="769941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435" w:type="dxa"/>
            <w:noWrap w:val="0"/>
            <w:tcMar>
              <w:top w:w="16" w:type="dxa"/>
              <w:left w:w="16" w:type="dxa"/>
              <w:right w:w="16" w:type="dxa"/>
            </w:tcMar>
            <w:vAlign w:val="center"/>
          </w:tcPr>
          <w:p w14:paraId="2FFB7FA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color w:val="auto"/>
                <w:spacing w:val="-6"/>
                <w:sz w:val="24"/>
                <w:szCs w:val="24"/>
                <w:highlight w:val="none"/>
              </w:rPr>
            </w:pPr>
            <w:r>
              <w:rPr>
                <w:rFonts w:hint="eastAsia" w:ascii="宋体" w:hAnsi="宋体" w:cs="宋体"/>
                <w:color w:val="auto"/>
                <w:spacing w:val="-6"/>
                <w:sz w:val="24"/>
                <w:szCs w:val="24"/>
                <w:highlight w:val="none"/>
              </w:rPr>
              <w:t>用地（用海）</w:t>
            </w:r>
          </w:p>
          <w:p w14:paraId="42D7D06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color w:val="auto"/>
                <w:sz w:val="24"/>
                <w:szCs w:val="24"/>
                <w:highlight w:val="none"/>
              </w:rPr>
            </w:pPr>
            <w:r>
              <w:rPr>
                <w:rFonts w:hint="eastAsia" w:ascii="宋体" w:hAnsi="宋体" w:cs="宋体"/>
                <w:color w:val="auto"/>
                <w:spacing w:val="-6"/>
                <w:sz w:val="24"/>
                <w:szCs w:val="24"/>
                <w:highlight w:val="none"/>
              </w:rPr>
              <w:t>面积（</w:t>
            </w:r>
            <w:r>
              <w:rPr>
                <w:rFonts w:hint="default" w:ascii="Times New Roman" w:hAnsi="Times New Roman" w:cs="Times New Roman"/>
                <w:color w:val="auto"/>
                <w:sz w:val="24"/>
                <w:szCs w:val="24"/>
                <w:highlight w:val="none"/>
              </w:rPr>
              <w:t>m</w:t>
            </w:r>
            <w:r>
              <w:rPr>
                <w:rFonts w:hint="default" w:ascii="Times New Roman" w:hAnsi="Times New Roman" w:cs="Times New Roman"/>
                <w:color w:val="auto"/>
                <w:sz w:val="24"/>
                <w:szCs w:val="24"/>
                <w:highlight w:val="none"/>
                <w:vertAlign w:val="superscript"/>
              </w:rPr>
              <w:t>2</w:t>
            </w:r>
            <w:r>
              <w:rPr>
                <w:rFonts w:hint="eastAsia" w:ascii="宋体" w:hAnsi="宋体" w:cs="宋体"/>
                <w:color w:val="auto"/>
                <w:spacing w:val="-6"/>
                <w:sz w:val="24"/>
                <w:szCs w:val="24"/>
                <w:highlight w:val="none"/>
              </w:rPr>
              <w:t>）</w:t>
            </w:r>
          </w:p>
        </w:tc>
        <w:tc>
          <w:tcPr>
            <w:tcW w:w="7435" w:type="dxa"/>
            <w:gridSpan w:val="3"/>
            <w:noWrap w:val="0"/>
            <w:vAlign w:val="center"/>
          </w:tcPr>
          <w:p w14:paraId="4298D2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宋体" w:hAnsi="宋体" w:eastAsia="宋体" w:cs="宋体"/>
                <w:color w:val="auto"/>
                <w:sz w:val="24"/>
                <w:szCs w:val="24"/>
                <w:highlight w:val="none"/>
                <w:lang w:val="en-US" w:eastAsia="zh-CN"/>
              </w:rPr>
            </w:pPr>
            <w:r>
              <w:rPr>
                <w:rFonts w:hint="eastAsia" w:cs="Times New Roman"/>
                <w:color w:val="auto"/>
                <w:sz w:val="24"/>
                <w:szCs w:val="24"/>
                <w:highlight w:val="none"/>
                <w:lang w:val="en-US" w:eastAsia="zh-CN"/>
              </w:rPr>
              <w:t>15758.34</w:t>
            </w:r>
          </w:p>
        </w:tc>
      </w:tr>
      <w:tr w14:paraId="198EA78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435" w:type="dxa"/>
            <w:noWrap w:val="0"/>
            <w:vAlign w:val="center"/>
          </w:tcPr>
          <w:p w14:paraId="3DBD04CA">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default" w:ascii="宋体" w:hAnsi="宋体" w:cs="宋体"/>
                <w:color w:val="auto"/>
                <w:kern w:val="0"/>
                <w:szCs w:val="21"/>
                <w:highlight w:val="none"/>
              </w:rPr>
            </w:pPr>
            <w:r>
              <w:rPr>
                <w:rFonts w:hint="eastAsia" w:ascii="宋体" w:hAnsi="宋体" w:cs="宋体"/>
                <w:color w:val="auto"/>
                <w:kern w:val="0"/>
                <w:szCs w:val="21"/>
                <w:highlight w:val="none"/>
              </w:rPr>
              <w:t>专项评价设置情况</w:t>
            </w:r>
          </w:p>
        </w:tc>
        <w:tc>
          <w:tcPr>
            <w:tcW w:w="7435" w:type="dxa"/>
            <w:gridSpan w:val="3"/>
            <w:noWrap w:val="0"/>
            <w:vAlign w:val="center"/>
          </w:tcPr>
          <w:p w14:paraId="68756A5A">
            <w:pPr>
              <w:keepNext w:val="0"/>
              <w:keepLines w:val="0"/>
              <w:suppressLineNumbers w:val="0"/>
              <w:bidi w:val="0"/>
              <w:spacing w:before="0" w:beforeAutospacing="0" w:after="0" w:afterAutospacing="0"/>
              <w:ind w:left="0" w:right="0" w:firstLine="422" w:firstLineChars="200"/>
              <w:rPr>
                <w:rStyle w:val="38"/>
                <w:rFonts w:hint="eastAsia"/>
                <w:color w:val="auto"/>
                <w:highlight w:val="none"/>
                <w:lang w:val="en-US" w:eastAsia="zh-CN"/>
              </w:rPr>
            </w:pPr>
          </w:p>
          <w:p w14:paraId="72507A30">
            <w:pPr>
              <w:keepNext w:val="0"/>
              <w:keepLines w:val="0"/>
              <w:suppressLineNumbers w:val="0"/>
              <w:bidi w:val="0"/>
              <w:spacing w:before="0" w:beforeAutospacing="0" w:after="0" w:afterAutospacing="0"/>
              <w:ind w:left="0" w:right="0" w:firstLine="480" w:firstLineChars="200"/>
              <w:rPr>
                <w:rStyle w:val="38"/>
                <w:rFonts w:hint="default"/>
                <w:b w:val="0"/>
                <w:bCs w:val="0"/>
                <w:color w:val="auto"/>
                <w:sz w:val="24"/>
                <w:szCs w:val="24"/>
                <w:highlight w:val="none"/>
                <w:lang w:val="en-US" w:eastAsia="zh-CN"/>
              </w:rPr>
            </w:pPr>
            <w:r>
              <w:rPr>
                <w:rStyle w:val="38"/>
                <w:rFonts w:hint="eastAsia"/>
                <w:b w:val="0"/>
                <w:bCs w:val="0"/>
                <w:color w:val="auto"/>
                <w:sz w:val="24"/>
                <w:szCs w:val="24"/>
                <w:highlight w:val="none"/>
                <w:lang w:val="en-US" w:eastAsia="zh-CN"/>
              </w:rPr>
              <w:t>根据《建设项目环境影响报告表编制技术指南（污染影响类）（试行）》，本项目无需设置专项评价。</w:t>
            </w:r>
          </w:p>
          <w:p w14:paraId="3A62EDED">
            <w:pPr>
              <w:keepNext w:val="0"/>
              <w:keepLines w:val="0"/>
              <w:suppressLineNumbers w:val="0"/>
              <w:bidi w:val="0"/>
              <w:spacing w:before="0" w:beforeAutospacing="0" w:after="0" w:afterAutospacing="0" w:line="240" w:lineRule="auto"/>
              <w:ind w:left="0" w:right="0"/>
              <w:jc w:val="center"/>
              <w:rPr>
                <w:rFonts w:hint="default" w:eastAsia="宋体"/>
                <w:color w:val="auto"/>
                <w:highlight w:val="none"/>
                <w:lang w:val="en-US" w:eastAsia="zh-CN"/>
              </w:rPr>
            </w:pPr>
            <w:r>
              <w:rPr>
                <w:rStyle w:val="38"/>
                <w:rFonts w:hint="eastAsia"/>
                <w:color w:val="auto"/>
                <w:highlight w:val="none"/>
                <w:lang w:val="en-US" w:eastAsia="zh-CN"/>
              </w:rPr>
              <w:t>表1-1专项评价设置原则表</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3021"/>
              <w:gridCol w:w="3255"/>
            </w:tblGrid>
            <w:tr w14:paraId="5499E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noWrap w:val="0"/>
                  <w:vAlign w:val="center"/>
                </w:tcPr>
                <w:p w14:paraId="02D064FA">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b/>
                      <w:bCs/>
                      <w:color w:val="auto"/>
                      <w:highlight w:val="none"/>
                      <w:lang w:val="en-US" w:eastAsia="zh-CN"/>
                    </w:rPr>
                  </w:pPr>
                  <w:r>
                    <w:rPr>
                      <w:rFonts w:hint="eastAsia" w:ascii="Times New Roman" w:hAnsi="Times New Roman" w:eastAsia="宋体"/>
                      <w:b/>
                      <w:bCs/>
                      <w:color w:val="auto"/>
                      <w:highlight w:val="none"/>
                      <w:lang w:val="en-US" w:eastAsia="zh-CN"/>
                    </w:rPr>
                    <w:t>专项评价类别</w:t>
                  </w:r>
                </w:p>
              </w:tc>
              <w:tc>
                <w:tcPr>
                  <w:tcW w:w="2095" w:type="pct"/>
                  <w:noWrap w:val="0"/>
                  <w:vAlign w:val="center"/>
                </w:tcPr>
                <w:p w14:paraId="407695BE">
                  <w:pPr>
                    <w:pStyle w:val="37"/>
                    <w:keepNext w:val="0"/>
                    <w:keepLines w:val="0"/>
                    <w:suppressLineNumbers w:val="0"/>
                    <w:bidi w:val="0"/>
                    <w:spacing w:before="0" w:beforeAutospacing="0" w:after="0" w:afterAutospacing="0" w:line="240" w:lineRule="auto"/>
                    <w:ind w:left="0" w:right="0"/>
                    <w:jc w:val="center"/>
                    <w:rPr>
                      <w:rFonts w:hint="eastAsia" w:ascii="Times New Roman" w:hAnsi="Times New Roman" w:eastAsia="宋体"/>
                      <w:b/>
                      <w:bCs/>
                      <w:color w:val="auto"/>
                      <w:highlight w:val="none"/>
                      <w:lang w:val="en-US" w:eastAsia="zh-CN"/>
                    </w:rPr>
                  </w:pPr>
                  <w:r>
                    <w:rPr>
                      <w:rFonts w:hint="eastAsia" w:ascii="Times New Roman" w:hAnsi="Times New Roman" w:eastAsia="宋体"/>
                      <w:b/>
                      <w:bCs/>
                      <w:color w:val="auto"/>
                      <w:highlight w:val="none"/>
                      <w:lang w:val="en-US" w:eastAsia="zh-CN"/>
                    </w:rPr>
                    <w:t>设置原则</w:t>
                  </w:r>
                </w:p>
              </w:tc>
              <w:tc>
                <w:tcPr>
                  <w:tcW w:w="2257" w:type="pct"/>
                  <w:noWrap w:val="0"/>
                  <w:vAlign w:val="center"/>
                </w:tcPr>
                <w:p w14:paraId="23D2EB8E">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b/>
                      <w:bCs/>
                      <w:color w:val="auto"/>
                      <w:highlight w:val="none"/>
                      <w:lang w:val="en-US" w:eastAsia="zh-CN"/>
                    </w:rPr>
                  </w:pPr>
                  <w:r>
                    <w:rPr>
                      <w:rFonts w:hint="eastAsia" w:ascii="Times New Roman" w:hAnsi="Times New Roman" w:eastAsia="宋体"/>
                      <w:b/>
                      <w:bCs/>
                      <w:color w:val="auto"/>
                      <w:highlight w:val="none"/>
                      <w:lang w:val="en-US" w:eastAsia="zh-CN"/>
                    </w:rPr>
                    <w:t>本项目情况</w:t>
                  </w:r>
                </w:p>
              </w:tc>
            </w:tr>
            <w:tr w14:paraId="63EF9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noWrap w:val="0"/>
                  <w:vAlign w:val="center"/>
                </w:tcPr>
                <w:p w14:paraId="075926B1">
                  <w:pPr>
                    <w:pStyle w:val="37"/>
                    <w:keepNext w:val="0"/>
                    <w:keepLines w:val="0"/>
                    <w:suppressLineNumbers w:val="0"/>
                    <w:bidi w:val="0"/>
                    <w:spacing w:before="0" w:beforeAutospacing="0" w:after="0" w:afterAutospacing="0" w:line="240" w:lineRule="auto"/>
                    <w:ind w:left="0" w:right="0"/>
                    <w:jc w:val="center"/>
                    <w:rPr>
                      <w:rFonts w:hint="eastAsia" w:ascii="Times New Roman" w:hAnsi="Times New Roman" w:eastAsia="宋体"/>
                      <w:color w:val="auto"/>
                      <w:highlight w:val="none"/>
                      <w:lang w:val="en-US" w:eastAsia="zh-CN"/>
                    </w:rPr>
                  </w:pPr>
                  <w:r>
                    <w:rPr>
                      <w:rFonts w:hint="eastAsia" w:ascii="Times New Roman" w:hAnsi="Times New Roman" w:eastAsia="宋体"/>
                      <w:color w:val="auto"/>
                      <w:highlight w:val="none"/>
                      <w:lang w:val="en-US" w:eastAsia="zh-CN"/>
                    </w:rPr>
                    <w:t>大气</w:t>
                  </w:r>
                </w:p>
              </w:tc>
              <w:tc>
                <w:tcPr>
                  <w:tcW w:w="2095" w:type="pct"/>
                  <w:noWrap w:val="0"/>
                  <w:vAlign w:val="center"/>
                </w:tcPr>
                <w:p w14:paraId="69F9DD03">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rPr>
                  </w:pPr>
                  <w:r>
                    <w:rPr>
                      <w:rFonts w:hint="eastAsia" w:ascii="Times New Roman" w:hAnsi="Times New Roman" w:eastAsia="宋体"/>
                      <w:color w:val="auto"/>
                      <w:highlight w:val="none"/>
                    </w:rPr>
                    <w:t>排放废气含有毒有害污染物</w:t>
                  </w:r>
                  <w:r>
                    <w:rPr>
                      <w:rFonts w:hint="eastAsia" w:ascii="Times New Roman" w:hAnsi="Times New Roman" w:eastAsia="宋体"/>
                      <w:color w:val="auto"/>
                      <w:highlight w:val="none"/>
                      <w:vertAlign w:val="superscript"/>
                    </w:rPr>
                    <w:t>1</w:t>
                  </w:r>
                  <w:r>
                    <w:rPr>
                      <w:rFonts w:hint="eastAsia" w:ascii="Times New Roman" w:hAnsi="Times New Roman" w:eastAsia="宋体"/>
                      <w:color w:val="auto"/>
                      <w:highlight w:val="none"/>
                    </w:rPr>
                    <w:t>、二噁英、苯并</w:t>
                  </w:r>
                  <w:r>
                    <w:rPr>
                      <w:rFonts w:hint="eastAsia" w:ascii="Times New Roman" w:hAnsi="Times New Roman" w:eastAsia="宋体"/>
                      <w:color w:val="auto"/>
                      <w:highlight w:val="none"/>
                      <w:vertAlign w:val="superscript"/>
                    </w:rPr>
                    <w:t>[a]</w:t>
                  </w:r>
                  <w:r>
                    <w:rPr>
                      <w:rFonts w:hint="eastAsia" w:ascii="Times New Roman" w:hAnsi="Times New Roman" w:eastAsia="宋体"/>
                      <w:color w:val="auto"/>
                      <w:highlight w:val="none"/>
                    </w:rPr>
                    <w:t>芘、氰化物、氯气且厂界外500 米范围内有环境空气保护目标</w:t>
                  </w:r>
                  <w:r>
                    <w:rPr>
                      <w:rFonts w:hint="eastAsia" w:ascii="Times New Roman" w:hAnsi="Times New Roman" w:eastAsia="宋体"/>
                      <w:color w:val="auto"/>
                      <w:highlight w:val="none"/>
                      <w:vertAlign w:val="superscript"/>
                    </w:rPr>
                    <w:t>2</w:t>
                  </w:r>
                  <w:r>
                    <w:rPr>
                      <w:rFonts w:hint="eastAsia" w:ascii="Times New Roman" w:hAnsi="Times New Roman" w:eastAsia="宋体"/>
                      <w:color w:val="auto"/>
                      <w:highlight w:val="none"/>
                    </w:rPr>
                    <w:t>的建设项目</w:t>
                  </w:r>
                </w:p>
              </w:tc>
              <w:tc>
                <w:tcPr>
                  <w:tcW w:w="2257" w:type="pct"/>
                  <w:noWrap w:val="0"/>
                  <w:vAlign w:val="center"/>
                </w:tcPr>
                <w:p w14:paraId="05F24FE0">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lang w:val="en-US" w:eastAsia="zh-CN"/>
                    </w:rPr>
                  </w:pPr>
                  <w:r>
                    <w:rPr>
                      <w:rFonts w:hint="eastAsia"/>
                      <w:color w:val="auto"/>
                      <w:highlight w:val="none"/>
                      <w:lang w:val="en-US" w:eastAsia="zh-CN"/>
                    </w:rPr>
                    <w:t>本项目厂界500m范围内有环境空气保护目标，但</w:t>
                  </w:r>
                  <w:r>
                    <w:rPr>
                      <w:rFonts w:hint="eastAsia" w:ascii="Times New Roman" w:hAnsi="Times New Roman" w:eastAsia="宋体"/>
                      <w:color w:val="auto"/>
                      <w:highlight w:val="none"/>
                    </w:rPr>
                    <w:t>排放</w:t>
                  </w:r>
                  <w:r>
                    <w:rPr>
                      <w:rFonts w:hint="eastAsia"/>
                      <w:color w:val="auto"/>
                      <w:highlight w:val="none"/>
                      <w:lang w:val="en-US" w:eastAsia="zh-CN"/>
                    </w:rPr>
                    <w:t>废气不涉及</w:t>
                  </w:r>
                  <w:r>
                    <w:rPr>
                      <w:rFonts w:hint="eastAsia" w:ascii="Times New Roman" w:hAnsi="Times New Roman" w:eastAsia="宋体"/>
                      <w:color w:val="auto"/>
                      <w:highlight w:val="none"/>
                    </w:rPr>
                    <w:t>有毒有害污染物</w:t>
                  </w:r>
                  <w:r>
                    <w:rPr>
                      <w:rFonts w:hint="eastAsia" w:ascii="Times New Roman" w:hAnsi="Times New Roman" w:eastAsia="宋体"/>
                      <w:color w:val="auto"/>
                      <w:highlight w:val="none"/>
                      <w:vertAlign w:val="superscript"/>
                    </w:rPr>
                    <w:t>1</w:t>
                  </w:r>
                  <w:r>
                    <w:rPr>
                      <w:rFonts w:hint="eastAsia" w:ascii="Times New Roman" w:hAnsi="Times New Roman" w:eastAsia="宋体"/>
                      <w:color w:val="auto"/>
                      <w:highlight w:val="none"/>
                    </w:rPr>
                    <w:t>、二噁英、苯并</w:t>
                  </w:r>
                  <w:r>
                    <w:rPr>
                      <w:rFonts w:hint="eastAsia" w:ascii="Times New Roman" w:hAnsi="Times New Roman" w:eastAsia="宋体"/>
                      <w:color w:val="auto"/>
                      <w:highlight w:val="none"/>
                      <w:vertAlign w:val="superscript"/>
                    </w:rPr>
                    <w:t>[a]</w:t>
                  </w:r>
                  <w:r>
                    <w:rPr>
                      <w:rFonts w:hint="eastAsia" w:ascii="Times New Roman" w:hAnsi="Times New Roman" w:eastAsia="宋体"/>
                      <w:color w:val="auto"/>
                      <w:highlight w:val="none"/>
                    </w:rPr>
                    <w:t>芘、氰化物、氯气</w:t>
                  </w:r>
                </w:p>
              </w:tc>
            </w:tr>
            <w:tr w14:paraId="00FD5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noWrap w:val="0"/>
                  <w:vAlign w:val="center"/>
                </w:tcPr>
                <w:p w14:paraId="2CA86C15">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lang w:val="en-US" w:eastAsia="zh-CN"/>
                    </w:rPr>
                  </w:pPr>
                  <w:r>
                    <w:rPr>
                      <w:rFonts w:hint="eastAsia" w:ascii="Times New Roman" w:hAnsi="Times New Roman" w:eastAsia="宋体"/>
                      <w:color w:val="auto"/>
                      <w:highlight w:val="none"/>
                      <w:lang w:val="en-US" w:eastAsia="zh-CN"/>
                    </w:rPr>
                    <w:t>地表水</w:t>
                  </w:r>
                </w:p>
              </w:tc>
              <w:tc>
                <w:tcPr>
                  <w:tcW w:w="2095" w:type="pct"/>
                  <w:noWrap w:val="0"/>
                  <w:vAlign w:val="center"/>
                </w:tcPr>
                <w:p w14:paraId="24452BCD">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rPr>
                  </w:pPr>
                  <w:r>
                    <w:rPr>
                      <w:rFonts w:hint="eastAsia" w:ascii="Times New Roman" w:hAnsi="Times New Roman" w:eastAsia="宋体"/>
                      <w:color w:val="auto"/>
                      <w:highlight w:val="none"/>
                    </w:rPr>
                    <w:t>新增工业废水直排建设项目（槽罐车外送污水处理厂的除外）；新增废水直排的污水集中处理厂</w:t>
                  </w:r>
                </w:p>
              </w:tc>
              <w:tc>
                <w:tcPr>
                  <w:tcW w:w="2257" w:type="pct"/>
                  <w:noWrap w:val="0"/>
                  <w:vAlign w:val="center"/>
                </w:tcPr>
                <w:p w14:paraId="6DD9461B">
                  <w:pPr>
                    <w:pStyle w:val="37"/>
                    <w:keepNext w:val="0"/>
                    <w:keepLines w:val="0"/>
                    <w:suppressLineNumbers w:val="0"/>
                    <w:bidi w:val="0"/>
                    <w:spacing w:before="0" w:beforeAutospacing="0" w:after="0" w:afterAutospacing="0" w:line="240" w:lineRule="auto"/>
                    <w:ind w:left="0" w:right="0"/>
                    <w:rPr>
                      <w:rFonts w:hint="default" w:ascii="Times New Roman" w:hAnsi="Times New Roman" w:eastAsia="宋体"/>
                      <w:color w:val="auto"/>
                      <w:highlight w:val="none"/>
                      <w:lang w:val="en-US"/>
                    </w:rPr>
                  </w:pPr>
                  <w:r>
                    <w:rPr>
                      <w:rFonts w:hint="eastAsia"/>
                      <w:color w:val="auto"/>
                      <w:highlight w:val="none"/>
                      <w:lang w:val="en-US" w:eastAsia="zh-CN"/>
                    </w:rPr>
                    <w:t>本项目生产废水排入官家嘴镇污水处理站</w:t>
                  </w:r>
                </w:p>
              </w:tc>
            </w:tr>
            <w:tr w14:paraId="59E5B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noWrap w:val="0"/>
                  <w:vAlign w:val="center"/>
                </w:tcPr>
                <w:p w14:paraId="3FB9830E">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lang w:val="en-US" w:eastAsia="zh-CN"/>
                    </w:rPr>
                  </w:pPr>
                  <w:r>
                    <w:rPr>
                      <w:rFonts w:hint="eastAsia" w:ascii="Times New Roman" w:hAnsi="Times New Roman" w:eastAsia="宋体"/>
                      <w:color w:val="auto"/>
                      <w:highlight w:val="none"/>
                      <w:lang w:val="en-US" w:eastAsia="zh-CN"/>
                    </w:rPr>
                    <w:t>环境风险</w:t>
                  </w:r>
                </w:p>
              </w:tc>
              <w:tc>
                <w:tcPr>
                  <w:tcW w:w="2095" w:type="pct"/>
                  <w:noWrap w:val="0"/>
                  <w:vAlign w:val="center"/>
                </w:tcPr>
                <w:p w14:paraId="02E86FEB">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rPr>
                  </w:pPr>
                  <w:r>
                    <w:rPr>
                      <w:rFonts w:hint="eastAsia" w:ascii="Times New Roman" w:hAnsi="Times New Roman" w:eastAsia="宋体"/>
                      <w:color w:val="auto"/>
                      <w:highlight w:val="none"/>
                    </w:rPr>
                    <w:t>有毒有害和易燃易爆危险物质存储量超过临界量</w:t>
                  </w:r>
                  <w:r>
                    <w:rPr>
                      <w:rFonts w:hint="eastAsia" w:ascii="Times New Roman" w:hAnsi="Times New Roman" w:eastAsia="宋体"/>
                      <w:color w:val="auto"/>
                      <w:highlight w:val="none"/>
                      <w:vertAlign w:val="superscript"/>
                    </w:rPr>
                    <w:t>3</w:t>
                  </w:r>
                  <w:r>
                    <w:rPr>
                      <w:rFonts w:hint="eastAsia" w:ascii="Times New Roman" w:hAnsi="Times New Roman" w:eastAsia="宋体"/>
                      <w:color w:val="auto"/>
                      <w:highlight w:val="none"/>
                    </w:rPr>
                    <w:t xml:space="preserve"> 的建设项目</w:t>
                  </w:r>
                </w:p>
              </w:tc>
              <w:tc>
                <w:tcPr>
                  <w:tcW w:w="2257" w:type="pct"/>
                  <w:noWrap w:val="0"/>
                  <w:vAlign w:val="center"/>
                </w:tcPr>
                <w:p w14:paraId="74E1AE6E">
                  <w:pPr>
                    <w:pStyle w:val="37"/>
                    <w:keepNext w:val="0"/>
                    <w:keepLines w:val="0"/>
                    <w:suppressLineNumbers w:val="0"/>
                    <w:bidi w:val="0"/>
                    <w:spacing w:before="0" w:beforeAutospacing="0" w:after="0" w:afterAutospacing="0" w:line="240" w:lineRule="auto"/>
                    <w:ind w:left="0" w:right="0"/>
                    <w:rPr>
                      <w:rFonts w:hint="default" w:ascii="Times New Roman" w:hAnsi="Times New Roman" w:eastAsia="宋体"/>
                      <w:color w:val="auto"/>
                      <w:highlight w:val="none"/>
                      <w:lang w:val="en-US"/>
                    </w:rPr>
                  </w:pPr>
                  <w:r>
                    <w:rPr>
                      <w:rFonts w:hint="eastAsia"/>
                      <w:color w:val="auto"/>
                      <w:highlight w:val="none"/>
                      <w:lang w:val="en-US" w:eastAsia="zh-CN"/>
                    </w:rPr>
                    <w:t>本项目危险物质存储量未超过临界量</w:t>
                  </w:r>
                </w:p>
              </w:tc>
            </w:tr>
            <w:tr w14:paraId="3FA78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noWrap w:val="0"/>
                  <w:vAlign w:val="center"/>
                </w:tcPr>
                <w:p w14:paraId="4551CCDE">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lang w:val="en-US" w:eastAsia="zh-CN"/>
                    </w:rPr>
                  </w:pPr>
                  <w:r>
                    <w:rPr>
                      <w:rFonts w:hint="eastAsia" w:ascii="Times New Roman" w:hAnsi="Times New Roman" w:eastAsia="宋体"/>
                      <w:color w:val="auto"/>
                      <w:highlight w:val="none"/>
                      <w:lang w:val="en-US" w:eastAsia="zh-CN"/>
                    </w:rPr>
                    <w:t>生态</w:t>
                  </w:r>
                </w:p>
              </w:tc>
              <w:tc>
                <w:tcPr>
                  <w:tcW w:w="2095" w:type="pct"/>
                  <w:noWrap w:val="0"/>
                  <w:vAlign w:val="center"/>
                </w:tcPr>
                <w:p w14:paraId="3235168C">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rPr>
                  </w:pPr>
                  <w:r>
                    <w:rPr>
                      <w:rFonts w:hint="eastAsia" w:ascii="Times New Roman" w:hAnsi="Times New Roman" w:eastAsia="宋体"/>
                      <w:color w:val="auto"/>
                      <w:highlight w:val="none"/>
                    </w:rPr>
                    <w:t>取水口下游500 米范围内有重要水生生物的自然产卵场、索饵场、越冬场和洄游通道的新增河道取水的污染类建设项目</w:t>
                  </w:r>
                </w:p>
              </w:tc>
              <w:tc>
                <w:tcPr>
                  <w:tcW w:w="2257" w:type="pct"/>
                  <w:noWrap w:val="0"/>
                  <w:vAlign w:val="center"/>
                </w:tcPr>
                <w:p w14:paraId="12DA349A">
                  <w:pPr>
                    <w:pStyle w:val="37"/>
                    <w:keepNext w:val="0"/>
                    <w:keepLines w:val="0"/>
                    <w:suppressLineNumbers w:val="0"/>
                    <w:bidi w:val="0"/>
                    <w:spacing w:before="0" w:beforeAutospacing="0" w:after="0" w:afterAutospacing="0" w:line="240" w:lineRule="auto"/>
                    <w:ind w:left="0" w:right="0"/>
                    <w:rPr>
                      <w:rFonts w:hint="default" w:ascii="Times New Roman" w:hAnsi="Times New Roman" w:eastAsia="宋体"/>
                      <w:color w:val="auto"/>
                      <w:highlight w:val="none"/>
                      <w:lang w:val="en-US"/>
                    </w:rPr>
                  </w:pPr>
                  <w:r>
                    <w:rPr>
                      <w:rFonts w:hint="eastAsia"/>
                      <w:color w:val="auto"/>
                      <w:highlight w:val="none"/>
                      <w:lang w:val="en-US" w:eastAsia="zh-CN"/>
                    </w:rPr>
                    <w:t>本项目不涉及取水工程</w:t>
                  </w:r>
                </w:p>
              </w:tc>
            </w:tr>
            <w:tr w14:paraId="2F4E8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noWrap w:val="0"/>
                  <w:vAlign w:val="center"/>
                </w:tcPr>
                <w:p w14:paraId="64C64EE3">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lang w:val="en-US" w:eastAsia="zh-CN"/>
                    </w:rPr>
                  </w:pPr>
                  <w:r>
                    <w:rPr>
                      <w:rFonts w:hint="eastAsia" w:ascii="Times New Roman" w:hAnsi="Times New Roman" w:eastAsia="宋体"/>
                      <w:color w:val="auto"/>
                      <w:highlight w:val="none"/>
                      <w:lang w:val="en-US" w:eastAsia="zh-CN"/>
                    </w:rPr>
                    <w:t>海洋</w:t>
                  </w:r>
                </w:p>
              </w:tc>
              <w:tc>
                <w:tcPr>
                  <w:tcW w:w="2095" w:type="pct"/>
                  <w:noWrap w:val="0"/>
                  <w:vAlign w:val="center"/>
                </w:tcPr>
                <w:p w14:paraId="284A45D0">
                  <w:pPr>
                    <w:pStyle w:val="37"/>
                    <w:keepNext w:val="0"/>
                    <w:keepLines w:val="0"/>
                    <w:suppressLineNumbers w:val="0"/>
                    <w:bidi w:val="0"/>
                    <w:spacing w:before="0" w:beforeAutospacing="0" w:after="0" w:afterAutospacing="0" w:line="240" w:lineRule="auto"/>
                    <w:ind w:left="0" w:right="0"/>
                    <w:jc w:val="center"/>
                    <w:rPr>
                      <w:rFonts w:hint="default" w:ascii="Times New Roman" w:hAnsi="Times New Roman" w:eastAsia="宋体"/>
                      <w:color w:val="auto"/>
                      <w:highlight w:val="none"/>
                    </w:rPr>
                  </w:pPr>
                  <w:r>
                    <w:rPr>
                      <w:rFonts w:hint="eastAsia" w:ascii="Times New Roman" w:hAnsi="Times New Roman" w:eastAsia="宋体"/>
                      <w:color w:val="auto"/>
                      <w:highlight w:val="none"/>
                    </w:rPr>
                    <w:t>直接向海排放污染物的海洋工程建设项目</w:t>
                  </w:r>
                </w:p>
              </w:tc>
              <w:tc>
                <w:tcPr>
                  <w:tcW w:w="2257" w:type="pct"/>
                  <w:noWrap w:val="0"/>
                  <w:vAlign w:val="center"/>
                </w:tcPr>
                <w:p w14:paraId="0C1E7014">
                  <w:pPr>
                    <w:pStyle w:val="37"/>
                    <w:keepNext w:val="0"/>
                    <w:keepLines w:val="0"/>
                    <w:suppressLineNumbers w:val="0"/>
                    <w:bidi w:val="0"/>
                    <w:spacing w:before="0" w:beforeAutospacing="0" w:after="0" w:afterAutospacing="0" w:line="240" w:lineRule="auto"/>
                    <w:ind w:left="0" w:right="0"/>
                    <w:rPr>
                      <w:rFonts w:hint="default" w:ascii="Times New Roman" w:hAnsi="Times New Roman" w:eastAsia="宋体"/>
                      <w:color w:val="auto"/>
                      <w:highlight w:val="none"/>
                      <w:lang w:val="en-US"/>
                    </w:rPr>
                  </w:pPr>
                  <w:r>
                    <w:rPr>
                      <w:rFonts w:hint="eastAsia"/>
                      <w:color w:val="auto"/>
                      <w:highlight w:val="none"/>
                      <w:lang w:val="en-US" w:eastAsia="zh-CN"/>
                    </w:rPr>
                    <w:t>本项目不涉及海洋工程</w:t>
                  </w:r>
                </w:p>
              </w:tc>
            </w:tr>
          </w:tbl>
          <w:p w14:paraId="6757B604">
            <w:pPr>
              <w:pStyle w:val="37"/>
              <w:keepNext w:val="0"/>
              <w:keepLines w:val="0"/>
              <w:suppressLineNumbers w:val="0"/>
              <w:bidi w:val="0"/>
              <w:spacing w:before="0" w:beforeAutospacing="0" w:after="0" w:afterAutospacing="0"/>
              <w:ind w:left="0" w:leftChars="0" w:right="0" w:rightChars="0" w:firstLine="0" w:firstLineChars="0"/>
              <w:jc w:val="left"/>
              <w:rPr>
                <w:rFonts w:hint="default" w:eastAsia="宋体" w:cs="Times New Roman"/>
                <w:color w:val="auto"/>
                <w:highlight w:val="none"/>
                <w:lang w:val="en-US" w:eastAsia="zh-CN"/>
              </w:rPr>
            </w:pPr>
            <w:r>
              <w:rPr>
                <w:rFonts w:hint="eastAsia"/>
                <w:color w:val="auto"/>
                <w:sz w:val="20"/>
                <w:szCs w:val="22"/>
                <w:highlight w:val="none"/>
              </w:rPr>
              <w:t>注：1.废气中有毒有害污染物指纳入《有毒有害大气污染物名录》的污染物（不包括无排放标准的污染物）。2.环境空气保护目标指自然保护区、风景名胜区、居住区、文化区和农村地区中人群较集中的区域。3.临界量及其计算方法可参考《建设项目环境风险评价技术导则》（HJ 169）附录B、附录C。</w:t>
            </w:r>
          </w:p>
        </w:tc>
      </w:tr>
      <w:tr w14:paraId="678AF8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435" w:type="dxa"/>
            <w:noWrap w:val="0"/>
            <w:vAlign w:val="center"/>
          </w:tcPr>
          <w:p w14:paraId="2798A145">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宋体" w:hAnsi="宋体" w:cs="宋体"/>
                <w:color w:val="auto"/>
                <w:kern w:val="0"/>
                <w:szCs w:val="21"/>
                <w:highlight w:val="none"/>
              </w:rPr>
            </w:pPr>
            <w:r>
              <w:rPr>
                <w:rFonts w:hint="eastAsia" w:ascii="宋体" w:hAnsi="宋体" w:cs="宋体"/>
                <w:color w:val="auto"/>
                <w:szCs w:val="21"/>
                <w:highlight w:val="none"/>
              </w:rPr>
              <w:t>规划情况</w:t>
            </w:r>
          </w:p>
        </w:tc>
        <w:tc>
          <w:tcPr>
            <w:tcW w:w="7435" w:type="dxa"/>
            <w:gridSpan w:val="3"/>
            <w:noWrap w:val="0"/>
            <w:vAlign w:val="center"/>
          </w:tcPr>
          <w:p w14:paraId="39C3FC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eastAsia="宋体" w:cs="Times New Roman"/>
                <w:color w:val="auto"/>
                <w:highlight w:val="none"/>
                <w:lang w:eastAsia="zh-CN"/>
              </w:rPr>
            </w:pPr>
            <w:r>
              <w:rPr>
                <w:rFonts w:hint="eastAsia"/>
                <w:color w:val="auto"/>
                <w:highlight w:val="none"/>
                <w:lang w:val="en-US" w:eastAsia="zh-CN"/>
              </w:rPr>
              <w:t>无</w:t>
            </w:r>
          </w:p>
        </w:tc>
      </w:tr>
      <w:tr w14:paraId="4140DD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435" w:type="dxa"/>
            <w:noWrap w:val="0"/>
            <w:vAlign w:val="center"/>
          </w:tcPr>
          <w:p w14:paraId="3BC78FE9">
            <w:pPr>
              <w:keepNext w:val="0"/>
              <w:keepLines w:val="0"/>
              <w:suppressLineNumbers w:val="0"/>
              <w:adjustRightInd w:val="0"/>
              <w:snapToGrid w:val="0"/>
              <w:spacing w:before="0" w:beforeAutospacing="0" w:after="0" w:afterAutospacing="0" w:line="240" w:lineRule="auto"/>
              <w:ind w:left="0" w:right="0"/>
              <w:jc w:val="center"/>
              <w:rPr>
                <w:rFonts w:hint="default" w:ascii="宋体" w:hAnsi="宋体" w:cs="宋体"/>
                <w:color w:val="auto"/>
                <w:szCs w:val="21"/>
                <w:highlight w:val="none"/>
              </w:rPr>
            </w:pPr>
            <w:r>
              <w:rPr>
                <w:rFonts w:hint="eastAsia" w:ascii="宋体" w:hAnsi="宋体" w:cs="宋体"/>
                <w:color w:val="auto"/>
                <w:szCs w:val="21"/>
                <w:highlight w:val="none"/>
              </w:rPr>
              <w:t>规划环境影响</w:t>
            </w:r>
          </w:p>
          <w:p w14:paraId="3A00D7AD">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cs="宋体"/>
                <w:color w:val="auto"/>
                <w:kern w:val="0"/>
                <w:szCs w:val="21"/>
                <w:highlight w:val="none"/>
              </w:rPr>
            </w:pPr>
            <w:r>
              <w:rPr>
                <w:rFonts w:hint="eastAsia" w:ascii="宋体" w:hAnsi="宋体" w:cs="宋体"/>
                <w:color w:val="auto"/>
                <w:szCs w:val="21"/>
                <w:highlight w:val="none"/>
              </w:rPr>
              <w:t>评价情况</w:t>
            </w:r>
          </w:p>
        </w:tc>
        <w:tc>
          <w:tcPr>
            <w:tcW w:w="7435" w:type="dxa"/>
            <w:gridSpan w:val="3"/>
            <w:noWrap w:val="0"/>
            <w:vAlign w:val="center"/>
          </w:tcPr>
          <w:p w14:paraId="4DF4FCB2">
            <w:pPr>
              <w:keepNext w:val="0"/>
              <w:keepLines w:val="0"/>
              <w:suppressLineNumbers w:val="0"/>
              <w:bidi w:val="0"/>
              <w:spacing w:before="0" w:beforeAutospacing="0" w:after="0" w:afterAutospacing="0"/>
              <w:ind w:left="0" w:right="0"/>
              <w:rPr>
                <w:rFonts w:hint="default" w:ascii="宋体" w:hAnsi="宋体" w:cs="宋体"/>
                <w:color w:val="auto"/>
                <w:kern w:val="0"/>
                <w:szCs w:val="24"/>
                <w:highlight w:val="none"/>
                <w:lang w:val="en-US" w:eastAsia="zh-CN"/>
              </w:rPr>
            </w:pPr>
            <w:r>
              <w:rPr>
                <w:rFonts w:hint="eastAsia"/>
                <w:color w:val="auto"/>
                <w:highlight w:val="none"/>
                <w:lang w:val="en-US" w:eastAsia="zh-CN"/>
              </w:rPr>
              <w:t>无</w:t>
            </w:r>
          </w:p>
        </w:tc>
      </w:tr>
      <w:tr w14:paraId="18ACE3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435" w:type="dxa"/>
            <w:noWrap w:val="0"/>
            <w:vAlign w:val="center"/>
          </w:tcPr>
          <w:p w14:paraId="678859E6">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default" w:ascii="宋体" w:hAnsi="宋体" w:cs="宋体"/>
                <w:color w:val="auto"/>
                <w:kern w:val="0"/>
                <w:szCs w:val="21"/>
                <w:highlight w:val="none"/>
              </w:rPr>
            </w:pPr>
            <w:r>
              <w:rPr>
                <w:rFonts w:hint="eastAsia" w:ascii="宋体" w:hAnsi="宋体" w:cs="宋体"/>
                <w:color w:val="auto"/>
                <w:kern w:val="0"/>
                <w:szCs w:val="21"/>
                <w:highlight w:val="none"/>
              </w:rPr>
              <w:t>规划及规划环境影响评价符合性分析</w:t>
            </w:r>
          </w:p>
        </w:tc>
        <w:tc>
          <w:tcPr>
            <w:tcW w:w="7435" w:type="dxa"/>
            <w:gridSpan w:val="3"/>
            <w:noWrap w:val="0"/>
            <w:vAlign w:val="center"/>
          </w:tcPr>
          <w:p w14:paraId="66A81883">
            <w:pPr>
              <w:keepNext w:val="0"/>
              <w:keepLines w:val="0"/>
              <w:suppressLineNumbers w:val="0"/>
              <w:bidi w:val="0"/>
              <w:spacing w:before="0" w:beforeAutospacing="0" w:after="0" w:afterAutospacing="0"/>
              <w:ind w:left="0" w:right="0"/>
              <w:jc w:val="both"/>
              <w:rPr>
                <w:rFonts w:hint="default" w:ascii="Times New Roman" w:hAnsi="Times New Roman" w:cs="Times New Roman"/>
                <w:b/>
                <w:bCs/>
                <w:color w:val="auto"/>
                <w:szCs w:val="24"/>
                <w:highlight w:val="none"/>
                <w:lang w:val="en-US" w:eastAsia="zh-CN"/>
              </w:rPr>
            </w:pPr>
            <w:r>
              <w:rPr>
                <w:rFonts w:hint="eastAsia"/>
                <w:b w:val="0"/>
                <w:bCs w:val="0"/>
                <w:color w:val="auto"/>
                <w:highlight w:val="none"/>
                <w:lang w:val="en-US" w:eastAsia="zh-CN"/>
              </w:rPr>
              <w:t>无</w:t>
            </w:r>
          </w:p>
        </w:tc>
      </w:tr>
      <w:tr w14:paraId="0B5F68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435" w:type="dxa"/>
            <w:noWrap w:val="0"/>
            <w:vAlign w:val="center"/>
          </w:tcPr>
          <w:p w14:paraId="1A5D2267">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宋体" w:hAnsi="宋体" w:cs="宋体"/>
                <w:color w:val="auto"/>
                <w:kern w:val="0"/>
                <w:szCs w:val="21"/>
                <w:highlight w:val="yellow"/>
              </w:rPr>
            </w:pPr>
            <w:r>
              <w:rPr>
                <w:rFonts w:hint="eastAsia" w:ascii="宋体" w:hAnsi="宋体" w:cs="宋体"/>
                <w:color w:val="auto"/>
                <w:kern w:val="0"/>
                <w:szCs w:val="21"/>
                <w:highlight w:val="none"/>
              </w:rPr>
              <w:t>其他符合性分析</w:t>
            </w:r>
          </w:p>
        </w:tc>
        <w:tc>
          <w:tcPr>
            <w:tcW w:w="7435" w:type="dxa"/>
            <w:gridSpan w:val="3"/>
            <w:noWrap w:val="0"/>
            <w:vAlign w:val="center"/>
          </w:tcPr>
          <w:p w14:paraId="3B166ACE">
            <w:pPr>
              <w:pStyle w:val="2"/>
              <w:keepLines w:val="0"/>
              <w:numPr>
                <w:ilvl w:val="0"/>
                <w:numId w:val="0"/>
              </w:numPr>
              <w:suppressLineNumbers w:val="0"/>
              <w:bidi w:val="0"/>
              <w:spacing w:before="0" w:beforeAutospacing="0" w:after="0" w:afterAutospacing="0"/>
              <w:ind w:left="0" w:leftChars="0" w:right="0" w:rightChars="0" w:firstLine="0" w:firstLineChars="0"/>
              <w:rPr>
                <w:rFonts w:hint="eastAsia"/>
                <w:b/>
                <w:bCs/>
                <w:color w:val="auto"/>
                <w:highlight w:val="none"/>
              </w:rPr>
            </w:pPr>
            <w:bookmarkStart w:id="6" w:name="_Toc11446"/>
            <w:r>
              <w:rPr>
                <w:rFonts w:hint="eastAsia" w:ascii="Times New Roman" w:hAnsi="Times New Roman" w:eastAsia="宋体" w:cs="Times New Roman"/>
                <w:b/>
                <w:bCs/>
                <w:color w:val="auto"/>
                <w:kern w:val="0"/>
                <w:sz w:val="24"/>
                <w:szCs w:val="24"/>
                <w:lang w:val="en-US" w:eastAsia="zh-CN" w:bidi="ar-SA"/>
              </w:rPr>
              <w:t>1、</w:t>
            </w:r>
            <w:r>
              <w:rPr>
                <w:rFonts w:hint="eastAsia"/>
                <w:b/>
                <w:bCs/>
                <w:color w:val="auto"/>
                <w:highlight w:val="none"/>
              </w:rPr>
              <w:t>产业政策符合性分析</w:t>
            </w:r>
          </w:p>
          <w:p w14:paraId="71FADE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eastAsia="宋体"/>
                <w:lang w:val="en-US" w:eastAsia="zh-CN"/>
              </w:rPr>
            </w:pPr>
            <w:r>
              <w:rPr>
                <w:rFonts w:hint="eastAsia"/>
                <w:color w:val="auto"/>
                <w:lang w:val="en-US" w:eastAsia="zh-CN"/>
              </w:rPr>
              <w:t>本项目为</w:t>
            </w:r>
            <w:r>
              <w:rPr>
                <w:rFonts w:hint="eastAsia"/>
                <w:color w:val="auto"/>
                <w:sz w:val="24"/>
                <w:szCs w:val="24"/>
              </w:rPr>
              <w:t>农副食品加工</w:t>
            </w:r>
            <w:r>
              <w:rPr>
                <w:rFonts w:hint="eastAsia"/>
                <w:color w:val="auto"/>
                <w:lang w:val="en-US" w:eastAsia="zh-CN"/>
              </w:rPr>
              <w:t>项目，</w:t>
            </w:r>
            <w:r>
              <w:rPr>
                <w:rFonts w:hint="eastAsia"/>
                <w:color w:val="auto"/>
              </w:rPr>
              <w:t>不属于《产业结构调整指导目录（202</w:t>
            </w:r>
            <w:r>
              <w:rPr>
                <w:rFonts w:hint="eastAsia"/>
                <w:color w:val="auto"/>
                <w:lang w:val="en-US" w:eastAsia="zh-CN"/>
              </w:rPr>
              <w:t>4年本</w:t>
            </w:r>
            <w:r>
              <w:rPr>
                <w:rFonts w:hint="eastAsia"/>
                <w:color w:val="auto"/>
              </w:rPr>
              <w:t>）》中鼓励类、限制类和淘汰类的项目，属于允许类项目，且未使用限制、淘汰类设备。因此本项目的建设内容符合当前国家产业政策的要求</w:t>
            </w:r>
            <w:r>
              <w:rPr>
                <w:rFonts w:hint="eastAsia"/>
                <w:color w:val="auto"/>
                <w:lang w:eastAsia="zh-CN"/>
              </w:rPr>
              <w:t>。</w:t>
            </w:r>
          </w:p>
          <w:p w14:paraId="571616E9">
            <w:pPr>
              <w:pStyle w:val="2"/>
              <w:keepLines w:val="0"/>
              <w:numPr>
                <w:ilvl w:val="0"/>
                <w:numId w:val="0"/>
              </w:numPr>
              <w:suppressLineNumbers w:val="0"/>
              <w:bidi w:val="0"/>
              <w:spacing w:before="0" w:beforeAutospacing="0" w:after="0" w:afterAutospacing="0"/>
              <w:ind w:leftChars="0" w:right="0"/>
              <w:rPr>
                <w:rFonts w:hint="eastAsia" w:cs="Times New Roman"/>
                <w:color w:val="auto"/>
                <w:highlight w:val="none"/>
                <w:lang w:val="en-US" w:eastAsia="zh-CN"/>
              </w:rPr>
            </w:pPr>
            <w:r>
              <w:rPr>
                <w:rFonts w:hint="eastAsia" w:cs="Times New Roman"/>
                <w:color w:val="auto"/>
                <w:highlight w:val="none"/>
                <w:lang w:val="en-US" w:eastAsia="zh-CN"/>
              </w:rPr>
              <w:t>2、与土地规划相符性分析</w:t>
            </w:r>
          </w:p>
          <w:p w14:paraId="4D4766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color w:val="auto"/>
              </w:rPr>
            </w:pPr>
            <w:r>
              <w:rPr>
                <w:rFonts w:hint="default" w:ascii="Times New Roman" w:hAnsi="Times New Roman" w:cs="Times New Roman"/>
                <w:b w:val="0"/>
                <w:bCs w:val="0"/>
                <w:color w:val="auto"/>
                <w:highlight w:val="none"/>
                <w:lang w:val="en-US" w:eastAsia="zh-CN"/>
              </w:rPr>
              <w:t>本项目位于祁东县官家嘴镇官家嘴村，本项目占地范围已于2024年8月22日取得湖南省人民政府建设用地批复文件——《关于祁东县2024年第一批次集体土地农用地</w:t>
            </w:r>
            <w:r>
              <w:rPr>
                <w:rFonts w:hint="eastAsia" w:ascii="Times New Roman" w:hAnsi="Times New Roman" w:cs="Times New Roman"/>
                <w:b w:val="0"/>
                <w:bCs w:val="0"/>
                <w:color w:val="auto"/>
                <w:highlight w:val="none"/>
                <w:lang w:val="en-US" w:eastAsia="zh-CN"/>
              </w:rPr>
              <w:t>转用</w:t>
            </w:r>
            <w:r>
              <w:rPr>
                <w:rFonts w:hint="default" w:ascii="Times New Roman" w:hAnsi="Times New Roman" w:cs="Times New Roman"/>
                <w:b w:val="0"/>
                <w:bCs w:val="0"/>
                <w:color w:val="auto"/>
                <w:highlight w:val="none"/>
                <w:lang w:val="en-US" w:eastAsia="zh-CN"/>
              </w:rPr>
              <w:t>（增减挂钩）的批复》（湘政地[2024]1744号）</w:t>
            </w:r>
            <w:r>
              <w:rPr>
                <w:rFonts w:hint="eastAsia" w:ascii="Times New Roman" w:hAnsi="Times New Roman" w:cs="Times New Roman"/>
                <w:b w:val="0"/>
                <w:bCs w:val="0"/>
                <w:color w:val="auto"/>
                <w:highlight w:val="none"/>
                <w:lang w:val="en-US" w:eastAsia="zh-CN"/>
              </w:rPr>
              <w:t>，用地类型属于建设用地；不在生态红线范围</w:t>
            </w:r>
            <w:r>
              <w:rPr>
                <w:rFonts w:hint="default" w:ascii="Times New Roman" w:hAnsi="Times New Roman" w:cs="Times New Roman"/>
                <w:b w:val="0"/>
                <w:bCs w:val="0"/>
                <w:color w:val="auto"/>
                <w:highlight w:val="none"/>
                <w:lang w:val="en-US" w:eastAsia="zh-CN"/>
              </w:rPr>
              <w:t>。</w:t>
            </w:r>
            <w:r>
              <w:rPr>
                <w:rFonts w:hint="eastAsia"/>
                <w:color w:val="auto"/>
                <w:lang w:val="en-US" w:eastAsia="zh-CN"/>
              </w:rPr>
              <w:t>项目</w:t>
            </w:r>
            <w:r>
              <w:rPr>
                <w:rFonts w:hint="eastAsia"/>
                <w:color w:val="auto"/>
              </w:rPr>
              <w:t>选址不在文物保护单</w:t>
            </w:r>
            <w:r>
              <w:rPr>
                <w:rFonts w:hint="eastAsia"/>
                <w:color w:val="auto"/>
                <w:highlight w:val="none"/>
              </w:rPr>
              <w:t>位、自然保护区、风景名胜区等环境敏感区域，不涉及占用永久基本农田和生态公益林，本项目在采取环保措施后，其建设运营对周边环境影响</w:t>
            </w:r>
            <w:r>
              <w:rPr>
                <w:rFonts w:hint="eastAsia"/>
                <w:color w:val="auto"/>
                <w:highlight w:val="none"/>
                <w:lang w:val="en-US" w:eastAsia="zh-CN"/>
              </w:rPr>
              <w:t>较小</w:t>
            </w:r>
            <w:r>
              <w:rPr>
                <w:rFonts w:hint="eastAsia"/>
                <w:color w:val="auto"/>
                <w:highlight w:val="none"/>
              </w:rPr>
              <w:t>，</w:t>
            </w:r>
            <w:r>
              <w:rPr>
                <w:rFonts w:hint="eastAsia"/>
                <w:color w:val="auto"/>
                <w:highlight w:val="none"/>
                <w:lang w:val="en-US" w:eastAsia="zh-CN"/>
              </w:rPr>
              <w:t>项目用地符合</w:t>
            </w:r>
            <w:r>
              <w:rPr>
                <w:rFonts w:hint="eastAsia" w:cs="Times New Roman"/>
                <w:color w:val="auto"/>
                <w:highlight w:val="none"/>
                <w:lang w:val="en-US" w:eastAsia="zh-CN"/>
              </w:rPr>
              <w:t>土地规划要求。</w:t>
            </w:r>
          </w:p>
          <w:p w14:paraId="6E0F9D74">
            <w:pPr>
              <w:pStyle w:val="2"/>
              <w:keepLines w:val="0"/>
              <w:numPr>
                <w:ilvl w:val="0"/>
                <w:numId w:val="0"/>
              </w:numPr>
              <w:suppressLineNumbers w:val="0"/>
              <w:bidi w:val="0"/>
              <w:spacing w:before="0" w:beforeAutospacing="0" w:after="0" w:afterAutospacing="0"/>
              <w:ind w:leftChars="0" w:right="0"/>
              <w:rPr>
                <w:rFonts w:hint="default" w:cs="Times New Roman"/>
                <w:color w:val="auto"/>
                <w:highlight w:val="none"/>
                <w:lang w:val="en-US" w:eastAsia="zh-CN"/>
              </w:rPr>
            </w:pPr>
            <w:r>
              <w:rPr>
                <w:rFonts w:hint="eastAsia" w:cs="Times New Roman"/>
                <w:color w:val="auto"/>
                <w:highlight w:val="none"/>
                <w:lang w:val="en-US" w:eastAsia="zh-CN"/>
              </w:rPr>
              <w:t>3、</w:t>
            </w:r>
            <w:r>
              <w:rPr>
                <w:rFonts w:hint="default" w:ascii="Times New Roman" w:hAnsi="Times New Roman" w:eastAsia="宋体" w:cs="Times New Roman"/>
                <w:b/>
                <w:bCs/>
                <w:color w:val="000000" w:themeColor="text1"/>
                <w:sz w:val="24"/>
                <w:highlight w:val="none"/>
                <w:u w:val="none"/>
                <w:lang w:val="en-US" w:eastAsia="zh-CN"/>
                <w14:textFill>
                  <w14:solidFill>
                    <w14:schemeClr w14:val="tx1"/>
                  </w14:solidFill>
                </w14:textFill>
              </w:rPr>
              <w:t>项目选址合理性分析</w:t>
            </w:r>
          </w:p>
          <w:p w14:paraId="5509CF96">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snapToGrid w:val="0"/>
              <w:spacing w:before="0" w:beforeAutospacing="0" w:after="0" w:afterAutospacing="0"/>
              <w:ind w:left="0" w:leftChars="0" w:right="0" w:firstLine="480" w:firstLineChars="200"/>
              <w:textAlignment w:val="auto"/>
              <w:outlineLvl w:val="9"/>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根据《</w:t>
            </w:r>
            <w:r>
              <w:rPr>
                <w:rFonts w:hint="eastAsia" w:cs="Times New Roman"/>
                <w:color w:val="000000" w:themeColor="text1"/>
                <w:sz w:val="24"/>
                <w:lang w:val="en-US" w:eastAsia="zh-CN"/>
                <w14:textFill>
                  <w14:solidFill>
                    <w14:schemeClr w14:val="tx1"/>
                  </w14:solidFill>
                </w14:textFill>
              </w:rPr>
              <w:t xml:space="preserve">食品安全国家标准 </w:t>
            </w:r>
            <w:r>
              <w:rPr>
                <w:rFonts w:hint="default" w:ascii="Times New Roman" w:hAnsi="Times New Roman" w:eastAsia="宋体" w:cs="Times New Roman"/>
                <w:color w:val="000000" w:themeColor="text1"/>
                <w:sz w:val="24"/>
                <w14:textFill>
                  <w14:solidFill>
                    <w14:schemeClr w14:val="tx1"/>
                  </w14:solidFill>
                </w14:textFill>
              </w:rPr>
              <w:t>食品生产通用卫生规范》（GB 14881—2013），食品企业选址应当满足以下要求：①厂区不应选择对食品有显著污染的区域；②厂区不应选择在有害废弃物以及粉尘、有害气体、放射性物质和其他扩散性污染源不能有效清除的地址；③厂区不宜择易发生洪涝灾害的地区；④厂区周围不宜有虫害大量滋生的潜在场所。</w:t>
            </w:r>
          </w:p>
          <w:p w14:paraId="1D291306">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本项目位于衡阳市</w:t>
            </w:r>
            <w:r>
              <w:rPr>
                <w:rFonts w:hint="default" w:ascii="Times New Roman" w:hAnsi="Times New Roman" w:eastAsia="宋体" w:cs="Times New Roman"/>
                <w:color w:val="000000" w:themeColor="text1"/>
                <w:sz w:val="24"/>
                <w:lang w:eastAsia="zh-CN"/>
                <w14:textFill>
                  <w14:solidFill>
                    <w14:schemeClr w14:val="tx1"/>
                  </w14:solidFill>
                </w14:textFill>
              </w:rPr>
              <w:t>湖南省衡阳市祁东县</w:t>
            </w:r>
            <w:r>
              <w:rPr>
                <w:rFonts w:hint="eastAsia" w:cs="Times New Roman"/>
                <w:color w:val="000000" w:themeColor="text1"/>
                <w:sz w:val="24"/>
                <w:lang w:val="en-US" w:eastAsia="zh-CN"/>
                <w14:textFill>
                  <w14:solidFill>
                    <w14:schemeClr w14:val="tx1"/>
                  </w14:solidFill>
                </w14:textFill>
              </w:rPr>
              <w:t>官家嘴镇官家嘴村</w:t>
            </w:r>
            <w:r>
              <w:rPr>
                <w:rFonts w:hint="default" w:ascii="Times New Roman" w:hAnsi="Times New Roman" w:eastAsia="宋体" w:cs="Times New Roman"/>
                <w:color w:val="000000" w:themeColor="text1"/>
                <w:sz w:val="24"/>
                <w14:textFill>
                  <w14:solidFill>
                    <w14:schemeClr w14:val="tx1"/>
                  </w14:solidFill>
                </w14:textFill>
              </w:rPr>
              <w:t>。根据调查，</w:t>
            </w:r>
            <w:r>
              <w:rPr>
                <w:rFonts w:hint="default" w:ascii="Times New Roman" w:hAnsi="Times New Roman" w:eastAsia="宋体" w:cs="Times New Roman"/>
                <w:color w:val="000000" w:themeColor="text1"/>
                <w:sz w:val="24"/>
                <w:lang w:val="en-US" w:eastAsia="zh-CN"/>
                <w14:textFill>
                  <w14:solidFill>
                    <w14:schemeClr w14:val="tx1"/>
                  </w14:solidFill>
                </w14:textFill>
              </w:rPr>
              <w:t>项目</w:t>
            </w:r>
            <w:r>
              <w:rPr>
                <w:rFonts w:hint="default" w:ascii="Times New Roman" w:hAnsi="Times New Roman" w:eastAsia="宋体" w:cs="Times New Roman"/>
                <w:color w:val="000000" w:themeColor="text1"/>
                <w:sz w:val="24"/>
                <w14:textFill>
                  <w14:solidFill>
                    <w14:schemeClr w14:val="tx1"/>
                  </w14:solidFill>
                </w14:textFill>
              </w:rPr>
              <w:t>周边以农田、</w:t>
            </w:r>
            <w:r>
              <w:rPr>
                <w:rFonts w:hint="eastAsia" w:cs="Times New Roman"/>
                <w:color w:val="000000" w:themeColor="text1"/>
                <w:sz w:val="24"/>
                <w:lang w:val="en-US" w:eastAsia="zh-CN"/>
                <w14:textFill>
                  <w14:solidFill>
                    <w14:schemeClr w14:val="tx1"/>
                  </w14:solidFill>
                </w14:textFill>
              </w:rPr>
              <w:t>山林</w:t>
            </w:r>
            <w:r>
              <w:rPr>
                <w:rFonts w:hint="default" w:ascii="Times New Roman" w:hAnsi="Times New Roman" w:eastAsia="宋体" w:cs="Times New Roman"/>
                <w:color w:val="000000" w:themeColor="text1"/>
                <w:sz w:val="24"/>
                <w14:textFill>
                  <w14:solidFill>
                    <w14:schemeClr w14:val="tx1"/>
                  </w14:solidFill>
                </w14:textFill>
              </w:rPr>
              <w:t>和居民为主，无高大建筑物，扩散性</w:t>
            </w:r>
            <w:r>
              <w:rPr>
                <w:rFonts w:hint="default" w:ascii="Times New Roman" w:hAnsi="Times New Roman" w:eastAsia="宋体" w:cs="Times New Roman"/>
                <w:color w:val="000000" w:themeColor="text1"/>
                <w:sz w:val="24"/>
                <w:lang w:val="en-US" w:eastAsia="zh-CN"/>
                <w14:textFill>
                  <w14:solidFill>
                    <w14:schemeClr w14:val="tx1"/>
                  </w14:solidFill>
                </w14:textFill>
              </w:rPr>
              <w:t>较</w:t>
            </w:r>
            <w:r>
              <w:rPr>
                <w:rFonts w:hint="default" w:ascii="Times New Roman" w:hAnsi="Times New Roman" w:eastAsia="宋体" w:cs="Times New Roman"/>
                <w:color w:val="000000" w:themeColor="text1"/>
                <w:sz w:val="24"/>
                <w14:textFill>
                  <w14:solidFill>
                    <w14:schemeClr w14:val="tx1"/>
                  </w14:solidFill>
                </w14:textFill>
              </w:rPr>
              <w:t>好。项目生产加工车间为室内，且车间内配备抽风系统以及排风扇，道路汽车尾气对项目影响</w:t>
            </w:r>
            <w:r>
              <w:rPr>
                <w:rFonts w:hint="eastAsia" w:cs="Times New Roman"/>
                <w:color w:val="000000" w:themeColor="text1"/>
                <w:sz w:val="24"/>
                <w:lang w:val="en-US" w:eastAsia="zh-CN"/>
                <w14:textFill>
                  <w14:solidFill>
                    <w14:schemeClr w14:val="tx1"/>
                  </w14:solidFill>
                </w14:textFill>
              </w:rPr>
              <w:t>较小</w:t>
            </w:r>
            <w:r>
              <w:rPr>
                <w:rFonts w:hint="default" w:ascii="Times New Roman" w:hAnsi="Times New Roman" w:eastAsia="宋体" w:cs="Times New Roman"/>
                <w:color w:val="000000" w:themeColor="text1"/>
                <w:sz w:val="24"/>
                <w14:textFill>
                  <w14:solidFill>
                    <w14:schemeClr w14:val="tx1"/>
                  </w14:solidFill>
                </w14:textFill>
              </w:rPr>
              <w:t>。项目周围无有害废弃物以及粉尘、有害气体、放射性物质和其他扩散性污染源等，项目所在地不属于易发生洪涝灾害的地区和虫害大量滋生的潜在场所，因此项目选址</w:t>
            </w:r>
            <w:r>
              <w:rPr>
                <w:rFonts w:hint="default" w:ascii="Times New Roman" w:hAnsi="Times New Roman" w:eastAsia="宋体" w:cs="Times New Roman"/>
                <w:color w:val="000000" w:themeColor="text1"/>
                <w:sz w:val="24"/>
                <w:lang w:val="en-US" w:eastAsia="zh-CN"/>
                <w14:textFill>
                  <w14:solidFill>
                    <w14:schemeClr w14:val="tx1"/>
                  </w14:solidFill>
                </w14:textFill>
              </w:rPr>
              <w:t>基本</w:t>
            </w:r>
            <w:r>
              <w:rPr>
                <w:rFonts w:hint="default" w:ascii="Times New Roman" w:hAnsi="Times New Roman" w:eastAsia="宋体" w:cs="Times New Roman"/>
                <w:color w:val="000000" w:themeColor="text1"/>
                <w:sz w:val="24"/>
                <w14:textFill>
                  <w14:solidFill>
                    <w14:schemeClr w14:val="tx1"/>
                  </w14:solidFill>
                </w14:textFill>
              </w:rPr>
              <w:t>符合《</w:t>
            </w:r>
            <w:r>
              <w:rPr>
                <w:rFonts w:hint="eastAsia" w:cs="Times New Roman"/>
                <w:color w:val="000000" w:themeColor="text1"/>
                <w:sz w:val="24"/>
                <w:lang w:val="en-US" w:eastAsia="zh-CN"/>
                <w14:textFill>
                  <w14:solidFill>
                    <w14:schemeClr w14:val="tx1"/>
                  </w14:solidFill>
                </w14:textFill>
              </w:rPr>
              <w:t xml:space="preserve">食品安全国家标准 </w:t>
            </w:r>
            <w:r>
              <w:rPr>
                <w:rFonts w:hint="default" w:ascii="Times New Roman" w:hAnsi="Times New Roman" w:eastAsia="宋体" w:cs="Times New Roman"/>
                <w:color w:val="000000" w:themeColor="text1"/>
                <w:sz w:val="24"/>
                <w14:textFill>
                  <w14:solidFill>
                    <w14:schemeClr w14:val="tx1"/>
                  </w14:solidFill>
                </w14:textFill>
              </w:rPr>
              <w:t>食品生产通用卫生规范》（GB 14881—2013）对食品加工企业的选址要求。</w:t>
            </w:r>
          </w:p>
          <w:p w14:paraId="0A51B619">
            <w:pPr>
              <w:keepNext w:val="0"/>
              <w:keepLines w:val="0"/>
              <w:suppressLineNumbers w:val="0"/>
              <w:spacing w:before="0" w:beforeAutospacing="0" w:after="0" w:afterAutospacing="0" w:line="360" w:lineRule="auto"/>
              <w:ind w:left="0" w:right="0" w:firstLine="482" w:firstLineChars="200"/>
              <w:jc w:val="left"/>
              <w:rPr>
                <w:rFonts w:hint="default" w:ascii="Times New Roman" w:hAnsi="Times New Roman" w:eastAsia="宋体" w:cs="Times New Roman"/>
                <w:b/>
                <w:bCs w:val="0"/>
                <w:color w:val="000000" w:themeColor="text1"/>
                <w:sz w:val="24"/>
                <w14:textFill>
                  <w14:solidFill>
                    <w14:schemeClr w14:val="tx1"/>
                  </w14:solidFill>
                </w14:textFill>
              </w:rPr>
            </w:pPr>
            <w:r>
              <w:rPr>
                <w:rFonts w:hint="eastAsia"/>
                <w:b/>
                <w:bCs w:val="0"/>
                <w:color w:val="000000" w:themeColor="text1"/>
                <w:lang w:val="en-US" w:eastAsia="zh-CN"/>
                <w14:textFill>
                  <w14:solidFill>
                    <w14:schemeClr w14:val="tx1"/>
                  </w14:solidFill>
                </w14:textFill>
              </w:rPr>
              <w:t>同时，根据《地理标志产品 祁东黄花菜》（DB43/T1452-2018）附录A中祁东黄花菜地理标志保护范围图，项目位于黄花菜主产区，黄花菜采摘后保鲜时间为6小时以内，受项目资源的时空影响，不具备入园条件，且已获得国土资源部门的用地许可。因此，项目选址可行。</w:t>
            </w:r>
          </w:p>
          <w:p w14:paraId="4C5506B3">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eastAsia" w:cs="Times New Roman"/>
                <w:color w:val="000000" w:themeColor="text1"/>
                <w:sz w:val="24"/>
                <w:lang w:val="en-US" w:eastAsia="zh-CN"/>
                <w14:textFill>
                  <w14:solidFill>
                    <w14:schemeClr w14:val="tx1"/>
                  </w14:solidFill>
                </w14:textFill>
              </w:rPr>
              <w:t>项目地理位置图见附图1。</w:t>
            </w:r>
          </w:p>
          <w:p w14:paraId="014ED5CF">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snapToGrid w:val="0"/>
              <w:spacing w:before="0" w:beforeAutospacing="0" w:after="0" w:afterAutospacing="0"/>
              <w:ind w:left="0" w:right="0" w:rightChars="0"/>
              <w:textAlignment w:val="auto"/>
              <w:outlineLvl w:val="9"/>
              <w:rPr>
                <w:rFonts w:hint="eastAsia" w:cs="Times New Roman"/>
                <w:b/>
                <w:bCs/>
                <w:color w:val="000000" w:themeColor="text1"/>
                <w:lang w:val="en-US" w:eastAsia="zh-CN"/>
                <w14:textFill>
                  <w14:solidFill>
                    <w14:schemeClr w14:val="tx1"/>
                  </w14:solidFill>
                </w14:textFill>
              </w:rPr>
            </w:pPr>
            <w:r>
              <w:rPr>
                <w:rFonts w:hint="eastAsia" w:cs="Times New Roman"/>
                <w:b/>
                <w:bCs/>
                <w:color w:val="000000" w:themeColor="text1"/>
                <w:lang w:val="en-US" w:eastAsia="zh-CN"/>
                <w14:textFill>
                  <w14:solidFill>
                    <w14:schemeClr w14:val="tx1"/>
                  </w14:solidFill>
                </w14:textFill>
              </w:rPr>
              <w:t>4、与《食品安全国家标准 食品生产通用卫生规范》（GB14881-2013）的符合性分析</w:t>
            </w:r>
          </w:p>
          <w:p w14:paraId="0351B354">
            <w:pPr>
              <w:pStyle w:val="36"/>
              <w:keepLines w:val="0"/>
              <w:numPr>
                <w:ilvl w:val="3"/>
                <w:numId w:val="0"/>
              </w:numPr>
              <w:suppressLineNumbers w:val="0"/>
              <w:tabs>
                <w:tab w:val="left" w:pos="0"/>
                <w:tab w:val="clear" w:pos="420"/>
              </w:tabs>
              <w:bidi w:val="0"/>
              <w:spacing w:before="0" w:beforeAutospacing="0" w:after="0" w:afterAutospacing="0"/>
              <w:ind w:left="0" w:leftChars="0" w:right="0"/>
              <w:jc w:val="center"/>
              <w:rPr>
                <w:rFonts w:hint="eastAsia"/>
                <w:color w:val="auto"/>
                <w:lang w:val="en-US" w:eastAsia="zh-CN"/>
              </w:rPr>
            </w:pPr>
            <w:r>
              <w:rPr>
                <w:rFonts w:hint="eastAsia"/>
                <w:color w:val="auto"/>
                <w:lang w:val="en-US" w:eastAsia="zh-CN"/>
              </w:rPr>
              <w:t>表1-</w:t>
            </w:r>
            <w:r>
              <w:rPr>
                <w:rFonts w:hint="default"/>
                <w:color w:val="auto"/>
                <w:lang w:eastAsia="zh-CN"/>
              </w:rPr>
              <w:fldChar w:fldCharType="begin"/>
            </w:r>
            <w:r>
              <w:rPr>
                <w:rFonts w:hint="default"/>
                <w:color w:val="auto"/>
                <w:lang w:eastAsia="zh-CN"/>
              </w:rPr>
              <w:instrText xml:space="preserve"> SEQ 表1- </w:instrText>
            </w:r>
            <w:r>
              <w:rPr>
                <w:rFonts w:hint="default"/>
                <w:color w:val="auto"/>
                <w:lang w:eastAsia="zh-CN"/>
              </w:rPr>
              <w:fldChar w:fldCharType="separate"/>
            </w:r>
            <w:r>
              <w:rPr>
                <w:rFonts w:hint="default"/>
                <w:color w:val="auto"/>
                <w:lang w:eastAsia="zh-CN"/>
              </w:rPr>
              <w:t>2</w:t>
            </w:r>
            <w:r>
              <w:rPr>
                <w:rFonts w:hint="default"/>
                <w:color w:val="auto"/>
                <w:lang w:eastAsia="zh-CN"/>
              </w:rPr>
              <w:fldChar w:fldCharType="end"/>
            </w:r>
            <w:r>
              <w:rPr>
                <w:rFonts w:hint="eastAsia"/>
                <w:color w:val="auto"/>
                <w:lang w:val="en-US" w:eastAsia="zh-CN"/>
              </w:rPr>
              <w:t xml:space="preserve">  与《食品安全国家标准 食品生产通用卫生规范》的符合性分析</w:t>
            </w:r>
          </w:p>
          <w:tbl>
            <w:tblPr>
              <w:tblStyle w:val="2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2"/>
              <w:gridCol w:w="512"/>
              <w:gridCol w:w="2977"/>
              <w:gridCol w:w="2724"/>
              <w:gridCol w:w="443"/>
            </w:tblGrid>
            <w:tr w14:paraId="280C1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29A258D6">
                  <w:pPr>
                    <w:pStyle w:val="37"/>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序号</w:t>
                  </w:r>
                </w:p>
              </w:tc>
              <w:tc>
                <w:tcPr>
                  <w:tcW w:w="416" w:type="dxa"/>
                  <w:vAlign w:val="center"/>
                </w:tcPr>
                <w:p w14:paraId="64798FEA">
                  <w:pPr>
                    <w:pStyle w:val="37"/>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项目</w:t>
                  </w:r>
                </w:p>
              </w:tc>
              <w:tc>
                <w:tcPr>
                  <w:tcW w:w="2421" w:type="dxa"/>
                  <w:vAlign w:val="center"/>
                </w:tcPr>
                <w:p w14:paraId="57A9C90B">
                  <w:pPr>
                    <w:pStyle w:val="37"/>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规范</w:t>
                  </w:r>
                  <w:r>
                    <w:rPr>
                      <w:rFonts w:hint="eastAsia"/>
                      <w:lang w:val="en-US" w:eastAsia="zh-CN"/>
                    </w:rPr>
                    <w:t>要求</w:t>
                  </w:r>
                </w:p>
              </w:tc>
              <w:tc>
                <w:tcPr>
                  <w:tcW w:w="2215" w:type="dxa"/>
                  <w:vAlign w:val="center"/>
                </w:tcPr>
                <w:p w14:paraId="6DDB4D92">
                  <w:pPr>
                    <w:pStyle w:val="37"/>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本项目情况</w:t>
                  </w:r>
                </w:p>
              </w:tc>
              <w:tc>
                <w:tcPr>
                  <w:tcW w:w="360" w:type="dxa"/>
                  <w:vAlign w:val="center"/>
                </w:tcPr>
                <w:p w14:paraId="26A92F12">
                  <w:pPr>
                    <w:pStyle w:val="37"/>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符合性</w:t>
                  </w:r>
                </w:p>
              </w:tc>
            </w:tr>
            <w:tr w14:paraId="6A5CD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72772C90">
                  <w:pPr>
                    <w:pStyle w:val="37"/>
                    <w:keepNext w:val="0"/>
                    <w:keepLines w:val="0"/>
                    <w:widowControl w:val="0"/>
                    <w:suppressLineNumbers w:val="0"/>
                    <w:bidi w:val="0"/>
                    <w:spacing w:before="0" w:beforeAutospacing="0" w:after="0" w:afterAutospacing="0"/>
                    <w:ind w:left="0" w:right="0" w:firstLine="0" w:firstLineChars="0"/>
                    <w:jc w:val="center"/>
                    <w:rPr>
                      <w:rFonts w:hint="eastAsia"/>
                      <w:lang w:val="en-US" w:eastAsia="zh-CN"/>
                    </w:rPr>
                  </w:pPr>
                  <w:r>
                    <w:rPr>
                      <w:rFonts w:hint="eastAsia"/>
                      <w:color w:val="auto"/>
                      <w:lang w:val="en-US" w:eastAsia="zh-CN"/>
                    </w:rPr>
                    <w:t>1</w:t>
                  </w:r>
                </w:p>
              </w:tc>
              <w:tc>
                <w:tcPr>
                  <w:tcW w:w="416" w:type="dxa"/>
                  <w:vMerge w:val="restart"/>
                  <w:vAlign w:val="center"/>
                </w:tcPr>
                <w:p w14:paraId="4C1E8929">
                  <w:pPr>
                    <w:pStyle w:val="37"/>
                    <w:keepNext w:val="0"/>
                    <w:keepLines w:val="0"/>
                    <w:widowControl w:val="0"/>
                    <w:suppressLineNumbers w:val="0"/>
                    <w:bidi w:val="0"/>
                    <w:spacing w:before="0" w:beforeAutospacing="0" w:after="0" w:afterAutospacing="0"/>
                    <w:ind w:left="0" w:right="0"/>
                    <w:jc w:val="center"/>
                    <w:rPr>
                      <w:rFonts w:hint="default"/>
                      <w:color w:val="auto"/>
                      <w:lang w:val="en-US"/>
                    </w:rPr>
                  </w:pPr>
                  <w:r>
                    <w:rPr>
                      <w:rFonts w:hint="eastAsia"/>
                      <w:color w:val="auto"/>
                      <w:lang w:val="en-US" w:eastAsia="zh-CN"/>
                    </w:rPr>
                    <w:t>厂区环境</w:t>
                  </w:r>
                </w:p>
              </w:tc>
              <w:tc>
                <w:tcPr>
                  <w:tcW w:w="2421" w:type="dxa"/>
                  <w:vAlign w:val="center"/>
                </w:tcPr>
                <w:p w14:paraId="121E30C5">
                  <w:pPr>
                    <w:pStyle w:val="37"/>
                    <w:keepNext w:val="0"/>
                    <w:keepLines w:val="0"/>
                    <w:suppressLineNumbers w:val="0"/>
                    <w:bidi w:val="0"/>
                    <w:spacing w:before="0" w:beforeAutospacing="0" w:after="0" w:afterAutospacing="0"/>
                    <w:ind w:left="0" w:right="0"/>
                    <w:jc w:val="center"/>
                    <w:rPr>
                      <w:rFonts w:hint="default"/>
                      <w:lang w:val="en-US" w:eastAsia="zh-CN"/>
                    </w:rPr>
                  </w:pPr>
                  <w:r>
                    <w:rPr>
                      <w:rFonts w:hint="default"/>
                      <w:lang w:val="en-US" w:eastAsia="zh-CN"/>
                    </w:rPr>
                    <w:t>应考虑环境给食品生产带来的潜在污染风险，并采取适当的措施将其降至最低水平。</w:t>
                  </w:r>
                </w:p>
              </w:tc>
              <w:tc>
                <w:tcPr>
                  <w:tcW w:w="2215" w:type="dxa"/>
                  <w:vAlign w:val="center"/>
                </w:tcPr>
                <w:p w14:paraId="7EF80129">
                  <w:pPr>
                    <w:pStyle w:val="37"/>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本项目周边污染主要为汽车扬尘和尾气，本项目均在封闭厂房中进行生产，周边环境潜在</w:t>
                  </w:r>
                  <w:r>
                    <w:rPr>
                      <w:rFonts w:hint="default"/>
                      <w:lang w:val="en-US" w:eastAsia="zh-CN"/>
                    </w:rPr>
                    <w:t>污染风险</w:t>
                  </w:r>
                  <w:r>
                    <w:rPr>
                      <w:rFonts w:hint="eastAsia"/>
                      <w:lang w:val="en-US" w:eastAsia="zh-CN"/>
                    </w:rPr>
                    <w:t>较小。</w:t>
                  </w:r>
                </w:p>
              </w:tc>
              <w:tc>
                <w:tcPr>
                  <w:tcW w:w="360" w:type="dxa"/>
                  <w:vAlign w:val="center"/>
                </w:tcPr>
                <w:p w14:paraId="7637919B">
                  <w:pPr>
                    <w:pStyle w:val="37"/>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符合</w:t>
                  </w:r>
                </w:p>
              </w:tc>
            </w:tr>
            <w:tr w14:paraId="5FB43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363994F2">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lang w:val="en-US" w:eastAsia="zh-CN"/>
                    </w:rPr>
                  </w:pPr>
                  <w:r>
                    <w:rPr>
                      <w:rFonts w:hint="eastAsia"/>
                      <w:color w:val="auto"/>
                      <w:lang w:val="en-US" w:eastAsia="zh-CN"/>
                    </w:rPr>
                    <w:t>2</w:t>
                  </w:r>
                </w:p>
              </w:tc>
              <w:tc>
                <w:tcPr>
                  <w:tcW w:w="416" w:type="dxa"/>
                  <w:vMerge w:val="continue"/>
                  <w:vAlign w:val="center"/>
                </w:tcPr>
                <w:p w14:paraId="305E6942">
                  <w:pPr>
                    <w:pStyle w:val="37"/>
                    <w:keepNext w:val="0"/>
                    <w:keepLines w:val="0"/>
                    <w:widowControl w:val="0"/>
                    <w:suppressLineNumbers w:val="0"/>
                    <w:bidi w:val="0"/>
                    <w:spacing w:before="0" w:beforeAutospacing="0" w:after="0" w:afterAutospacing="0"/>
                    <w:ind w:left="0" w:right="0"/>
                    <w:jc w:val="center"/>
                    <w:rPr>
                      <w:rFonts w:hint="default"/>
                      <w:color w:val="auto"/>
                      <w:lang w:val="en-US"/>
                    </w:rPr>
                  </w:pPr>
                </w:p>
              </w:tc>
              <w:tc>
                <w:tcPr>
                  <w:tcW w:w="2421" w:type="dxa"/>
                  <w:vAlign w:val="center"/>
                </w:tcPr>
                <w:p w14:paraId="6EF0D54C">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default"/>
                      <w:lang w:val="en-US" w:eastAsia="zh-CN"/>
                    </w:rPr>
                  </w:pPr>
                  <w:r>
                    <w:rPr>
                      <w:rFonts w:hint="eastAsia" w:ascii="Times New Roman" w:hAnsi="Times New Roman" w:eastAsia="宋体" w:cs="Times New Roman"/>
                      <w:color w:val="auto"/>
                      <w:sz w:val="21"/>
                      <w:szCs w:val="21"/>
                      <w:u w:val="none" w:color="auto"/>
                      <w:lang w:val="en-US" w:eastAsia="zh-CN"/>
                    </w:rPr>
                    <w:t>厂区应合理布局，各功能区域划分明显，并有适当的分离或分隔措施，防止交叉污染</w:t>
                  </w:r>
                </w:p>
              </w:tc>
              <w:tc>
                <w:tcPr>
                  <w:tcW w:w="2215" w:type="dxa"/>
                  <w:vAlign w:val="center"/>
                </w:tcPr>
                <w:p w14:paraId="746F2CA9">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eastAsia" w:eastAsia="宋体"/>
                      <w:lang w:val="en-US" w:eastAsia="zh-CN"/>
                    </w:rPr>
                  </w:pPr>
                  <w:r>
                    <w:rPr>
                      <w:rFonts w:hint="eastAsia" w:ascii="Times New Roman" w:hAnsi="Times New Roman" w:eastAsia="宋体" w:cs="Times New Roman"/>
                      <w:color w:val="auto"/>
                      <w:sz w:val="21"/>
                      <w:szCs w:val="21"/>
                      <w:u w:val="none" w:color="auto"/>
                      <w:lang w:val="en-US" w:eastAsia="zh-CN"/>
                    </w:rPr>
                    <w:t>本项目生产总体布局功能分区明确，原料、产品等均分开存放，杜绝了交叉污染</w:t>
                  </w:r>
                </w:p>
              </w:tc>
              <w:tc>
                <w:tcPr>
                  <w:tcW w:w="360" w:type="dxa"/>
                  <w:vAlign w:val="center"/>
                </w:tcPr>
                <w:p w14:paraId="167C7FFB">
                  <w:pPr>
                    <w:pStyle w:val="37"/>
                    <w:keepNext w:val="0"/>
                    <w:keepLines w:val="0"/>
                    <w:widowControl w:val="0"/>
                    <w:suppressLineNumbers w:val="0"/>
                    <w:bidi w:val="0"/>
                    <w:spacing w:before="0" w:beforeAutospacing="0" w:after="0" w:afterAutospacing="0"/>
                    <w:ind w:left="0" w:right="0"/>
                    <w:jc w:val="center"/>
                    <w:rPr>
                      <w:rFonts w:hint="default"/>
                      <w:color w:val="auto"/>
                      <w:lang w:val="en-US" w:eastAsia="zh-CN"/>
                    </w:rPr>
                  </w:pPr>
                  <w:r>
                    <w:rPr>
                      <w:rFonts w:hint="eastAsia"/>
                      <w:color w:val="auto"/>
                      <w:lang w:val="en-US" w:eastAsia="zh-CN"/>
                    </w:rPr>
                    <w:t>符合</w:t>
                  </w:r>
                </w:p>
              </w:tc>
            </w:tr>
            <w:tr w14:paraId="2D9EA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3D779F15">
                  <w:pPr>
                    <w:pStyle w:val="37"/>
                    <w:keepNext w:val="0"/>
                    <w:keepLines w:val="0"/>
                    <w:widowControl w:val="0"/>
                    <w:suppressLineNumbers w:val="0"/>
                    <w:bidi w:val="0"/>
                    <w:spacing w:before="0" w:beforeAutospacing="0" w:after="0" w:afterAutospacing="0"/>
                    <w:ind w:left="0" w:right="0" w:firstLine="0" w:firstLineChars="0"/>
                    <w:jc w:val="center"/>
                    <w:rPr>
                      <w:rFonts w:hint="eastAsia" w:eastAsia="宋体"/>
                      <w:color w:val="auto"/>
                      <w:lang w:val="en-US" w:eastAsia="zh-CN"/>
                    </w:rPr>
                  </w:pPr>
                  <w:r>
                    <w:rPr>
                      <w:rFonts w:hint="eastAsia"/>
                      <w:color w:val="auto"/>
                      <w:lang w:val="en-US" w:eastAsia="zh-CN"/>
                    </w:rPr>
                    <w:t>3</w:t>
                  </w:r>
                </w:p>
              </w:tc>
              <w:tc>
                <w:tcPr>
                  <w:tcW w:w="416" w:type="dxa"/>
                  <w:vMerge w:val="continue"/>
                  <w:vAlign w:val="center"/>
                </w:tcPr>
                <w:p w14:paraId="607DB6AA">
                  <w:pPr>
                    <w:pStyle w:val="37"/>
                    <w:keepNext w:val="0"/>
                    <w:keepLines w:val="0"/>
                    <w:widowControl w:val="0"/>
                    <w:suppressLineNumbers w:val="0"/>
                    <w:bidi w:val="0"/>
                    <w:spacing w:before="0" w:beforeAutospacing="0" w:after="0" w:afterAutospacing="0"/>
                    <w:ind w:left="0" w:right="0"/>
                    <w:jc w:val="center"/>
                    <w:rPr>
                      <w:rFonts w:hint="default"/>
                      <w:color w:val="auto"/>
                    </w:rPr>
                  </w:pPr>
                </w:p>
              </w:tc>
              <w:tc>
                <w:tcPr>
                  <w:tcW w:w="2421" w:type="dxa"/>
                  <w:vAlign w:val="center"/>
                </w:tcPr>
                <w:p w14:paraId="4EB30159">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eastAsia"/>
                      <w:lang w:val="en-US" w:eastAsia="zh-CN"/>
                    </w:rPr>
                  </w:pPr>
                  <w:r>
                    <w:rPr>
                      <w:rFonts w:hint="eastAsia" w:ascii="Times New Roman" w:hAnsi="Times New Roman" w:eastAsia="宋体" w:cs="Times New Roman"/>
                      <w:color w:val="auto"/>
                      <w:sz w:val="21"/>
                      <w:szCs w:val="21"/>
                      <w:u w:val="none" w:color="auto"/>
                      <w:lang w:val="en-US" w:eastAsia="zh-CN"/>
                    </w:rPr>
                    <w:t>厂区内的道路应铺设混凝土、沥青、或者其他硬质材料；空地应采取必要措施，如铺设水泥、地砖或铺设草坪等方式，保持环境清洁，防止正常天气下扬尘和积水等现象的发生。</w:t>
                  </w:r>
                </w:p>
              </w:tc>
              <w:tc>
                <w:tcPr>
                  <w:tcW w:w="2215" w:type="dxa"/>
                  <w:vAlign w:val="center"/>
                </w:tcPr>
                <w:p w14:paraId="58AE54C1">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eastAsia"/>
                      <w:lang w:val="en-US" w:eastAsia="zh-CN"/>
                    </w:rPr>
                  </w:pPr>
                  <w:r>
                    <w:rPr>
                      <w:rFonts w:hint="eastAsia" w:ascii="Times New Roman" w:hAnsi="Times New Roman" w:eastAsia="宋体" w:cs="Times New Roman"/>
                      <w:color w:val="auto"/>
                      <w:sz w:val="21"/>
                      <w:szCs w:val="21"/>
                      <w:u w:val="none" w:color="auto"/>
                      <w:lang w:val="en-US" w:eastAsia="zh-CN"/>
                    </w:rPr>
                    <w:t>本项目厂区地面全部硬化，保持厂区环境清洁，防止正常天气下扬尘和积水等发生。</w:t>
                  </w:r>
                </w:p>
              </w:tc>
              <w:tc>
                <w:tcPr>
                  <w:tcW w:w="360" w:type="dxa"/>
                  <w:vAlign w:val="center"/>
                </w:tcPr>
                <w:p w14:paraId="6D7F6E42">
                  <w:pPr>
                    <w:pStyle w:val="37"/>
                    <w:keepNext w:val="0"/>
                    <w:keepLines w:val="0"/>
                    <w:widowControl w:val="0"/>
                    <w:suppressLineNumbers w:val="0"/>
                    <w:bidi w:val="0"/>
                    <w:spacing w:before="0" w:beforeAutospacing="0" w:after="0" w:afterAutospacing="0"/>
                    <w:ind w:left="0" w:right="0"/>
                    <w:jc w:val="center"/>
                    <w:rPr>
                      <w:rFonts w:hint="eastAsia"/>
                      <w:color w:val="auto"/>
                      <w:lang w:val="en-US" w:eastAsia="zh-CN"/>
                    </w:rPr>
                  </w:pPr>
                  <w:r>
                    <w:rPr>
                      <w:rFonts w:hint="eastAsia"/>
                      <w:color w:val="auto"/>
                      <w:lang w:val="en-US" w:eastAsia="zh-CN"/>
                    </w:rPr>
                    <w:t>符合</w:t>
                  </w:r>
                </w:p>
              </w:tc>
            </w:tr>
            <w:tr w14:paraId="16092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1FEF4162">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lang w:val="en-US" w:eastAsia="zh-CN"/>
                    </w:rPr>
                  </w:pPr>
                  <w:r>
                    <w:rPr>
                      <w:rFonts w:hint="eastAsia"/>
                      <w:color w:val="auto"/>
                      <w:lang w:val="en-US" w:eastAsia="zh-CN"/>
                    </w:rPr>
                    <w:t>4</w:t>
                  </w:r>
                </w:p>
              </w:tc>
              <w:tc>
                <w:tcPr>
                  <w:tcW w:w="416" w:type="dxa"/>
                  <w:vMerge w:val="continue"/>
                  <w:vAlign w:val="center"/>
                </w:tcPr>
                <w:p w14:paraId="4926C63D">
                  <w:pPr>
                    <w:pStyle w:val="37"/>
                    <w:keepNext w:val="0"/>
                    <w:keepLines w:val="0"/>
                    <w:widowControl w:val="0"/>
                    <w:suppressLineNumbers w:val="0"/>
                    <w:bidi w:val="0"/>
                    <w:spacing w:before="0" w:beforeAutospacing="0" w:after="0" w:afterAutospacing="0"/>
                    <w:ind w:left="0" w:right="0"/>
                    <w:jc w:val="center"/>
                    <w:rPr>
                      <w:rFonts w:hint="default"/>
                      <w:color w:val="auto"/>
                    </w:rPr>
                  </w:pPr>
                </w:p>
              </w:tc>
              <w:tc>
                <w:tcPr>
                  <w:tcW w:w="2421" w:type="dxa"/>
                  <w:vAlign w:val="center"/>
                </w:tcPr>
                <w:p w14:paraId="7670F0DD">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eastAsia"/>
                      <w:lang w:val="en-US" w:eastAsia="zh-CN"/>
                    </w:rPr>
                  </w:pPr>
                  <w:r>
                    <w:rPr>
                      <w:rFonts w:hint="eastAsia" w:ascii="Times New Roman" w:hAnsi="Times New Roman" w:eastAsia="宋体" w:cs="Times New Roman"/>
                      <w:color w:val="auto"/>
                      <w:sz w:val="21"/>
                      <w:szCs w:val="21"/>
                      <w:u w:val="none" w:color="auto"/>
                      <w:lang w:val="en-US" w:eastAsia="zh-CN"/>
                    </w:rPr>
                    <w:t>厂区绿化应与</w:t>
                  </w:r>
                  <w:r>
                    <w:rPr>
                      <w:rFonts w:hint="eastAsia" w:cs="Times New Roman"/>
                      <w:color w:val="auto"/>
                      <w:sz w:val="21"/>
                      <w:szCs w:val="21"/>
                      <w:u w:val="none" w:color="auto"/>
                      <w:lang w:val="en-US" w:eastAsia="zh-CN"/>
                    </w:rPr>
                    <w:t>生产车间</w:t>
                  </w:r>
                  <w:r>
                    <w:rPr>
                      <w:rFonts w:hint="eastAsia" w:ascii="Times New Roman" w:hAnsi="Times New Roman" w:eastAsia="宋体" w:cs="Times New Roman"/>
                      <w:color w:val="auto"/>
                      <w:sz w:val="21"/>
                      <w:szCs w:val="21"/>
                      <w:u w:val="none" w:color="auto"/>
                      <w:lang w:val="en-US" w:eastAsia="zh-CN"/>
                    </w:rPr>
                    <w:t>保持适当距离，植被应定期维护，以防止虫害的孳生。</w:t>
                  </w:r>
                </w:p>
              </w:tc>
              <w:tc>
                <w:tcPr>
                  <w:tcW w:w="2215" w:type="dxa"/>
                  <w:vAlign w:val="center"/>
                </w:tcPr>
                <w:p w14:paraId="4E5E7C09">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default" w:eastAsia="宋体"/>
                      <w:lang w:val="en-US" w:eastAsia="zh-CN"/>
                    </w:rPr>
                  </w:pPr>
                  <w:r>
                    <w:rPr>
                      <w:rFonts w:hint="eastAsia" w:ascii="Times New Roman" w:hAnsi="Times New Roman" w:eastAsia="宋体" w:cs="Times New Roman"/>
                      <w:color w:val="auto"/>
                      <w:sz w:val="21"/>
                      <w:szCs w:val="21"/>
                      <w:u w:val="none" w:color="auto"/>
                      <w:lang w:val="en-US" w:eastAsia="zh-CN"/>
                    </w:rPr>
                    <w:t>本项目厂区内未种植植被等，避免了虫害滋生</w:t>
                  </w:r>
                </w:p>
              </w:tc>
              <w:tc>
                <w:tcPr>
                  <w:tcW w:w="360" w:type="dxa"/>
                  <w:vAlign w:val="center"/>
                </w:tcPr>
                <w:p w14:paraId="0B56D2BC">
                  <w:pPr>
                    <w:pStyle w:val="37"/>
                    <w:keepNext w:val="0"/>
                    <w:keepLines w:val="0"/>
                    <w:widowControl w:val="0"/>
                    <w:suppressLineNumbers w:val="0"/>
                    <w:bidi w:val="0"/>
                    <w:spacing w:before="0" w:beforeAutospacing="0" w:after="0" w:afterAutospacing="0"/>
                    <w:ind w:left="0" w:right="0" w:firstLine="0" w:firstLineChars="0"/>
                    <w:jc w:val="center"/>
                    <w:rPr>
                      <w:rFonts w:hint="eastAsia" w:ascii="Times New Roman" w:hAnsi="Times New Roman" w:eastAsia="宋体" w:cs="Times New Roman"/>
                      <w:b w:val="0"/>
                      <w:bCs/>
                      <w:color w:val="auto"/>
                      <w:kern w:val="0"/>
                      <w:sz w:val="21"/>
                      <w:szCs w:val="20"/>
                      <w:lang w:val="en-US" w:eastAsia="zh-CN" w:bidi="ar-SA"/>
                    </w:rPr>
                  </w:pPr>
                  <w:r>
                    <w:rPr>
                      <w:rFonts w:hint="eastAsia"/>
                      <w:color w:val="auto"/>
                      <w:lang w:val="en-US" w:eastAsia="zh-CN"/>
                    </w:rPr>
                    <w:t>符合</w:t>
                  </w:r>
                </w:p>
              </w:tc>
            </w:tr>
            <w:tr w14:paraId="24A1E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1F03B170">
                  <w:pPr>
                    <w:pStyle w:val="37"/>
                    <w:keepNext w:val="0"/>
                    <w:keepLines w:val="0"/>
                    <w:widowControl w:val="0"/>
                    <w:suppressLineNumbers w:val="0"/>
                    <w:bidi w:val="0"/>
                    <w:spacing w:before="0" w:beforeAutospacing="0" w:after="0" w:afterAutospacing="0"/>
                    <w:ind w:left="0" w:right="0" w:firstLine="0" w:firstLineChars="0"/>
                    <w:jc w:val="center"/>
                    <w:rPr>
                      <w:rFonts w:hint="eastAsia"/>
                      <w:color w:val="auto"/>
                      <w:lang w:val="en-US" w:eastAsia="zh-CN"/>
                    </w:rPr>
                  </w:pPr>
                  <w:r>
                    <w:rPr>
                      <w:rFonts w:hint="eastAsia"/>
                      <w:color w:val="auto"/>
                      <w:lang w:val="en-US" w:eastAsia="zh-CN"/>
                    </w:rPr>
                    <w:t>5</w:t>
                  </w:r>
                </w:p>
              </w:tc>
              <w:tc>
                <w:tcPr>
                  <w:tcW w:w="416" w:type="dxa"/>
                  <w:vMerge w:val="continue"/>
                  <w:vAlign w:val="center"/>
                </w:tcPr>
                <w:p w14:paraId="0778E0E6">
                  <w:pPr>
                    <w:pStyle w:val="37"/>
                    <w:keepNext w:val="0"/>
                    <w:keepLines w:val="0"/>
                    <w:widowControl w:val="0"/>
                    <w:suppressLineNumbers w:val="0"/>
                    <w:bidi w:val="0"/>
                    <w:spacing w:before="0" w:beforeAutospacing="0" w:after="0" w:afterAutospacing="0"/>
                    <w:ind w:left="0" w:right="0"/>
                    <w:jc w:val="center"/>
                    <w:rPr>
                      <w:rFonts w:hint="default"/>
                      <w:color w:val="auto"/>
                    </w:rPr>
                  </w:pPr>
                </w:p>
              </w:tc>
              <w:tc>
                <w:tcPr>
                  <w:tcW w:w="2421" w:type="dxa"/>
                  <w:vAlign w:val="center"/>
                </w:tcPr>
                <w:p w14:paraId="1857BEC4">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default" w:ascii="Times New Roman" w:hAnsi="Times New Roman" w:eastAsia="宋体" w:cs="Times New Roman"/>
                      <w:color w:val="auto"/>
                      <w:sz w:val="21"/>
                      <w:szCs w:val="21"/>
                      <w:u w:val="none" w:color="auto"/>
                      <w:lang w:val="en-US" w:eastAsia="zh-CN"/>
                    </w:rPr>
                  </w:pPr>
                  <w:r>
                    <w:rPr>
                      <w:rFonts w:hint="eastAsia" w:ascii="Times New Roman" w:hAnsi="Times New Roman" w:eastAsia="宋体" w:cs="Times New Roman"/>
                      <w:color w:val="auto"/>
                      <w:sz w:val="21"/>
                      <w:szCs w:val="21"/>
                      <w:u w:val="none" w:color="auto"/>
                      <w:lang w:val="en-US" w:eastAsia="zh-CN"/>
                    </w:rPr>
                    <w:t>厂区应有适当的排水系统。</w:t>
                  </w:r>
                </w:p>
              </w:tc>
              <w:tc>
                <w:tcPr>
                  <w:tcW w:w="2215" w:type="dxa"/>
                  <w:vAlign w:val="center"/>
                </w:tcPr>
                <w:p w14:paraId="218D5B94">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default" w:ascii="Times New Roman" w:hAnsi="Times New Roman" w:eastAsia="宋体" w:cs="Times New Roman"/>
                      <w:color w:val="auto"/>
                      <w:sz w:val="21"/>
                      <w:szCs w:val="21"/>
                      <w:u w:val="none" w:color="auto"/>
                      <w:lang w:val="en-US" w:eastAsia="zh-CN"/>
                    </w:rPr>
                  </w:pPr>
                  <w:r>
                    <w:rPr>
                      <w:rFonts w:hint="eastAsia" w:ascii="Times New Roman" w:hAnsi="Times New Roman" w:eastAsia="宋体" w:cs="Times New Roman"/>
                      <w:color w:val="auto"/>
                      <w:sz w:val="21"/>
                      <w:szCs w:val="21"/>
                      <w:u w:val="none" w:color="auto"/>
                      <w:lang w:val="en-US" w:eastAsia="zh-CN"/>
                    </w:rPr>
                    <w:t>厂区内设置雨水排水系统。</w:t>
                  </w:r>
                </w:p>
              </w:tc>
              <w:tc>
                <w:tcPr>
                  <w:tcW w:w="360" w:type="dxa"/>
                  <w:vAlign w:val="center"/>
                </w:tcPr>
                <w:p w14:paraId="32C2BB89">
                  <w:pPr>
                    <w:pStyle w:val="37"/>
                    <w:keepNext w:val="0"/>
                    <w:keepLines w:val="0"/>
                    <w:widowControl w:val="0"/>
                    <w:suppressLineNumbers w:val="0"/>
                    <w:bidi w:val="0"/>
                    <w:spacing w:before="0" w:beforeAutospacing="0" w:after="0" w:afterAutospacing="0"/>
                    <w:ind w:left="0" w:right="0" w:firstLine="0" w:firstLineChars="0"/>
                    <w:jc w:val="center"/>
                    <w:rPr>
                      <w:rFonts w:hint="eastAsia"/>
                      <w:color w:val="auto"/>
                      <w:lang w:val="en-US" w:eastAsia="zh-CN"/>
                    </w:rPr>
                  </w:pPr>
                  <w:r>
                    <w:rPr>
                      <w:rFonts w:hint="eastAsia"/>
                      <w:color w:val="auto"/>
                      <w:lang w:val="en-US" w:eastAsia="zh-CN"/>
                    </w:rPr>
                    <w:t>符合</w:t>
                  </w:r>
                </w:p>
              </w:tc>
            </w:tr>
            <w:tr w14:paraId="1986C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31A9EFF5">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lang w:val="en-US" w:eastAsia="zh-CN"/>
                    </w:rPr>
                  </w:pPr>
                  <w:r>
                    <w:rPr>
                      <w:rFonts w:hint="eastAsia"/>
                      <w:color w:val="auto"/>
                      <w:lang w:val="en-US" w:eastAsia="zh-CN"/>
                    </w:rPr>
                    <w:t>6</w:t>
                  </w:r>
                </w:p>
              </w:tc>
              <w:tc>
                <w:tcPr>
                  <w:tcW w:w="416" w:type="dxa"/>
                  <w:vMerge w:val="continue"/>
                  <w:vAlign w:val="center"/>
                </w:tcPr>
                <w:p w14:paraId="35816CC7">
                  <w:pPr>
                    <w:pStyle w:val="37"/>
                    <w:keepNext w:val="0"/>
                    <w:keepLines w:val="0"/>
                    <w:widowControl w:val="0"/>
                    <w:suppressLineNumbers w:val="0"/>
                    <w:bidi w:val="0"/>
                    <w:spacing w:before="0" w:beforeAutospacing="0" w:after="0" w:afterAutospacing="0"/>
                    <w:ind w:left="0" w:right="0"/>
                    <w:jc w:val="center"/>
                    <w:rPr>
                      <w:rFonts w:hint="eastAsia"/>
                      <w:color w:val="auto"/>
                    </w:rPr>
                  </w:pPr>
                </w:p>
              </w:tc>
              <w:tc>
                <w:tcPr>
                  <w:tcW w:w="2421" w:type="dxa"/>
                  <w:vAlign w:val="center"/>
                </w:tcPr>
                <w:p w14:paraId="17AA217A">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default"/>
                      <w:lang w:val="en-US" w:eastAsia="zh-CN"/>
                    </w:rPr>
                  </w:pPr>
                  <w:r>
                    <w:rPr>
                      <w:rFonts w:hint="eastAsia" w:ascii="Times New Roman" w:hAnsi="Times New Roman" w:eastAsia="宋体" w:cs="Times New Roman"/>
                      <w:color w:val="auto"/>
                      <w:sz w:val="21"/>
                      <w:szCs w:val="21"/>
                      <w:u w:val="none" w:color="auto"/>
                      <w:lang w:val="en-US" w:eastAsia="zh-CN"/>
                    </w:rPr>
                    <w:t>宿舍、食堂、职工娱乐设施等生活区应与生产区保持适当距离或分隔。</w:t>
                  </w:r>
                </w:p>
              </w:tc>
              <w:tc>
                <w:tcPr>
                  <w:tcW w:w="2215" w:type="dxa"/>
                  <w:vAlign w:val="center"/>
                </w:tcPr>
                <w:p w14:paraId="3CD2B809">
                  <w:pPr>
                    <w:pStyle w:val="3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firstLine="0" w:firstLineChars="0"/>
                    <w:jc w:val="center"/>
                    <w:textAlignment w:val="auto"/>
                    <w:rPr>
                      <w:rFonts w:hint="default"/>
                      <w:lang w:val="en-US" w:eastAsia="zh-CN"/>
                    </w:rPr>
                  </w:pPr>
                  <w:r>
                    <w:rPr>
                      <w:rFonts w:hint="eastAsia" w:ascii="Times New Roman" w:hAnsi="Times New Roman" w:eastAsia="宋体" w:cs="Times New Roman"/>
                      <w:color w:val="auto"/>
                      <w:sz w:val="21"/>
                      <w:szCs w:val="21"/>
                      <w:u w:val="none" w:color="auto"/>
                      <w:lang w:val="en-US" w:eastAsia="zh-CN"/>
                    </w:rPr>
                    <w:t>项目办公生活区与生产区</w:t>
                  </w:r>
                  <w:r>
                    <w:rPr>
                      <w:rFonts w:hint="eastAsia" w:cs="Times New Roman"/>
                      <w:color w:val="auto"/>
                      <w:sz w:val="21"/>
                      <w:szCs w:val="21"/>
                      <w:u w:val="none" w:color="auto"/>
                      <w:lang w:val="en-US" w:eastAsia="zh-CN"/>
                    </w:rPr>
                    <w:t>保持了适当的距离。</w:t>
                  </w:r>
                </w:p>
              </w:tc>
              <w:tc>
                <w:tcPr>
                  <w:tcW w:w="360" w:type="dxa"/>
                  <w:vAlign w:val="center"/>
                </w:tcPr>
                <w:p w14:paraId="26596B37">
                  <w:pPr>
                    <w:pStyle w:val="37"/>
                    <w:keepNext w:val="0"/>
                    <w:keepLines w:val="0"/>
                    <w:widowControl w:val="0"/>
                    <w:suppressLineNumbers w:val="0"/>
                    <w:bidi w:val="0"/>
                    <w:spacing w:before="0" w:beforeAutospacing="0" w:after="0" w:afterAutospacing="0"/>
                    <w:ind w:left="0" w:right="0" w:firstLine="0" w:firstLineChars="0"/>
                    <w:jc w:val="center"/>
                    <w:rPr>
                      <w:rFonts w:hint="eastAsia" w:ascii="Times New Roman" w:hAnsi="Times New Roman" w:eastAsia="宋体" w:cs="Times New Roman"/>
                      <w:b w:val="0"/>
                      <w:bCs/>
                      <w:color w:val="auto"/>
                      <w:kern w:val="0"/>
                      <w:sz w:val="21"/>
                      <w:szCs w:val="20"/>
                      <w:lang w:val="en-US" w:eastAsia="zh-CN" w:bidi="ar-SA"/>
                    </w:rPr>
                  </w:pPr>
                  <w:r>
                    <w:rPr>
                      <w:rFonts w:hint="eastAsia"/>
                      <w:color w:val="auto"/>
                      <w:lang w:val="en-US" w:eastAsia="zh-CN"/>
                    </w:rPr>
                    <w:t>符合</w:t>
                  </w:r>
                </w:p>
              </w:tc>
            </w:tr>
            <w:tr w14:paraId="148EB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54364390">
                  <w:pPr>
                    <w:pStyle w:val="37"/>
                    <w:keepNext w:val="0"/>
                    <w:keepLines w:val="0"/>
                    <w:widowControl w:val="0"/>
                    <w:suppressLineNumbers w:val="0"/>
                    <w:bidi w:val="0"/>
                    <w:spacing w:before="0" w:beforeAutospacing="0" w:after="0" w:afterAutospacing="0"/>
                    <w:ind w:left="0" w:right="0"/>
                    <w:jc w:val="center"/>
                    <w:rPr>
                      <w:rFonts w:hint="default"/>
                      <w:color w:val="auto"/>
                      <w:lang w:val="en-US" w:eastAsia="zh-CN"/>
                    </w:rPr>
                  </w:pPr>
                  <w:r>
                    <w:rPr>
                      <w:rFonts w:hint="eastAsia"/>
                      <w:color w:val="auto"/>
                      <w:lang w:val="en-US" w:eastAsia="zh-CN"/>
                    </w:rPr>
                    <w:t>7</w:t>
                  </w:r>
                </w:p>
              </w:tc>
              <w:tc>
                <w:tcPr>
                  <w:tcW w:w="416" w:type="dxa"/>
                  <w:vMerge w:val="restart"/>
                  <w:vAlign w:val="center"/>
                </w:tcPr>
                <w:p w14:paraId="2DE4FBEB">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lang w:val="en-US" w:eastAsia="zh-CN"/>
                    </w:rPr>
                  </w:pPr>
                  <w:r>
                    <w:rPr>
                      <w:rFonts w:hint="eastAsia"/>
                      <w:color w:val="auto"/>
                      <w:lang w:val="en-US" w:eastAsia="zh-CN"/>
                    </w:rPr>
                    <w:t>厂房和车间布局</w:t>
                  </w:r>
                </w:p>
              </w:tc>
              <w:tc>
                <w:tcPr>
                  <w:tcW w:w="2421" w:type="dxa"/>
                  <w:vAlign w:val="center"/>
                </w:tcPr>
                <w:p w14:paraId="3C80CBAA">
                  <w:pPr>
                    <w:pStyle w:val="37"/>
                    <w:keepNext w:val="0"/>
                    <w:keepLines w:val="0"/>
                    <w:suppressLineNumbers w:val="0"/>
                    <w:bidi w:val="0"/>
                    <w:spacing w:before="0" w:beforeAutospacing="0" w:after="0" w:afterAutospacing="0"/>
                    <w:ind w:left="0" w:right="0"/>
                    <w:jc w:val="center"/>
                    <w:rPr>
                      <w:rFonts w:hint="default"/>
                      <w:lang w:val="en-US" w:eastAsia="zh-CN"/>
                    </w:rPr>
                  </w:pPr>
                  <w:r>
                    <w:rPr>
                      <w:rFonts w:hint="default"/>
                    </w:rPr>
                    <w:t>厂房和车间的内部设计和布局应满足食品卫生操作要求，避免食品生产中发生交叉污染。</w:t>
                  </w:r>
                </w:p>
              </w:tc>
              <w:tc>
                <w:tcPr>
                  <w:tcW w:w="2215" w:type="dxa"/>
                  <w:vAlign w:val="center"/>
                </w:tcPr>
                <w:p w14:paraId="3E7F5207">
                  <w:pPr>
                    <w:pStyle w:val="37"/>
                    <w:keepNext w:val="0"/>
                    <w:keepLines w:val="0"/>
                    <w:suppressLineNumbers w:val="0"/>
                    <w:bidi w:val="0"/>
                    <w:spacing w:before="0" w:beforeAutospacing="0" w:after="0" w:afterAutospacing="0"/>
                    <w:ind w:left="0" w:right="0"/>
                    <w:jc w:val="center"/>
                    <w:rPr>
                      <w:rFonts w:hint="default"/>
                      <w:lang w:val="en-US" w:eastAsia="zh-CN"/>
                    </w:rPr>
                  </w:pPr>
                  <w:r>
                    <w:rPr>
                      <w:rFonts w:hint="default"/>
                    </w:rPr>
                    <w:t>本项目</w:t>
                  </w:r>
                  <w:r>
                    <w:rPr>
                      <w:rFonts w:hint="eastAsia"/>
                      <w:lang w:val="en-US" w:eastAsia="zh-CN"/>
                    </w:rPr>
                    <w:t>生产线</w:t>
                  </w:r>
                  <w:r>
                    <w:rPr>
                      <w:rFonts w:hint="default"/>
                    </w:rPr>
                    <w:t>布局满足食品卫生操作要求。</w:t>
                  </w:r>
                </w:p>
              </w:tc>
              <w:tc>
                <w:tcPr>
                  <w:tcW w:w="360" w:type="dxa"/>
                  <w:vAlign w:val="center"/>
                </w:tcPr>
                <w:p w14:paraId="13AF0133">
                  <w:pPr>
                    <w:pStyle w:val="37"/>
                    <w:keepNext w:val="0"/>
                    <w:keepLines w:val="0"/>
                    <w:widowControl w:val="0"/>
                    <w:suppressLineNumbers w:val="0"/>
                    <w:bidi w:val="0"/>
                    <w:spacing w:before="0" w:beforeAutospacing="0" w:after="0" w:afterAutospacing="0"/>
                    <w:ind w:left="0" w:right="0" w:firstLine="0" w:firstLineChars="0"/>
                    <w:jc w:val="center"/>
                    <w:rPr>
                      <w:rFonts w:hint="eastAsia"/>
                      <w:color w:val="auto"/>
                      <w:lang w:val="en-US" w:eastAsia="zh-CN"/>
                    </w:rPr>
                  </w:pPr>
                  <w:r>
                    <w:rPr>
                      <w:rFonts w:hint="eastAsia"/>
                      <w:color w:val="auto"/>
                      <w:lang w:val="en-US" w:eastAsia="zh-CN"/>
                    </w:rPr>
                    <w:t>符合</w:t>
                  </w:r>
                </w:p>
              </w:tc>
            </w:tr>
            <w:tr w14:paraId="5A93D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5E7D0BEE">
                  <w:pPr>
                    <w:pStyle w:val="37"/>
                    <w:keepNext w:val="0"/>
                    <w:keepLines w:val="0"/>
                    <w:widowControl w:val="0"/>
                    <w:suppressLineNumbers w:val="0"/>
                    <w:bidi w:val="0"/>
                    <w:spacing w:before="0" w:beforeAutospacing="0" w:after="0" w:afterAutospacing="0"/>
                    <w:ind w:left="0" w:right="0" w:firstLine="0" w:firstLineChars="0"/>
                    <w:jc w:val="center"/>
                    <w:rPr>
                      <w:rFonts w:hint="eastAsia" w:eastAsia="宋体"/>
                      <w:color w:val="auto"/>
                      <w:lang w:val="en-US" w:eastAsia="zh-CN"/>
                    </w:rPr>
                  </w:pPr>
                  <w:r>
                    <w:rPr>
                      <w:rFonts w:hint="eastAsia"/>
                      <w:color w:val="auto"/>
                      <w:lang w:val="en-US" w:eastAsia="zh-CN"/>
                    </w:rPr>
                    <w:t>8</w:t>
                  </w:r>
                </w:p>
              </w:tc>
              <w:tc>
                <w:tcPr>
                  <w:tcW w:w="416" w:type="dxa"/>
                  <w:vMerge w:val="continue"/>
                  <w:vAlign w:val="center"/>
                </w:tcPr>
                <w:p w14:paraId="63906107">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rPr>
                  </w:pPr>
                </w:p>
              </w:tc>
              <w:tc>
                <w:tcPr>
                  <w:tcW w:w="2421" w:type="dxa"/>
                  <w:vAlign w:val="center"/>
                </w:tcPr>
                <w:p w14:paraId="0D3FD615">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lang w:val="en-US" w:eastAsia="zh-CN"/>
                    </w:rPr>
                  </w:pPr>
                  <w:r>
                    <w:rPr>
                      <w:rFonts w:hint="eastAsia"/>
                      <w:color w:val="auto"/>
                      <w:lang w:val="en-US" w:eastAsia="zh-CN"/>
                    </w:rPr>
                    <w:t>厂房和车间的设计应根据生产工艺合理布局，预防和降低产品受污染的风险。</w:t>
                  </w:r>
                </w:p>
              </w:tc>
              <w:tc>
                <w:tcPr>
                  <w:tcW w:w="2215" w:type="dxa"/>
                  <w:vAlign w:val="center"/>
                </w:tcPr>
                <w:p w14:paraId="4D8603F7">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lang w:val="en-US" w:eastAsia="zh-CN"/>
                    </w:rPr>
                  </w:pPr>
                  <w:r>
                    <w:rPr>
                      <w:rFonts w:hint="eastAsia"/>
                      <w:color w:val="auto"/>
                      <w:lang w:val="en-US" w:eastAsia="zh-CN"/>
                    </w:rPr>
                    <w:t>本项目</w:t>
                  </w:r>
                  <w:r>
                    <w:rPr>
                      <w:rFonts w:hint="eastAsia"/>
                      <w:lang w:val="en-US" w:eastAsia="zh-CN"/>
                    </w:rPr>
                    <w:t>生产线</w:t>
                  </w:r>
                  <w:r>
                    <w:rPr>
                      <w:rFonts w:hint="eastAsia"/>
                      <w:color w:val="auto"/>
                      <w:lang w:val="en-US" w:eastAsia="zh-CN"/>
                    </w:rPr>
                    <w:t>根据生产工艺合理布局。</w:t>
                  </w:r>
                </w:p>
              </w:tc>
              <w:tc>
                <w:tcPr>
                  <w:tcW w:w="360" w:type="dxa"/>
                  <w:vAlign w:val="center"/>
                </w:tcPr>
                <w:p w14:paraId="66617742">
                  <w:pPr>
                    <w:pStyle w:val="37"/>
                    <w:keepNext w:val="0"/>
                    <w:keepLines w:val="0"/>
                    <w:widowControl w:val="0"/>
                    <w:suppressLineNumbers w:val="0"/>
                    <w:bidi w:val="0"/>
                    <w:spacing w:before="0" w:beforeAutospacing="0" w:after="0" w:afterAutospacing="0"/>
                    <w:ind w:left="0" w:right="0" w:firstLine="0" w:firstLineChars="0"/>
                    <w:jc w:val="center"/>
                    <w:rPr>
                      <w:rFonts w:hint="eastAsia"/>
                      <w:color w:val="auto"/>
                      <w:lang w:val="en-US" w:eastAsia="zh-CN"/>
                    </w:rPr>
                  </w:pPr>
                  <w:r>
                    <w:rPr>
                      <w:rFonts w:hint="eastAsia"/>
                      <w:color w:val="auto"/>
                      <w:lang w:val="en-US" w:eastAsia="zh-CN"/>
                    </w:rPr>
                    <w:t>符合</w:t>
                  </w:r>
                </w:p>
              </w:tc>
            </w:tr>
            <w:tr w14:paraId="4451A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6B19D5FA">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lang w:val="en-US" w:eastAsia="zh-CN"/>
                    </w:rPr>
                  </w:pPr>
                  <w:r>
                    <w:rPr>
                      <w:rFonts w:hint="eastAsia"/>
                      <w:color w:val="auto"/>
                      <w:lang w:val="en-US" w:eastAsia="zh-CN"/>
                    </w:rPr>
                    <w:t>9</w:t>
                  </w:r>
                </w:p>
              </w:tc>
              <w:tc>
                <w:tcPr>
                  <w:tcW w:w="416" w:type="dxa"/>
                  <w:vMerge w:val="continue"/>
                  <w:vAlign w:val="center"/>
                </w:tcPr>
                <w:p w14:paraId="4F5A80BB">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lang w:val="en-US" w:eastAsia="zh-CN"/>
                    </w:rPr>
                  </w:pPr>
                </w:p>
              </w:tc>
              <w:tc>
                <w:tcPr>
                  <w:tcW w:w="2421" w:type="dxa"/>
                  <w:vAlign w:val="center"/>
                </w:tcPr>
                <w:p w14:paraId="13332812">
                  <w:pPr>
                    <w:pStyle w:val="37"/>
                    <w:keepNext w:val="0"/>
                    <w:keepLines w:val="0"/>
                    <w:suppressLineNumbers w:val="0"/>
                    <w:bidi w:val="0"/>
                    <w:spacing w:before="0" w:beforeAutospacing="0" w:after="0" w:afterAutospacing="0"/>
                    <w:ind w:left="0" w:right="0"/>
                    <w:jc w:val="center"/>
                    <w:rPr>
                      <w:rFonts w:hint="eastAsia" w:eastAsia="宋体"/>
                      <w:lang w:val="en-US" w:eastAsia="zh-CN"/>
                    </w:rPr>
                  </w:pPr>
                  <w:r>
                    <w:rPr>
                      <w:rFonts w:hint="default"/>
                    </w:rPr>
                    <w:t>厂房和车间应根据产品特点、生产工艺、生产特性以及生产过程对清洁程度的要求合理划分作业区，并采取有效分离或分隔。</w:t>
                  </w:r>
                </w:p>
              </w:tc>
              <w:tc>
                <w:tcPr>
                  <w:tcW w:w="2215" w:type="dxa"/>
                  <w:vAlign w:val="center"/>
                </w:tcPr>
                <w:p w14:paraId="6C44CFD4">
                  <w:pPr>
                    <w:pStyle w:val="37"/>
                    <w:keepNext w:val="0"/>
                    <w:keepLines w:val="0"/>
                    <w:suppressLineNumbers w:val="0"/>
                    <w:bidi w:val="0"/>
                    <w:spacing w:before="0" w:beforeAutospacing="0" w:after="0" w:afterAutospacing="0"/>
                    <w:ind w:left="0" w:right="0"/>
                    <w:jc w:val="center"/>
                    <w:rPr>
                      <w:rFonts w:hint="default" w:eastAsia="宋体"/>
                      <w:lang w:val="en-US" w:eastAsia="zh-CN"/>
                    </w:rPr>
                  </w:pPr>
                  <w:r>
                    <w:rPr>
                      <w:rFonts w:hint="eastAsia"/>
                      <w:lang w:val="en-US" w:eastAsia="zh-CN"/>
                    </w:rPr>
                    <w:t>本</w:t>
                  </w:r>
                  <w:r>
                    <w:rPr>
                      <w:rFonts w:hint="default"/>
                    </w:rPr>
                    <w:t>项目</w:t>
                  </w:r>
                  <w:r>
                    <w:rPr>
                      <w:rFonts w:hint="eastAsia"/>
                      <w:lang w:val="en-US" w:eastAsia="zh-CN"/>
                    </w:rPr>
                    <w:t>对生产线进行了合理分区，不同产品区域采用墙壁分隔。</w:t>
                  </w:r>
                </w:p>
              </w:tc>
              <w:tc>
                <w:tcPr>
                  <w:tcW w:w="360" w:type="dxa"/>
                  <w:vAlign w:val="center"/>
                </w:tcPr>
                <w:p w14:paraId="77DDE5CE">
                  <w:pPr>
                    <w:pStyle w:val="37"/>
                    <w:keepNext w:val="0"/>
                    <w:keepLines w:val="0"/>
                    <w:widowControl w:val="0"/>
                    <w:suppressLineNumbers w:val="0"/>
                    <w:bidi w:val="0"/>
                    <w:spacing w:before="0" w:beforeAutospacing="0" w:after="0" w:afterAutospacing="0"/>
                    <w:ind w:left="0" w:right="0" w:firstLine="0" w:firstLineChars="0"/>
                    <w:jc w:val="center"/>
                    <w:rPr>
                      <w:rFonts w:hint="eastAsia"/>
                      <w:color w:val="auto"/>
                      <w:lang w:val="en-US" w:eastAsia="zh-CN"/>
                    </w:rPr>
                  </w:pPr>
                  <w:r>
                    <w:rPr>
                      <w:rFonts w:hint="eastAsia"/>
                      <w:color w:val="auto"/>
                      <w:lang w:val="en-US" w:eastAsia="zh-CN"/>
                    </w:rPr>
                    <w:t>符合</w:t>
                  </w:r>
                </w:p>
              </w:tc>
            </w:tr>
            <w:tr w14:paraId="3C108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9" w:type="dxa"/>
                  <w:vAlign w:val="center"/>
                </w:tcPr>
                <w:p w14:paraId="5EE483DB">
                  <w:pPr>
                    <w:pStyle w:val="37"/>
                    <w:keepNext w:val="0"/>
                    <w:keepLines w:val="0"/>
                    <w:widowControl w:val="0"/>
                    <w:suppressLineNumbers w:val="0"/>
                    <w:bidi w:val="0"/>
                    <w:spacing w:before="0" w:beforeAutospacing="0" w:after="0" w:afterAutospacing="0"/>
                    <w:ind w:left="0" w:right="0" w:firstLine="0" w:firstLineChars="0"/>
                    <w:jc w:val="center"/>
                    <w:rPr>
                      <w:rFonts w:hint="default"/>
                      <w:color w:val="auto"/>
                      <w:lang w:val="en-US" w:eastAsia="zh-CN"/>
                    </w:rPr>
                  </w:pPr>
                  <w:r>
                    <w:rPr>
                      <w:rFonts w:hint="eastAsia"/>
                      <w:color w:val="auto"/>
                      <w:lang w:val="en-US" w:eastAsia="zh-CN"/>
                    </w:rPr>
                    <w:t>10</w:t>
                  </w:r>
                </w:p>
              </w:tc>
              <w:tc>
                <w:tcPr>
                  <w:tcW w:w="416" w:type="dxa"/>
                  <w:vMerge w:val="continue"/>
                  <w:vAlign w:val="center"/>
                </w:tcPr>
                <w:p w14:paraId="603F4C09">
                  <w:pPr>
                    <w:pStyle w:val="37"/>
                    <w:keepNext w:val="0"/>
                    <w:keepLines w:val="0"/>
                    <w:widowControl w:val="0"/>
                    <w:suppressLineNumbers w:val="0"/>
                    <w:bidi w:val="0"/>
                    <w:spacing w:before="0" w:beforeAutospacing="0" w:after="0" w:afterAutospacing="0"/>
                    <w:ind w:left="0" w:right="0" w:firstLine="0" w:firstLineChars="0"/>
                    <w:jc w:val="center"/>
                    <w:rPr>
                      <w:rFonts w:hint="eastAsia"/>
                      <w:color w:val="auto"/>
                      <w:lang w:val="en-US" w:eastAsia="zh-CN"/>
                    </w:rPr>
                  </w:pPr>
                </w:p>
              </w:tc>
              <w:tc>
                <w:tcPr>
                  <w:tcW w:w="2421" w:type="dxa"/>
                  <w:vAlign w:val="center"/>
                </w:tcPr>
                <w:p w14:paraId="695EFEE7">
                  <w:pPr>
                    <w:pStyle w:val="37"/>
                    <w:keepNext w:val="0"/>
                    <w:keepLines w:val="0"/>
                    <w:suppressLineNumbers w:val="0"/>
                    <w:bidi w:val="0"/>
                    <w:spacing w:before="0" w:beforeAutospacing="0" w:after="0" w:afterAutospacing="0"/>
                    <w:ind w:left="0" w:right="0" w:firstLine="0" w:firstLineChars="0"/>
                    <w:jc w:val="center"/>
                    <w:rPr>
                      <w:rFonts w:hint="eastAsia"/>
                      <w:lang w:val="en-US" w:eastAsia="zh-CN"/>
                    </w:rPr>
                  </w:pPr>
                  <w:r>
                    <w:rPr>
                      <w:rFonts w:hint="default"/>
                    </w:rPr>
                    <w:t>厂房的面积和空间应与生产能力相适应，便于设备安置、清洁消毒、物料存储及人员操作。</w:t>
                  </w:r>
                </w:p>
              </w:tc>
              <w:tc>
                <w:tcPr>
                  <w:tcW w:w="2215" w:type="dxa"/>
                  <w:vAlign w:val="center"/>
                </w:tcPr>
                <w:p w14:paraId="56ED7C6C">
                  <w:pPr>
                    <w:pStyle w:val="37"/>
                    <w:keepNext w:val="0"/>
                    <w:keepLines w:val="0"/>
                    <w:suppressLineNumbers w:val="0"/>
                    <w:bidi w:val="0"/>
                    <w:spacing w:before="0" w:beforeAutospacing="0" w:after="0" w:afterAutospacing="0"/>
                    <w:ind w:left="0" w:right="0" w:firstLine="0" w:firstLineChars="0"/>
                    <w:jc w:val="center"/>
                    <w:rPr>
                      <w:rFonts w:hint="eastAsia" w:eastAsia="宋体"/>
                      <w:lang w:val="en-US" w:eastAsia="zh-CN"/>
                    </w:rPr>
                  </w:pPr>
                  <w:r>
                    <w:rPr>
                      <w:rFonts w:hint="eastAsia"/>
                      <w:lang w:val="en-US" w:eastAsia="zh-CN"/>
                    </w:rPr>
                    <w:t>本</w:t>
                  </w:r>
                  <w:r>
                    <w:rPr>
                      <w:rFonts w:hint="default"/>
                    </w:rPr>
                    <w:t>项目厂房的面积和空间与生产能力相适应</w:t>
                  </w:r>
                  <w:r>
                    <w:rPr>
                      <w:rFonts w:hint="eastAsia"/>
                      <w:lang w:val="en-US" w:eastAsia="zh-CN"/>
                    </w:rPr>
                    <w:t>。</w:t>
                  </w:r>
                </w:p>
              </w:tc>
              <w:tc>
                <w:tcPr>
                  <w:tcW w:w="360" w:type="dxa"/>
                  <w:vAlign w:val="center"/>
                </w:tcPr>
                <w:p w14:paraId="50453984">
                  <w:pPr>
                    <w:pStyle w:val="37"/>
                    <w:keepNext w:val="0"/>
                    <w:keepLines w:val="0"/>
                    <w:widowControl w:val="0"/>
                    <w:suppressLineNumbers w:val="0"/>
                    <w:bidi w:val="0"/>
                    <w:spacing w:before="0" w:beforeAutospacing="0" w:after="0" w:afterAutospacing="0"/>
                    <w:ind w:left="0" w:right="0" w:firstLine="0" w:firstLineChars="0"/>
                    <w:jc w:val="center"/>
                    <w:rPr>
                      <w:rFonts w:hint="eastAsia"/>
                      <w:color w:val="auto"/>
                      <w:lang w:val="en-US" w:eastAsia="zh-CN"/>
                    </w:rPr>
                  </w:pPr>
                  <w:r>
                    <w:rPr>
                      <w:rFonts w:hint="eastAsia"/>
                      <w:color w:val="auto"/>
                      <w:lang w:val="en-US" w:eastAsia="zh-CN"/>
                    </w:rPr>
                    <w:t>符合</w:t>
                  </w:r>
                </w:p>
              </w:tc>
            </w:tr>
          </w:tbl>
          <w:p w14:paraId="55A3AF28">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snapToGrid w:val="0"/>
              <w:spacing w:before="0" w:beforeAutospacing="0" w:after="0" w:afterAutospacing="0"/>
              <w:ind w:left="0" w:right="0" w:rightChars="0"/>
              <w:textAlignment w:val="auto"/>
              <w:outlineLvl w:val="9"/>
              <w:rPr>
                <w:rFonts w:hint="eastAsia"/>
                <w:color w:val="auto"/>
                <w:lang w:val="en-US" w:eastAsia="zh-CN"/>
              </w:rPr>
            </w:pPr>
          </w:p>
          <w:p w14:paraId="165EF6C2">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snapToGrid w:val="0"/>
              <w:spacing w:before="0" w:beforeAutospacing="0" w:after="0" w:afterAutospacing="0"/>
              <w:ind w:left="0" w:right="0" w:rightChars="0" w:firstLine="480" w:firstLineChars="200"/>
              <w:textAlignment w:val="auto"/>
              <w:outlineLvl w:val="9"/>
              <w:rPr>
                <w:rFonts w:hint="default" w:cs="Times New Roman"/>
                <w:color w:val="000000" w:themeColor="text1"/>
                <w:lang w:val="en-US" w:eastAsia="zh-CN"/>
                <w14:textFill>
                  <w14:solidFill>
                    <w14:schemeClr w14:val="tx1"/>
                  </w14:solidFill>
                </w14:textFill>
              </w:rPr>
            </w:pPr>
            <w:r>
              <w:rPr>
                <w:rFonts w:hint="eastAsia"/>
                <w:color w:val="auto"/>
                <w:lang w:val="en-US" w:eastAsia="zh-CN"/>
              </w:rPr>
              <w:t>综上，本项目建设符合《食品安全国家标准 食品生产通用卫生规范》（GB14881-2013）的相关要求。</w:t>
            </w:r>
          </w:p>
          <w:p w14:paraId="6590DFA5">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snapToGrid w:val="0"/>
              <w:spacing w:before="0" w:beforeAutospacing="0" w:after="0" w:afterAutospacing="0" w:line="360" w:lineRule="auto"/>
              <w:ind w:left="0" w:right="0" w:rightChars="0"/>
              <w:jc w:val="both"/>
              <w:textAlignment w:val="auto"/>
              <w:outlineLvl w:val="9"/>
              <w:rPr>
                <w:rFonts w:hint="default" w:cs="Times New Roman"/>
                <w:b/>
                <w:bCs/>
                <w:color w:val="000000" w:themeColor="text1"/>
                <w:sz w:val="24"/>
                <w:szCs w:val="24"/>
                <w:lang w:val="en-US" w:eastAsia="zh-CN"/>
                <w14:textFill>
                  <w14:solidFill>
                    <w14:schemeClr w14:val="tx1"/>
                  </w14:solidFill>
                </w14:textFill>
              </w:rPr>
            </w:pPr>
            <w:r>
              <w:rPr>
                <w:rFonts w:hint="eastAsia" w:cs="Times New Roman"/>
                <w:b/>
                <w:bCs/>
                <w:color w:val="000000" w:themeColor="text1"/>
                <w:sz w:val="24"/>
                <w:szCs w:val="24"/>
                <w:lang w:val="en-US" w:eastAsia="zh-CN"/>
                <w14:textFill>
                  <w14:solidFill>
                    <w14:schemeClr w14:val="tx1"/>
                  </w14:solidFill>
                </w14:textFill>
              </w:rPr>
              <w:t>5、与《湖南省“十四五”生态环境保护规划》的相符性分析</w:t>
            </w:r>
          </w:p>
          <w:p w14:paraId="556DE33F">
            <w:pPr>
              <w:pStyle w:val="36"/>
              <w:keepLines w:val="0"/>
              <w:numPr>
                <w:ilvl w:val="3"/>
                <w:numId w:val="0"/>
              </w:numPr>
              <w:suppressLineNumbers w:val="0"/>
              <w:tabs>
                <w:tab w:val="left" w:pos="0"/>
                <w:tab w:val="clear" w:pos="420"/>
              </w:tabs>
              <w:bidi w:val="0"/>
              <w:spacing w:before="0" w:beforeAutospacing="0" w:after="0" w:afterAutospacing="0"/>
              <w:ind w:left="0" w:leftChars="0" w:right="0"/>
              <w:jc w:val="center"/>
              <w:rPr>
                <w:rFonts w:hint="eastAsia"/>
                <w:color w:val="auto"/>
                <w:lang w:val="en-US" w:eastAsia="zh-CN"/>
              </w:rPr>
            </w:pPr>
            <w:r>
              <w:rPr>
                <w:rFonts w:hint="eastAsia"/>
                <w:color w:val="auto"/>
                <w:lang w:val="en-US" w:eastAsia="zh-CN"/>
              </w:rPr>
              <w:t>表1-3 与《湖南省“十四五”生态环境保护规划》的符合性分析</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4"/>
              <w:gridCol w:w="2690"/>
              <w:gridCol w:w="435"/>
            </w:tblGrid>
            <w:tr w14:paraId="47BDC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4" w:type="dxa"/>
                  <w:vAlign w:val="center"/>
                </w:tcPr>
                <w:p w14:paraId="1E950C19">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规划要求</w:t>
                  </w:r>
                </w:p>
              </w:tc>
              <w:tc>
                <w:tcPr>
                  <w:tcW w:w="2690" w:type="dxa"/>
                  <w:vAlign w:val="center"/>
                </w:tcPr>
                <w:p w14:paraId="6DA208BA">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本项目情况</w:t>
                  </w:r>
                </w:p>
              </w:tc>
              <w:tc>
                <w:tcPr>
                  <w:tcW w:w="435" w:type="dxa"/>
                  <w:vAlign w:val="center"/>
                </w:tcPr>
                <w:p w14:paraId="23511F8A">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符合性</w:t>
                  </w:r>
                </w:p>
              </w:tc>
            </w:tr>
            <w:tr w14:paraId="351D2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4084" w:type="dxa"/>
                  <w:vAlign w:val="center"/>
                </w:tcPr>
                <w:p w14:paraId="21C113D7">
                  <w:pPr>
                    <w:pStyle w:val="37"/>
                    <w:keepNext w:val="0"/>
                    <w:keepLines w:val="0"/>
                    <w:widowControl w:val="0"/>
                    <w:suppressLineNumbers w:val="0"/>
                    <w:bidi w:val="0"/>
                    <w:spacing w:before="0" w:beforeAutospacing="0" w:after="0" w:afterAutospacing="0"/>
                    <w:ind w:left="0" w:right="0"/>
                    <w:jc w:val="both"/>
                    <w:rPr>
                      <w:rFonts w:hint="eastAsia"/>
                      <w:b/>
                      <w:bCs/>
                      <w:color w:val="auto"/>
                      <w:lang w:val="en-US" w:eastAsia="zh-CN"/>
                    </w:rPr>
                  </w:pPr>
                  <w:r>
                    <w:rPr>
                      <w:rFonts w:hint="eastAsia"/>
                      <w:b/>
                      <w:bCs/>
                      <w:color w:val="auto"/>
                      <w:lang w:val="en-US" w:eastAsia="zh-CN"/>
                    </w:rPr>
                    <w:t>推动能源结构持续优化。</w:t>
                  </w:r>
                </w:p>
                <w:p w14:paraId="47E53BDC">
                  <w:pPr>
                    <w:pStyle w:val="37"/>
                    <w:keepNext w:val="0"/>
                    <w:keepLines w:val="0"/>
                    <w:widowControl w:val="0"/>
                    <w:suppressLineNumbers w:val="0"/>
                    <w:bidi w:val="0"/>
                    <w:spacing w:before="0" w:beforeAutospacing="0" w:after="0" w:afterAutospacing="0"/>
                    <w:ind w:left="0" w:right="0"/>
                    <w:jc w:val="both"/>
                    <w:rPr>
                      <w:rFonts w:hint="default"/>
                      <w:color w:val="auto"/>
                      <w:lang w:val="en-US" w:eastAsia="zh-CN"/>
                    </w:rPr>
                  </w:pPr>
                  <w:r>
                    <w:rPr>
                      <w:rFonts w:hint="eastAsia"/>
                      <w:color w:val="auto"/>
                      <w:lang w:val="en-US" w:eastAsia="zh-CN"/>
                    </w:rPr>
                    <w:t>优化能源结构，构建清洁低碳、安全高效的现代能源体系，控制化石能源消费总量，合理控制煤炭消费总量，提升煤炭清洁化利用率，“十四五”期间煤炭消费基本达峰，形成以非石化能源为能源消费增量主体的能源结构。加快推进以风电、光伏发电为主的新能源发展，统筹发展水能、氢能、地热、生物质等优质清洁能源。</w:t>
                  </w:r>
                </w:p>
              </w:tc>
              <w:tc>
                <w:tcPr>
                  <w:tcW w:w="2690" w:type="dxa"/>
                  <w:vAlign w:val="center"/>
                </w:tcPr>
                <w:p w14:paraId="07FF0D2B">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本项目锅炉</w:t>
                  </w:r>
                  <w:r>
                    <w:rPr>
                      <w:rFonts w:hint="eastAsia" w:cs="Times New Roman"/>
                      <w:color w:val="auto"/>
                      <w:lang w:val="en-US" w:eastAsia="zh-CN"/>
                    </w:rPr>
                    <w:t>采用生物质燃料</w:t>
                  </w:r>
                  <w:r>
                    <w:rPr>
                      <w:rFonts w:hint="eastAsia"/>
                      <w:color w:val="auto"/>
                      <w:lang w:val="en-US" w:eastAsia="zh-CN"/>
                    </w:rPr>
                    <w:t>，其他生产设备采用电能，均为优质清洁能源</w:t>
                  </w:r>
                  <w:r>
                    <w:rPr>
                      <w:rFonts w:hint="default"/>
                      <w:color w:val="auto"/>
                      <w:lang w:val="en-US" w:eastAsia="zh-CN"/>
                    </w:rPr>
                    <w:t>。</w:t>
                  </w:r>
                </w:p>
              </w:tc>
              <w:tc>
                <w:tcPr>
                  <w:tcW w:w="435" w:type="dxa"/>
                  <w:vAlign w:val="center"/>
                </w:tcPr>
                <w:p w14:paraId="113D85E3">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w:t>
                  </w:r>
                </w:p>
              </w:tc>
            </w:tr>
            <w:tr w14:paraId="5DC19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9" w:hRule="atLeast"/>
                <w:jc w:val="center"/>
              </w:trPr>
              <w:tc>
                <w:tcPr>
                  <w:tcW w:w="4084" w:type="dxa"/>
                  <w:vAlign w:val="center"/>
                </w:tcPr>
                <w:p w14:paraId="05EB251F">
                  <w:pPr>
                    <w:pStyle w:val="37"/>
                    <w:keepNext w:val="0"/>
                    <w:keepLines w:val="0"/>
                    <w:widowControl w:val="0"/>
                    <w:suppressLineNumbers w:val="0"/>
                    <w:bidi w:val="0"/>
                    <w:spacing w:before="0" w:beforeAutospacing="0" w:after="0" w:afterAutospacing="0"/>
                    <w:ind w:left="0" w:right="0"/>
                    <w:jc w:val="both"/>
                    <w:rPr>
                      <w:rFonts w:hint="eastAsia"/>
                      <w:b/>
                      <w:bCs/>
                      <w:color w:val="auto"/>
                      <w:lang w:val="en-US" w:eastAsia="zh-CN"/>
                    </w:rPr>
                  </w:pPr>
                  <w:r>
                    <w:rPr>
                      <w:rFonts w:hint="eastAsia"/>
                      <w:b/>
                      <w:bCs/>
                      <w:color w:val="auto"/>
                      <w:lang w:val="en-US" w:eastAsia="zh-CN"/>
                    </w:rPr>
                    <w:t>推动农业生产绿色反正。</w:t>
                  </w:r>
                </w:p>
                <w:p w14:paraId="3E5E9F93">
                  <w:pPr>
                    <w:pStyle w:val="37"/>
                    <w:keepNext w:val="0"/>
                    <w:keepLines w:val="0"/>
                    <w:widowControl w:val="0"/>
                    <w:suppressLineNumbers w:val="0"/>
                    <w:bidi w:val="0"/>
                    <w:spacing w:before="0" w:beforeAutospacing="0" w:after="0" w:afterAutospacing="0"/>
                    <w:ind w:left="0" w:right="0"/>
                    <w:jc w:val="both"/>
                    <w:rPr>
                      <w:rFonts w:hint="default"/>
                      <w:color w:val="auto"/>
                      <w:lang w:val="en-US" w:eastAsia="zh-CN"/>
                    </w:rPr>
                  </w:pPr>
                  <w:r>
                    <w:rPr>
                      <w:rFonts w:hint="eastAsia"/>
                      <w:color w:val="auto"/>
                      <w:lang w:val="en-US" w:eastAsia="zh-CN"/>
                    </w:rPr>
                    <w:t>推进畜禽、鱼、粮、菜、果、茶协调发展，推进种植、养殖、农产品加工、生物质能源、生态旅游等循环发展，鼓励一二三产业融合发展。</w:t>
                  </w:r>
                </w:p>
              </w:tc>
              <w:tc>
                <w:tcPr>
                  <w:tcW w:w="2690" w:type="dxa"/>
                  <w:vAlign w:val="center"/>
                </w:tcPr>
                <w:p w14:paraId="528D21C5">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本项目为鲜黄花菜加工，属于农产品加工。</w:t>
                  </w:r>
                </w:p>
              </w:tc>
              <w:tc>
                <w:tcPr>
                  <w:tcW w:w="435" w:type="dxa"/>
                  <w:vAlign w:val="center"/>
                </w:tcPr>
                <w:p w14:paraId="0972FE00">
                  <w:pPr>
                    <w:pStyle w:val="37"/>
                    <w:keepNext w:val="0"/>
                    <w:keepLines w:val="0"/>
                    <w:widowControl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符合</w:t>
                  </w:r>
                </w:p>
              </w:tc>
            </w:tr>
            <w:tr w14:paraId="0D530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4" w:type="dxa"/>
                  <w:vAlign w:val="center"/>
                </w:tcPr>
                <w:p w14:paraId="20BE98C3">
                  <w:pPr>
                    <w:pStyle w:val="37"/>
                    <w:keepNext w:val="0"/>
                    <w:keepLines w:val="0"/>
                    <w:widowControl w:val="0"/>
                    <w:suppressLineNumbers w:val="0"/>
                    <w:bidi w:val="0"/>
                    <w:spacing w:before="0" w:beforeAutospacing="0" w:after="0" w:afterAutospacing="0"/>
                    <w:ind w:left="0" w:right="0"/>
                    <w:jc w:val="both"/>
                    <w:rPr>
                      <w:rFonts w:hint="eastAsia"/>
                      <w:b/>
                      <w:bCs/>
                      <w:color w:val="auto"/>
                      <w:lang w:val="en-US" w:eastAsia="zh-CN"/>
                    </w:rPr>
                  </w:pPr>
                  <w:r>
                    <w:rPr>
                      <w:rFonts w:hint="eastAsia"/>
                      <w:b/>
                      <w:bCs/>
                      <w:color w:val="auto"/>
                      <w:lang w:val="en-US" w:eastAsia="zh-CN"/>
                    </w:rPr>
                    <w:t>深入打好碧水保卫战。</w:t>
                  </w:r>
                </w:p>
                <w:p w14:paraId="1C9FB7F3">
                  <w:pPr>
                    <w:pStyle w:val="37"/>
                    <w:keepNext w:val="0"/>
                    <w:keepLines w:val="0"/>
                    <w:widowControl w:val="0"/>
                    <w:suppressLineNumbers w:val="0"/>
                    <w:bidi w:val="0"/>
                    <w:spacing w:before="0" w:beforeAutospacing="0" w:after="0" w:afterAutospacing="0"/>
                    <w:ind w:left="0" w:right="0"/>
                    <w:jc w:val="both"/>
                    <w:rPr>
                      <w:rFonts w:hint="eastAsia"/>
                      <w:color w:val="auto"/>
                      <w:lang w:val="en-US" w:eastAsia="zh-CN"/>
                    </w:rPr>
                  </w:pPr>
                  <w:r>
                    <w:rPr>
                      <w:rFonts w:hint="eastAsia"/>
                      <w:color w:val="auto"/>
                      <w:lang w:val="en-US" w:eastAsia="zh-CN"/>
                    </w:rPr>
                    <w:t>深化重点领域水污染治理。补齐城乡污水收集和处理设施短板，加强生活源污染治理，完善城市污水管网建设，实现建成区污水管网全覆盖，改造老旧破损管网及检查井，系统解决管网漏损问题。</w:t>
                  </w:r>
                </w:p>
              </w:tc>
              <w:tc>
                <w:tcPr>
                  <w:tcW w:w="2690" w:type="dxa"/>
                  <w:vAlign w:val="center"/>
                </w:tcPr>
                <w:p w14:paraId="2A305174">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本项目所在地官家嘴镇乡镇污水处理厂已建成运行，本项目生产、生活废水经厂内自建污水处理站处理达到官家嘴镇污水处理站纳管标准后通过管道排入官家嘴镇污水处理站进一步处理</w:t>
                  </w:r>
                </w:p>
              </w:tc>
              <w:tc>
                <w:tcPr>
                  <w:tcW w:w="435" w:type="dxa"/>
                  <w:vAlign w:val="center"/>
                </w:tcPr>
                <w:p w14:paraId="71304C97">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w:t>
                  </w:r>
                </w:p>
              </w:tc>
            </w:tr>
            <w:tr w14:paraId="6EAF9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4" w:type="dxa"/>
                  <w:vAlign w:val="center"/>
                </w:tcPr>
                <w:p w14:paraId="0067804B">
                  <w:pPr>
                    <w:pStyle w:val="37"/>
                    <w:keepNext w:val="0"/>
                    <w:keepLines w:val="0"/>
                    <w:widowControl w:val="0"/>
                    <w:suppressLineNumbers w:val="0"/>
                    <w:bidi w:val="0"/>
                    <w:spacing w:before="0" w:beforeAutospacing="0" w:after="0" w:afterAutospacing="0"/>
                    <w:ind w:left="0" w:right="0"/>
                    <w:jc w:val="both"/>
                    <w:rPr>
                      <w:rFonts w:hint="eastAsia"/>
                      <w:color w:val="auto"/>
                      <w:lang w:val="en-US" w:eastAsia="zh-CN"/>
                    </w:rPr>
                  </w:pPr>
                  <w:r>
                    <w:rPr>
                      <w:rFonts w:hint="eastAsia"/>
                      <w:b/>
                      <w:bCs/>
                      <w:color w:val="auto"/>
                      <w:lang w:val="en-US" w:eastAsia="zh-CN"/>
                    </w:rPr>
                    <w:t>深入打好蓝天保卫战。</w:t>
                  </w:r>
                </w:p>
                <w:p w14:paraId="32BFB755">
                  <w:pPr>
                    <w:pStyle w:val="37"/>
                    <w:keepNext w:val="0"/>
                    <w:keepLines w:val="0"/>
                    <w:widowControl w:val="0"/>
                    <w:suppressLineNumbers w:val="0"/>
                    <w:bidi w:val="0"/>
                    <w:spacing w:before="0" w:beforeAutospacing="0" w:after="0" w:afterAutospacing="0"/>
                    <w:ind w:left="0" w:right="0"/>
                    <w:jc w:val="both"/>
                    <w:rPr>
                      <w:rFonts w:hint="eastAsia"/>
                      <w:color w:val="auto"/>
                      <w:lang w:val="en-US" w:eastAsia="zh-CN"/>
                    </w:rPr>
                  </w:pPr>
                  <w:r>
                    <w:rPr>
                      <w:rFonts w:hint="eastAsia"/>
                      <w:color w:val="auto"/>
                      <w:lang w:val="en-US" w:eastAsia="zh-CN"/>
                    </w:rPr>
                    <w:t>强化扬尘污染精准科学管控。县级以上城市建成区内房屋建筑和市政基础设施工程施工工地严格落实扬尘防控“六个100%”，全面推行绿色施工，将绿色施工纳入企业资质评价、信用评价。</w:t>
                  </w:r>
                </w:p>
                <w:p w14:paraId="7B58C9C7">
                  <w:pPr>
                    <w:pStyle w:val="37"/>
                    <w:keepNext w:val="0"/>
                    <w:keepLines w:val="0"/>
                    <w:widowControl w:val="0"/>
                    <w:suppressLineNumbers w:val="0"/>
                    <w:bidi w:val="0"/>
                    <w:spacing w:before="0" w:beforeAutospacing="0" w:after="0" w:afterAutospacing="0"/>
                    <w:ind w:left="0" w:right="0"/>
                    <w:jc w:val="both"/>
                    <w:rPr>
                      <w:rFonts w:hint="eastAsia"/>
                      <w:color w:val="auto"/>
                      <w:lang w:val="en-US" w:eastAsia="zh-CN"/>
                    </w:rPr>
                  </w:pPr>
                  <w:r>
                    <w:rPr>
                      <w:rFonts w:hint="eastAsia"/>
                      <w:color w:val="auto"/>
                      <w:lang w:val="en-US" w:eastAsia="zh-CN"/>
                    </w:rPr>
                    <w:t>开展细颗粒物达标行动。持续降低环境空气细颗粒物水平，巩固改善大气环境质量。</w:t>
                  </w:r>
                </w:p>
              </w:tc>
              <w:tc>
                <w:tcPr>
                  <w:tcW w:w="2690" w:type="dxa"/>
                  <w:vAlign w:val="center"/>
                </w:tcPr>
                <w:p w14:paraId="1E6DC6B4">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已建成部分厂房，施工期严格落实扬尘防控“六个100%”，全面推行绿色施工；项目运营期颗粒物主要来源于生物质燃烧过程，生物质锅炉废气通过旋风除尘+布袋除尘器处理达标后经30m高排气筒排放，在采取上述措施情况下，项目废气能够达标排放，对周围大气环境影响较小。</w:t>
                  </w:r>
                </w:p>
              </w:tc>
              <w:tc>
                <w:tcPr>
                  <w:tcW w:w="435" w:type="dxa"/>
                  <w:vAlign w:val="center"/>
                </w:tcPr>
                <w:p w14:paraId="7EFA1C30">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w:t>
                  </w:r>
                </w:p>
              </w:tc>
            </w:tr>
          </w:tbl>
          <w:p w14:paraId="0817E5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color w:val="auto"/>
                <w:lang w:val="en-US" w:eastAsia="zh-CN"/>
              </w:rPr>
            </w:pPr>
          </w:p>
          <w:p w14:paraId="5D273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color w:val="auto"/>
                <w:lang w:val="en-US" w:eastAsia="zh-CN"/>
              </w:rPr>
            </w:pPr>
            <w:r>
              <w:rPr>
                <w:rFonts w:hint="eastAsia"/>
                <w:color w:val="auto"/>
                <w:lang w:val="en-US" w:eastAsia="zh-CN"/>
              </w:rPr>
              <w:t>综上，本项目的建设符合《湖南省“十四五”生态环境保护规划》的相关要求。</w:t>
            </w:r>
          </w:p>
          <w:p w14:paraId="24717E08">
            <w:pPr>
              <w:keepNext w:val="0"/>
              <w:keepLines w:val="0"/>
              <w:suppressLineNumbers w:val="0"/>
              <w:bidi w:val="0"/>
              <w:spacing w:before="0" w:beforeAutospacing="0" w:after="0" w:afterAutospacing="0"/>
              <w:ind w:left="0" w:right="0"/>
              <w:rPr>
                <w:rFonts w:hint="eastAsia"/>
                <w:color w:val="auto"/>
                <w:lang w:val="en-US" w:eastAsia="zh-CN"/>
              </w:rPr>
            </w:pPr>
            <w:r>
              <w:rPr>
                <w:rFonts w:hint="eastAsia"/>
                <w:b/>
                <w:bCs/>
                <w:color w:val="auto"/>
                <w:lang w:val="en-US" w:eastAsia="zh-CN"/>
              </w:rPr>
              <w:t>6、与《衡阳市“十四五”生态环境保护规划》的符合性分析</w:t>
            </w:r>
          </w:p>
          <w:p w14:paraId="55FFBA5F">
            <w:pPr>
              <w:pStyle w:val="102"/>
              <w:keepNext w:val="0"/>
              <w:keepLines w:val="0"/>
              <w:pageBreakBefore w:val="0"/>
              <w:widowControl/>
              <w:suppressLineNumbers w:val="0"/>
              <w:kinsoku/>
              <w:wordWrap/>
              <w:overflowPunct w:val="0"/>
              <w:topLinePunct w:val="0"/>
              <w:autoSpaceDE w:val="0"/>
              <w:autoSpaceDN w:val="0"/>
              <w:bidi w:val="0"/>
              <w:adjustRightInd w:val="0"/>
              <w:snapToGrid w:val="0"/>
              <w:spacing w:before="0" w:beforeAutospacing="0" w:after="0" w:afterAutospacing="0"/>
              <w:ind w:left="0" w:right="0" w:firstLine="480"/>
              <w:textAlignment w:val="baseline"/>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衡阳市人民政府办公室2021年12月29日关于印发《衡阳市“十四五”生态环境保护规划》的通知（衡政办发〔2021〕37号），规划中提出</w:t>
            </w:r>
            <w:r>
              <w:rPr>
                <w:rFonts w:hint="eastAsia" w:cs="Times New Roman"/>
                <w:color w:val="000000" w:themeColor="text1"/>
                <w:lang w:eastAsia="zh-CN"/>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致力绿色低碳转型，促进高质量发展：“优化国土空间保护格局、推动产业结构绿色转型、推动能源结构持续优化、推进运输结构优化、积极应对气候变化、倡导绿色低碳生活方式”。</w:t>
            </w:r>
          </w:p>
          <w:p w14:paraId="4BF4F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b/>
                <w:bCs/>
                <w:color w:val="auto"/>
                <w:lang w:val="en-US" w:eastAsia="zh-CN"/>
              </w:rPr>
            </w:pPr>
            <w:r>
              <w:rPr>
                <w:rFonts w:hint="eastAsia"/>
                <w:color w:val="000000" w:themeColor="text1"/>
                <w14:textFill>
                  <w14:solidFill>
                    <w14:schemeClr w14:val="tx1"/>
                  </w14:solidFill>
                </w14:textFill>
              </w:rPr>
              <w:t>项目所在地不属于高污染燃料禁烧区，</w:t>
            </w:r>
            <w:r>
              <w:rPr>
                <w:rFonts w:hint="default"/>
                <w:color w:val="000000" w:themeColor="text1"/>
                <w14:textFill>
                  <w14:solidFill>
                    <w14:schemeClr w14:val="tx1"/>
                  </w14:solidFill>
                </w14:textFill>
              </w:rPr>
              <w:t>本项目</w:t>
            </w:r>
            <w:r>
              <w:rPr>
                <w:rFonts w:hint="eastAsia"/>
                <w:color w:val="000000" w:themeColor="text1"/>
                <w14:textFill>
                  <w14:solidFill>
                    <w14:schemeClr w14:val="tx1"/>
                  </w14:solidFill>
                </w14:textFill>
              </w:rPr>
              <w:t>锅炉采用生物质燃料不违背相关管理原则，</w:t>
            </w:r>
            <w:r>
              <w:rPr>
                <w:rFonts w:hint="default" w:ascii="Times New Roman" w:hAnsi="Times New Roman" w:eastAsia="宋体" w:cs="Times New Roman"/>
                <w:color w:val="000000" w:themeColor="text1"/>
                <w:sz w:val="24"/>
                <w:szCs w:val="24"/>
                <w14:textFill>
                  <w14:solidFill>
                    <w14:schemeClr w14:val="tx1"/>
                  </w14:solidFill>
                </w14:textFill>
              </w:rPr>
              <w:t>本项目</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锅炉废气</w:t>
            </w:r>
            <w:r>
              <w:rPr>
                <w:rFonts w:hint="default" w:ascii="Times New Roman" w:hAnsi="Times New Roman" w:eastAsia="宋体" w:cs="Times New Roman"/>
                <w:color w:val="000000" w:themeColor="text1"/>
                <w:sz w:val="24"/>
                <w:szCs w:val="24"/>
                <w14:textFill>
                  <w14:solidFill>
                    <w14:schemeClr w14:val="tx1"/>
                  </w14:solidFill>
                </w14:textFill>
              </w:rPr>
              <w:t>采用</w:t>
            </w:r>
            <w:r>
              <w:rPr>
                <w:rFonts w:hint="eastAsia" w:cs="Times New Roman"/>
                <w:color w:val="000000" w:themeColor="text1"/>
                <w:sz w:val="24"/>
                <w:szCs w:val="24"/>
                <w:lang w:val="en-US" w:eastAsia="zh-CN"/>
                <w14:textFill>
                  <w14:solidFill>
                    <w14:schemeClr w14:val="tx1"/>
                  </w14:solidFill>
                </w14:textFill>
              </w:rPr>
              <w:t>旋风除尘+</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布袋除尘</w:t>
            </w:r>
            <w:r>
              <w:rPr>
                <w:rFonts w:hint="default" w:ascii="Times New Roman" w:hAnsi="Times New Roman" w:eastAsia="宋体" w:cs="Times New Roman"/>
                <w:color w:val="000000" w:themeColor="text1"/>
                <w:sz w:val="24"/>
                <w:szCs w:val="24"/>
                <w14:textFill>
                  <w14:solidFill>
                    <w14:schemeClr w14:val="tx1"/>
                  </w14:solidFill>
                </w14:textFill>
              </w:rPr>
              <w:t>处理后</w:t>
            </w:r>
            <w:r>
              <w:rPr>
                <w:rFonts w:hint="eastAsia" w:cs="Times New Roman"/>
                <w:color w:val="000000" w:themeColor="text1"/>
                <w:sz w:val="24"/>
                <w:szCs w:val="24"/>
                <w:lang w:val="en-US" w:eastAsia="zh-CN"/>
                <w14:textFill>
                  <w14:solidFill>
                    <w14:schemeClr w14:val="tx1"/>
                  </w14:solidFill>
                </w14:textFill>
              </w:rPr>
              <w:t>30</w:t>
            </w:r>
            <w:r>
              <w:rPr>
                <w:rFonts w:hint="default" w:ascii="Times New Roman" w:hAnsi="Times New Roman" w:eastAsia="宋体" w:cs="Times New Roman"/>
                <w:color w:val="000000" w:themeColor="text1"/>
                <w:sz w:val="24"/>
                <w:szCs w:val="24"/>
                <w14:textFill>
                  <w14:solidFill>
                    <w14:schemeClr w14:val="tx1"/>
                  </w14:solidFill>
                </w14:textFill>
              </w:rPr>
              <w:t>m高</w:t>
            </w:r>
            <w:r>
              <w:rPr>
                <w:rFonts w:hint="eastAsia" w:cs="Times New Roman"/>
                <w:color w:val="000000" w:themeColor="text1"/>
                <w:sz w:val="24"/>
                <w:szCs w:val="24"/>
                <w:lang w:val="en-US" w:eastAsia="zh-CN"/>
                <w14:textFill>
                  <w14:solidFill>
                    <w14:schemeClr w14:val="tx1"/>
                  </w14:solidFill>
                </w14:textFill>
              </w:rPr>
              <w:t>排气筒</w:t>
            </w:r>
            <w:r>
              <w:rPr>
                <w:rFonts w:hint="default" w:ascii="Times New Roman" w:hAnsi="Times New Roman" w:eastAsia="宋体" w:cs="Times New Roman"/>
                <w:color w:val="000000" w:themeColor="text1"/>
                <w:sz w:val="24"/>
                <w:szCs w:val="24"/>
                <w14:textFill>
                  <w14:solidFill>
                    <w14:schemeClr w14:val="tx1"/>
                  </w14:solidFill>
                </w14:textFill>
              </w:rPr>
              <w:t>达标排放。</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除了锅炉燃生物质颗粒外，</w:t>
            </w:r>
            <w:r>
              <w:rPr>
                <w:rFonts w:hint="default" w:ascii="Times New Roman" w:hAnsi="Times New Roman" w:eastAsia="宋体" w:cs="Times New Roman"/>
                <w:color w:val="000000" w:themeColor="text1"/>
                <w:sz w:val="24"/>
                <w14:textFill>
                  <w14:solidFill>
                    <w14:schemeClr w14:val="tx1"/>
                  </w14:solidFill>
                </w14:textFill>
              </w:rPr>
              <w:t>项目生活与</w:t>
            </w:r>
            <w:r>
              <w:rPr>
                <w:rFonts w:hint="default" w:ascii="Times New Roman" w:hAnsi="Times New Roman" w:eastAsia="宋体" w:cs="Times New Roman"/>
                <w:color w:val="000000" w:themeColor="text1"/>
                <w:sz w:val="24"/>
                <w:lang w:val="en-US" w:eastAsia="zh-CN"/>
                <w14:textFill>
                  <w14:solidFill>
                    <w14:schemeClr w14:val="tx1"/>
                  </w14:solidFill>
                </w14:textFill>
              </w:rPr>
              <w:t>其他</w:t>
            </w:r>
            <w:r>
              <w:rPr>
                <w:rFonts w:hint="default" w:ascii="Times New Roman" w:hAnsi="Times New Roman" w:eastAsia="宋体" w:cs="Times New Roman"/>
                <w:color w:val="000000" w:themeColor="text1"/>
                <w:sz w:val="24"/>
                <w14:textFill>
                  <w14:solidFill>
                    <w14:schemeClr w14:val="tx1"/>
                  </w14:solidFill>
                </w14:textFill>
              </w:rPr>
              <w:t>生产全部使用电能，属于清洁能源。因此项目</w:t>
            </w:r>
            <w:r>
              <w:rPr>
                <w:rFonts w:hint="default" w:ascii="Times New Roman" w:hAnsi="Times New Roman" w:eastAsia="宋体" w:cs="Times New Roman"/>
                <w:color w:val="000000" w:themeColor="text1"/>
                <w:sz w:val="24"/>
                <w:lang w:val="en-US" w:eastAsia="zh-CN"/>
                <w14:textFill>
                  <w14:solidFill>
                    <w14:schemeClr w14:val="tx1"/>
                  </w14:solidFill>
                </w14:textFill>
              </w:rPr>
              <w:t>基本</w:t>
            </w:r>
            <w:r>
              <w:rPr>
                <w:rFonts w:hint="default" w:ascii="Times New Roman" w:hAnsi="Times New Roman" w:eastAsia="宋体" w:cs="Times New Roman"/>
                <w:color w:val="000000" w:themeColor="text1"/>
                <w:sz w:val="24"/>
                <w14:textFill>
                  <w14:solidFill>
                    <w14:schemeClr w14:val="tx1"/>
                  </w14:solidFill>
                </w14:textFill>
              </w:rPr>
              <w:t>符合《衡阳市“十四五”生态环境保护规划》相关要求。</w:t>
            </w:r>
          </w:p>
          <w:p w14:paraId="3A1B6A28">
            <w:pPr>
              <w:keepNext w:val="0"/>
              <w:keepLines w:val="0"/>
              <w:suppressLineNumbers w:val="0"/>
              <w:bidi w:val="0"/>
              <w:spacing w:before="0" w:beforeAutospacing="0" w:after="0" w:afterAutospacing="0"/>
              <w:ind w:left="0" w:right="0"/>
              <w:rPr>
                <w:rFonts w:hint="eastAsia"/>
                <w:b/>
                <w:bCs/>
                <w:color w:val="auto"/>
                <w:lang w:val="en-US" w:eastAsia="zh-CN"/>
              </w:rPr>
            </w:pPr>
            <w:r>
              <w:rPr>
                <w:rFonts w:hint="eastAsia"/>
                <w:b/>
                <w:bCs/>
                <w:color w:val="auto"/>
                <w:lang w:val="en-US" w:eastAsia="zh-CN"/>
              </w:rPr>
              <w:t>7、与《衡阳市“十四五”空气质量改善规划》的符合性分析</w:t>
            </w:r>
          </w:p>
          <w:p w14:paraId="4492A948">
            <w:pPr>
              <w:pStyle w:val="36"/>
              <w:keepLines w:val="0"/>
              <w:numPr>
                <w:ilvl w:val="3"/>
                <w:numId w:val="0"/>
              </w:numPr>
              <w:suppressLineNumbers w:val="0"/>
              <w:tabs>
                <w:tab w:val="left" w:pos="0"/>
                <w:tab w:val="clear" w:pos="420"/>
              </w:tabs>
              <w:bidi w:val="0"/>
              <w:spacing w:before="0" w:beforeAutospacing="0" w:after="0" w:afterAutospacing="0"/>
              <w:ind w:left="0" w:leftChars="0" w:right="0"/>
              <w:jc w:val="center"/>
              <w:rPr>
                <w:rFonts w:hint="eastAsia"/>
                <w:color w:val="auto"/>
                <w:lang w:val="en-US" w:eastAsia="zh-CN"/>
              </w:rPr>
            </w:pPr>
            <w:r>
              <w:rPr>
                <w:rFonts w:hint="eastAsia"/>
                <w:color w:val="auto"/>
                <w:lang w:val="en-US" w:eastAsia="zh-CN"/>
              </w:rPr>
              <w:t>表1-4  与《衡阳市“十四五”空气质量改善规划》的符合性分析</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59"/>
              <w:gridCol w:w="2217"/>
              <w:gridCol w:w="733"/>
            </w:tblGrid>
            <w:tr w14:paraId="16E54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59" w:type="dxa"/>
                  <w:vAlign w:val="center"/>
                </w:tcPr>
                <w:p w14:paraId="066E2A6D">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规划要求</w:t>
                  </w:r>
                </w:p>
              </w:tc>
              <w:tc>
                <w:tcPr>
                  <w:tcW w:w="2217" w:type="dxa"/>
                  <w:vAlign w:val="center"/>
                </w:tcPr>
                <w:p w14:paraId="4723B56D">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本项目情况</w:t>
                  </w:r>
                </w:p>
              </w:tc>
              <w:tc>
                <w:tcPr>
                  <w:tcW w:w="733" w:type="dxa"/>
                  <w:vAlign w:val="center"/>
                </w:tcPr>
                <w:p w14:paraId="300D2466">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符合性</w:t>
                  </w:r>
                </w:p>
              </w:tc>
            </w:tr>
            <w:tr w14:paraId="4DC65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59" w:type="dxa"/>
                  <w:vAlign w:val="center"/>
                </w:tcPr>
                <w:p w14:paraId="63249E74">
                  <w:pPr>
                    <w:pStyle w:val="37"/>
                    <w:keepNext w:val="0"/>
                    <w:keepLines w:val="0"/>
                    <w:suppressLineNumbers w:val="0"/>
                    <w:bidi w:val="0"/>
                    <w:spacing w:before="0" w:beforeAutospacing="0" w:after="0" w:afterAutospacing="0"/>
                    <w:ind w:left="0" w:right="0"/>
                    <w:jc w:val="both"/>
                    <w:rPr>
                      <w:rFonts w:hint="eastAsia"/>
                      <w:b/>
                      <w:bCs w:val="0"/>
                      <w:color w:val="auto"/>
                      <w:lang w:val="en-US" w:eastAsia="zh-CN"/>
                    </w:rPr>
                  </w:pPr>
                  <w:r>
                    <w:rPr>
                      <w:rFonts w:hint="eastAsia"/>
                      <w:b/>
                      <w:bCs w:val="0"/>
                      <w:color w:val="auto"/>
                      <w:lang w:val="en-US" w:eastAsia="zh-CN"/>
                    </w:rPr>
                    <w:t>优化能源结构，加快能源清洁低碳高效发展</w:t>
                  </w:r>
                </w:p>
                <w:p w14:paraId="55D77545">
                  <w:pPr>
                    <w:pStyle w:val="37"/>
                    <w:keepNext w:val="0"/>
                    <w:keepLines w:val="0"/>
                    <w:suppressLineNumbers w:val="0"/>
                    <w:bidi w:val="0"/>
                    <w:spacing w:before="0" w:beforeAutospacing="0" w:after="0" w:afterAutospacing="0"/>
                    <w:ind w:left="0" w:right="0"/>
                    <w:jc w:val="both"/>
                    <w:rPr>
                      <w:rFonts w:hint="eastAsia"/>
                      <w:color w:val="auto"/>
                      <w:lang w:val="en-US" w:eastAsia="zh-CN"/>
                    </w:rPr>
                  </w:pPr>
                  <w:r>
                    <w:rPr>
                      <w:rFonts w:hint="eastAsia"/>
                      <w:color w:val="auto"/>
                      <w:lang w:val="en-US" w:eastAsia="zh-CN"/>
                    </w:rPr>
                    <w:t>推进能源结构优化，大力发展清洁能源</w:t>
                  </w:r>
                </w:p>
                <w:p w14:paraId="72C9B1E6">
                  <w:pPr>
                    <w:pStyle w:val="37"/>
                    <w:keepNext w:val="0"/>
                    <w:keepLines w:val="0"/>
                    <w:suppressLineNumbers w:val="0"/>
                    <w:bidi w:val="0"/>
                    <w:spacing w:before="0" w:beforeAutospacing="0" w:after="0" w:afterAutospacing="0"/>
                    <w:ind w:left="0" w:right="0"/>
                    <w:jc w:val="both"/>
                    <w:rPr>
                      <w:rFonts w:hint="default"/>
                      <w:color w:val="auto"/>
                      <w:lang w:val="en-US" w:eastAsia="zh-CN"/>
                    </w:rPr>
                  </w:pPr>
                  <w:r>
                    <w:rPr>
                      <w:rFonts w:hint="eastAsia"/>
                      <w:color w:val="auto"/>
                      <w:lang w:val="en-US" w:eastAsia="zh-CN"/>
                    </w:rPr>
                    <w:t>优化能源结构，提升供给侧非化石能源比重，提高消费侧电力比重，增加天然气供应量，降低煤炭消费比重。积极发展太阳能光伏、风申、生物质能等清洁能源，推进非化石能源规模化利用。大力推进电能替代煤炭，积极稳妥推进以气代煤，因地制宜推进生物质等能源代煤，开展氢能源代煤示范。</w:t>
                  </w:r>
                </w:p>
              </w:tc>
              <w:tc>
                <w:tcPr>
                  <w:tcW w:w="2217" w:type="dxa"/>
                  <w:vAlign w:val="center"/>
                </w:tcPr>
                <w:p w14:paraId="38A34193">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本项目锅炉</w:t>
                  </w:r>
                  <w:r>
                    <w:rPr>
                      <w:rFonts w:hint="eastAsia" w:cs="Times New Roman"/>
                      <w:color w:val="auto"/>
                      <w:lang w:val="en-US" w:eastAsia="zh-CN"/>
                    </w:rPr>
                    <w:t>采用生物质燃料</w:t>
                  </w:r>
                  <w:r>
                    <w:rPr>
                      <w:rFonts w:hint="eastAsia"/>
                      <w:color w:val="auto"/>
                      <w:lang w:val="en-US" w:eastAsia="zh-CN"/>
                    </w:rPr>
                    <w:t>，其他生产设备采用电能，均为优质清洁能源，符合规划相关要求</w:t>
                  </w:r>
                  <w:r>
                    <w:rPr>
                      <w:rFonts w:hint="default"/>
                      <w:color w:val="auto"/>
                      <w:lang w:val="en-US" w:eastAsia="zh-CN"/>
                    </w:rPr>
                    <w:t>。</w:t>
                  </w:r>
                </w:p>
              </w:tc>
              <w:tc>
                <w:tcPr>
                  <w:tcW w:w="733" w:type="dxa"/>
                  <w:vAlign w:val="center"/>
                </w:tcPr>
                <w:p w14:paraId="3835E990">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w:t>
                  </w:r>
                </w:p>
              </w:tc>
            </w:tr>
            <w:tr w14:paraId="2D49A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59" w:type="dxa"/>
                  <w:vAlign w:val="center"/>
                </w:tcPr>
                <w:p w14:paraId="785EBE7D">
                  <w:pPr>
                    <w:pStyle w:val="37"/>
                    <w:keepNext w:val="0"/>
                    <w:keepLines w:val="0"/>
                    <w:widowControl w:val="0"/>
                    <w:suppressLineNumbers w:val="0"/>
                    <w:bidi w:val="0"/>
                    <w:spacing w:before="0" w:beforeAutospacing="0" w:after="0" w:afterAutospacing="0"/>
                    <w:ind w:left="0" w:right="0"/>
                    <w:jc w:val="both"/>
                    <w:rPr>
                      <w:rFonts w:hint="eastAsia"/>
                      <w:b/>
                      <w:bCs w:val="0"/>
                      <w:color w:val="auto"/>
                      <w:lang w:val="en-US" w:eastAsia="zh-CN"/>
                    </w:rPr>
                  </w:pPr>
                  <w:r>
                    <w:rPr>
                      <w:rFonts w:hint="eastAsia"/>
                      <w:b/>
                      <w:bCs w:val="0"/>
                      <w:color w:val="auto"/>
                      <w:lang w:val="en-US" w:eastAsia="zh-CN"/>
                    </w:rPr>
                    <w:t>推进重点行业污染深度治理</w:t>
                  </w:r>
                </w:p>
                <w:p w14:paraId="051BBDDD">
                  <w:pPr>
                    <w:pStyle w:val="37"/>
                    <w:keepNext w:val="0"/>
                    <w:keepLines w:val="0"/>
                    <w:widowControl w:val="0"/>
                    <w:suppressLineNumbers w:val="0"/>
                    <w:bidi w:val="0"/>
                    <w:spacing w:before="0" w:beforeAutospacing="0" w:after="0" w:afterAutospacing="0"/>
                    <w:ind w:left="0" w:right="0" w:firstLine="0" w:firstLineChars="0"/>
                    <w:jc w:val="both"/>
                    <w:rPr>
                      <w:rFonts w:hint="eastAsia"/>
                      <w:color w:val="auto"/>
                      <w:lang w:val="en-US" w:eastAsia="zh-CN"/>
                    </w:rPr>
                  </w:pPr>
                  <w:r>
                    <w:rPr>
                      <w:rFonts w:hint="eastAsia"/>
                      <w:color w:val="auto"/>
                      <w:lang w:val="en-US" w:eastAsia="zh-CN"/>
                    </w:rPr>
                    <w:t>推动钢铁、水泥、焦化及锅炉超低排放改造。生物质锅炉采用专用锅炉，配套布袋等高效除尘设施，禁止掺烧煤炭、垃圾、工业固体废弃物等其他物料；积极推进城市建成区生物质锅炉超低排放改造。按照《湖南省工业炉窑大气污染综合治理实施方案》要求，完成重点行业工业炉窑提标改造。加强重点行业管理减排。强化治污设施运行监管，确保稳定达标运行，减少非正常工况排放。</w:t>
                  </w:r>
                </w:p>
              </w:tc>
              <w:tc>
                <w:tcPr>
                  <w:tcW w:w="2217" w:type="dxa"/>
                  <w:vAlign w:val="center"/>
                </w:tcPr>
                <w:p w14:paraId="3DC8B21E">
                  <w:pPr>
                    <w:pStyle w:val="37"/>
                    <w:keepNext w:val="0"/>
                    <w:keepLines w:val="0"/>
                    <w:widowControl w:val="0"/>
                    <w:suppressLineNumbers w:val="0"/>
                    <w:bidi w:val="0"/>
                    <w:spacing w:before="0" w:beforeAutospacing="0" w:after="0" w:afterAutospacing="0"/>
                    <w:ind w:left="0" w:right="0" w:firstLine="0" w:firstLineChars="0"/>
                    <w:rPr>
                      <w:rFonts w:hint="eastAsia"/>
                      <w:color w:val="auto"/>
                      <w:lang w:val="en-US" w:eastAsia="zh-CN"/>
                    </w:rPr>
                  </w:pPr>
                  <w:r>
                    <w:rPr>
                      <w:rFonts w:hint="eastAsia"/>
                      <w:color w:val="auto"/>
                      <w:lang w:val="en-US" w:eastAsia="zh-CN"/>
                    </w:rPr>
                    <w:t>本项目为</w:t>
                  </w:r>
                  <w:r>
                    <w:rPr>
                      <w:rStyle w:val="56"/>
                      <w:rFonts w:hint="eastAsia"/>
                      <w:lang w:val="en-US" w:eastAsia="zh-CN"/>
                    </w:rPr>
                    <w:t>鲜黄花菜</w:t>
                  </w:r>
                  <w:r>
                    <w:rPr>
                      <w:rStyle w:val="56"/>
                      <w:rFonts w:hint="eastAsia"/>
                    </w:rPr>
                    <w:t>加工</w:t>
                  </w:r>
                  <w:r>
                    <w:rPr>
                      <w:rStyle w:val="56"/>
                      <w:rFonts w:hint="eastAsia"/>
                      <w:lang w:val="en-US" w:eastAsia="zh-CN"/>
                    </w:rPr>
                    <w:t>项目</w:t>
                  </w:r>
                  <w:r>
                    <w:rPr>
                      <w:rFonts w:hint="eastAsia"/>
                      <w:color w:val="auto"/>
                      <w:lang w:val="en-US" w:eastAsia="zh-CN"/>
                    </w:rPr>
                    <w:t>，不属于重点行业；项目生物质锅炉采用专用锅炉，并配套旋风除尘+布袋除尘设施，不会掺烧煤炭、垃圾、工业固体废弃物等其他物料；通过加强管理，项目旋风除尘+布袋除尘器等环保设施能稳定达标运行。</w:t>
                  </w:r>
                </w:p>
              </w:tc>
              <w:tc>
                <w:tcPr>
                  <w:tcW w:w="733" w:type="dxa"/>
                  <w:vAlign w:val="center"/>
                </w:tcPr>
                <w:p w14:paraId="02C33C0D">
                  <w:pPr>
                    <w:pStyle w:val="37"/>
                    <w:keepNext w:val="0"/>
                    <w:keepLines w:val="0"/>
                    <w:widowControl w:val="0"/>
                    <w:suppressLineNumbers w:val="0"/>
                    <w:bidi w:val="0"/>
                    <w:spacing w:before="0" w:beforeAutospacing="0" w:after="0" w:afterAutospacing="0"/>
                    <w:ind w:left="0" w:right="0" w:firstLine="0" w:firstLineChars="0"/>
                    <w:rPr>
                      <w:rFonts w:hint="eastAsia"/>
                      <w:color w:val="auto"/>
                      <w:lang w:val="en-US" w:eastAsia="zh-CN"/>
                    </w:rPr>
                  </w:pPr>
                  <w:r>
                    <w:rPr>
                      <w:rFonts w:hint="eastAsia"/>
                      <w:color w:val="auto"/>
                      <w:lang w:val="en-US" w:eastAsia="zh-CN"/>
                    </w:rPr>
                    <w:t>符合</w:t>
                  </w:r>
                </w:p>
              </w:tc>
            </w:tr>
            <w:tr w14:paraId="1FED5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59" w:type="dxa"/>
                  <w:vAlign w:val="center"/>
                </w:tcPr>
                <w:p w14:paraId="0C6FD856">
                  <w:pPr>
                    <w:pStyle w:val="37"/>
                    <w:keepNext w:val="0"/>
                    <w:keepLines w:val="0"/>
                    <w:widowControl w:val="0"/>
                    <w:suppressLineNumbers w:val="0"/>
                    <w:bidi w:val="0"/>
                    <w:spacing w:before="0" w:beforeAutospacing="0" w:after="0" w:afterAutospacing="0"/>
                    <w:ind w:left="0" w:right="0"/>
                    <w:jc w:val="both"/>
                    <w:rPr>
                      <w:rFonts w:hint="eastAsia"/>
                      <w:b/>
                      <w:bCs w:val="0"/>
                      <w:color w:val="auto"/>
                      <w:lang w:val="en-US" w:eastAsia="zh-CN"/>
                    </w:rPr>
                  </w:pPr>
                  <w:r>
                    <w:rPr>
                      <w:rFonts w:hint="eastAsia"/>
                      <w:b/>
                      <w:bCs w:val="0"/>
                      <w:color w:val="auto"/>
                      <w:lang w:val="en-US" w:eastAsia="zh-CN"/>
                    </w:rPr>
                    <w:t>深化扬尘污染综合治理</w:t>
                  </w:r>
                </w:p>
                <w:p w14:paraId="54A1DE2F">
                  <w:pPr>
                    <w:pStyle w:val="37"/>
                    <w:keepNext w:val="0"/>
                    <w:keepLines w:val="0"/>
                    <w:widowControl w:val="0"/>
                    <w:suppressLineNumbers w:val="0"/>
                    <w:bidi w:val="0"/>
                    <w:spacing w:before="0" w:beforeAutospacing="0" w:after="0" w:afterAutospacing="0"/>
                    <w:ind w:left="0" w:right="0"/>
                    <w:jc w:val="both"/>
                    <w:rPr>
                      <w:rFonts w:hint="eastAsia"/>
                      <w:color w:val="auto"/>
                      <w:lang w:val="en-US" w:eastAsia="zh-CN"/>
                    </w:rPr>
                  </w:pPr>
                  <w:r>
                    <w:rPr>
                      <w:rFonts w:hint="eastAsia"/>
                      <w:color w:val="auto"/>
                      <w:lang w:val="en-US" w:eastAsia="zh-CN"/>
                    </w:rPr>
                    <w:t>全面推行绿色施工。按照衡阳市《建筑工地扬尘防治“十严禁”》和《关于进一步加强全市建筑工地扬尘污染防治工作》的规范要求，严格执行“六个百分之百”。</w:t>
                  </w:r>
                </w:p>
                <w:p w14:paraId="733B7BA6">
                  <w:pPr>
                    <w:pStyle w:val="37"/>
                    <w:keepNext w:val="0"/>
                    <w:keepLines w:val="0"/>
                    <w:widowControl w:val="0"/>
                    <w:suppressLineNumbers w:val="0"/>
                    <w:bidi w:val="0"/>
                    <w:spacing w:before="0" w:beforeAutospacing="0" w:after="0" w:afterAutospacing="0"/>
                    <w:ind w:left="0" w:right="0"/>
                    <w:jc w:val="both"/>
                    <w:rPr>
                      <w:rFonts w:hint="eastAsia"/>
                      <w:color w:val="auto"/>
                      <w:lang w:val="en-US" w:eastAsia="zh-CN"/>
                    </w:rPr>
                  </w:pPr>
                  <w:r>
                    <w:rPr>
                      <w:rFonts w:hint="eastAsia"/>
                      <w:color w:val="auto"/>
                      <w:lang w:val="en-US" w:eastAsia="zh-CN"/>
                    </w:rPr>
                    <w:t>加强堆场扬尘治理。加强建筑工地沙石、建筑垃圾等堆场管理，必须采取洒水、覆盖、绿化等有效的防尘措施，减少扬尘污染。加强码头作业扬尘控制，大型煤炭、矿石等干散货码头物料堆场全面完成抑尘设施建设和物料输送系统封闭改造。</w:t>
                  </w:r>
                </w:p>
              </w:tc>
              <w:tc>
                <w:tcPr>
                  <w:tcW w:w="2217" w:type="dxa"/>
                  <w:vAlign w:val="center"/>
                </w:tcPr>
                <w:p w14:paraId="71832F3B">
                  <w:pPr>
                    <w:pStyle w:val="37"/>
                    <w:keepNext w:val="0"/>
                    <w:keepLines w:val="0"/>
                    <w:widowControl w:val="0"/>
                    <w:suppressLineNumbers w:val="0"/>
                    <w:bidi w:val="0"/>
                    <w:spacing w:before="0" w:beforeAutospacing="0" w:after="0" w:afterAutospacing="0"/>
                    <w:ind w:left="0" w:right="0"/>
                    <w:jc w:val="center"/>
                    <w:rPr>
                      <w:rFonts w:hint="default"/>
                      <w:color w:val="auto"/>
                      <w:lang w:val="en-US" w:eastAsia="zh-CN"/>
                    </w:rPr>
                  </w:pPr>
                  <w:r>
                    <w:rPr>
                      <w:rFonts w:hint="eastAsia"/>
                      <w:color w:val="auto"/>
                      <w:lang w:val="en-US" w:eastAsia="zh-CN"/>
                    </w:rPr>
                    <w:t>本项目施工期全面推行绿色施工，严格执行“六个100%”。通过加强管理和采取相应的环保措施，本项目产生的颗粒物对周围环境影响较小。</w:t>
                  </w:r>
                </w:p>
              </w:tc>
              <w:tc>
                <w:tcPr>
                  <w:tcW w:w="733" w:type="dxa"/>
                  <w:vAlign w:val="center"/>
                </w:tcPr>
                <w:p w14:paraId="4DF3EAD2">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w:t>
                  </w:r>
                </w:p>
              </w:tc>
            </w:tr>
          </w:tbl>
          <w:p w14:paraId="05E2C9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color w:val="auto"/>
                <w:lang w:val="en-US" w:eastAsia="zh-CN"/>
              </w:rPr>
            </w:pPr>
          </w:p>
          <w:p w14:paraId="2B6B1E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eastAsia"/>
                <w:color w:val="auto"/>
                <w:lang w:val="en-US" w:eastAsia="zh-CN"/>
              </w:rPr>
              <w:t>综上，本项目的建设符合《衡阳市“十四五”空气质量改善规划》的相关要求。</w:t>
            </w:r>
          </w:p>
          <w:p w14:paraId="3B395768">
            <w:pPr>
              <w:pStyle w:val="2"/>
              <w:keepLines w:val="0"/>
              <w:numPr>
                <w:ilvl w:val="0"/>
                <w:numId w:val="0"/>
              </w:numPr>
              <w:suppressLineNumbers w:val="0"/>
              <w:bidi w:val="0"/>
              <w:spacing w:before="0" w:beforeAutospacing="0" w:after="0" w:afterAutospacing="0"/>
              <w:ind w:leftChars="0" w:right="0"/>
              <w:rPr>
                <w:rFonts w:hint="default" w:cs="Times New Roman"/>
                <w:color w:val="auto"/>
                <w:highlight w:val="none"/>
                <w:lang w:val="en-US" w:eastAsia="zh-CN"/>
              </w:rPr>
            </w:pPr>
            <w:r>
              <w:rPr>
                <w:rFonts w:hint="eastAsia" w:cs="Times New Roman"/>
                <w:color w:val="auto"/>
                <w:highlight w:val="none"/>
                <w:lang w:val="en-US" w:eastAsia="zh-CN"/>
              </w:rPr>
              <w:t>8、</w:t>
            </w:r>
            <w:r>
              <w:rPr>
                <w:rFonts w:hint="default" w:cs="Times New Roman"/>
                <w:color w:val="auto"/>
                <w:highlight w:val="none"/>
                <w:lang w:val="en-US" w:eastAsia="zh-CN"/>
              </w:rPr>
              <w:t>与《湖南省湘江保护条例》</w:t>
            </w:r>
            <w:r>
              <w:rPr>
                <w:rFonts w:hint="eastAsia" w:cs="Times New Roman"/>
                <w:color w:val="auto"/>
                <w:highlight w:val="none"/>
                <w:lang w:val="en-US" w:eastAsia="zh-CN"/>
              </w:rPr>
              <w:t>（2023年修订）</w:t>
            </w:r>
            <w:r>
              <w:rPr>
                <w:rFonts w:hint="default" w:cs="Times New Roman"/>
                <w:color w:val="auto"/>
                <w:highlight w:val="none"/>
                <w:lang w:val="en-US" w:eastAsia="zh-CN"/>
              </w:rPr>
              <w:t>的相符性分析</w:t>
            </w:r>
            <w:bookmarkEnd w:id="6"/>
          </w:p>
          <w:p w14:paraId="104B3702">
            <w:pPr>
              <w:keepNext w:val="0"/>
              <w:keepLines w:val="0"/>
              <w:suppressLineNumbers w:val="0"/>
              <w:spacing w:before="0" w:beforeAutospacing="0" w:after="0" w:afterAutospacing="0"/>
              <w:ind w:left="0" w:right="0" w:firstLine="480" w:firstLineChars="200"/>
              <w:rPr>
                <w:rFonts w:hint="default" w:cs="Times New Roman"/>
                <w:color w:val="auto"/>
                <w:highlight w:val="none"/>
                <w:u w:val="none"/>
                <w:lang w:val="en-US" w:eastAsia="zh-CN"/>
              </w:rPr>
            </w:pPr>
            <w:r>
              <w:rPr>
                <w:rFonts w:hint="default" w:cs="Times New Roman"/>
                <w:color w:val="auto"/>
                <w:highlight w:val="none"/>
                <w:lang w:val="en-US" w:eastAsia="zh-CN"/>
              </w:rPr>
              <w:t>根据《湖南省湘江保护条例》</w:t>
            </w:r>
            <w:r>
              <w:rPr>
                <w:rFonts w:hint="eastAsia" w:cs="Times New Roman"/>
                <w:color w:val="auto"/>
                <w:highlight w:val="none"/>
                <w:lang w:val="en-US" w:eastAsia="zh-CN"/>
              </w:rPr>
              <w:t>（2023年修订）</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禁止在湘江流域饮用水水源一级保护区内设置排污口（渠），禁止新建、改建、扩建与供水设施和保护水源无关的建设项目；已经设置排污口（渠）、建成与供水设施和保护水源无关的建设项目，县级以上人民政府应当在省人民政府规定期限内组织拆除或者关闭。禁止在湘江流域饮用水水源一级保护区内从事网箱养殖、旅游、游泳、垂钓或者其他可能污染饮用水水体的活动。（</w:t>
            </w:r>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）禁止在湘江流域饮用水水源二级保护区内设置排污口（渠），禁止新建、改建、扩建排放污染物的建设项目；已经设置排污口（渠）、建成排放污染物的建设项目，县级以</w:t>
            </w:r>
            <w:r>
              <w:rPr>
                <w:rFonts w:hint="default" w:cs="Times New Roman"/>
                <w:color w:val="auto"/>
                <w:highlight w:val="none"/>
                <w:u w:val="none"/>
                <w:lang w:val="en-US" w:eastAsia="zh-CN"/>
              </w:rPr>
              <w:t>上人民政府应当在省人民政府规定期限内组织拆除或者关闭。（</w:t>
            </w:r>
            <w:r>
              <w:rPr>
                <w:rFonts w:hint="default" w:ascii="Times New Roman" w:hAnsi="Times New Roman" w:cs="Times New Roman"/>
                <w:color w:val="auto"/>
                <w:highlight w:val="none"/>
                <w:u w:val="none"/>
                <w:lang w:val="en-US" w:eastAsia="zh-CN"/>
              </w:rPr>
              <w:t>3</w:t>
            </w:r>
            <w:r>
              <w:rPr>
                <w:rFonts w:hint="default" w:cs="Times New Roman"/>
                <w:color w:val="auto"/>
                <w:highlight w:val="none"/>
                <w:u w:val="none"/>
                <w:lang w:val="en-US" w:eastAsia="zh-CN"/>
              </w:rPr>
              <w:t>）</w:t>
            </w:r>
            <w:r>
              <w:rPr>
                <w:rFonts w:hint="default" w:cs="Times New Roman"/>
                <w:color w:val="auto"/>
                <w:highlight w:val="none"/>
                <w:u w:val="none"/>
              </w:rPr>
              <w:t>禁止在湘江干流岸线一公里范围内新建、扩建化工园区和化工项目。禁止在湘江干流岸线一公里范围内新建、改建、扩建尾矿库；但是以提升安全、生态环境保护水平为目的的改建除外。</w:t>
            </w:r>
            <w:r>
              <w:rPr>
                <w:rFonts w:hint="default" w:cs="Times New Roman"/>
                <w:color w:val="auto"/>
                <w:highlight w:val="none"/>
                <w:u w:val="none"/>
                <w:lang w:val="en-US" w:eastAsia="zh-CN"/>
              </w:rPr>
              <w:t>”</w:t>
            </w:r>
          </w:p>
          <w:p w14:paraId="1FFBEEC9">
            <w:pPr>
              <w:keepNext w:val="0"/>
              <w:keepLines w:val="0"/>
              <w:suppressLineNumbers w:val="0"/>
              <w:spacing w:before="0" w:beforeAutospacing="0" w:after="0" w:afterAutospacing="0"/>
              <w:ind w:left="0" w:right="0" w:firstLine="480" w:firstLineChars="200"/>
              <w:rPr>
                <w:rFonts w:hint="eastAsia" w:cs="Times New Roman"/>
                <w:color w:val="auto"/>
                <w:highlight w:val="none"/>
                <w:u w:val="single"/>
                <w:lang w:val="en-US" w:eastAsia="zh-CN"/>
              </w:rPr>
            </w:pPr>
            <w:r>
              <w:rPr>
                <w:rFonts w:hint="eastAsia" w:cs="Times New Roman"/>
                <w:color w:val="auto"/>
                <w:highlight w:val="none"/>
                <w:u w:val="none"/>
                <w:lang w:val="en-US" w:eastAsia="zh-CN"/>
              </w:rPr>
              <w:t>本项目位于祁东县官家嘴镇官家嘴村，为鲜黄花菜加工项目，不属于化工项目，项目废水经厂内自建污水处理站处理达标后排入官家嘴镇污水处理站进一步处理，不新设入河排污口</w:t>
            </w:r>
            <w:r>
              <w:rPr>
                <w:rFonts w:hint="default" w:cs="Times New Roman"/>
                <w:color w:val="auto"/>
                <w:highlight w:val="none"/>
                <w:lang w:val="en-US" w:eastAsia="zh-CN"/>
              </w:rPr>
              <w:t>。因此，本项目符合《湖南省湘江保护条例》相关要求。</w:t>
            </w:r>
          </w:p>
          <w:p w14:paraId="06C4C9E6">
            <w:pPr>
              <w:keepNext w:val="0"/>
              <w:keepLines w:val="0"/>
              <w:pageBreakBefore w:val="0"/>
              <w:widowControl w:val="0"/>
              <w:suppressLineNumbers w:val="0"/>
              <w:kinsoku/>
              <w:topLinePunct w:val="0"/>
              <w:bidi w:val="0"/>
              <w:adjustRightInd w:val="0"/>
              <w:snapToGrid w:val="0"/>
              <w:spacing w:before="0" w:beforeAutospacing="0" w:after="0" w:afterAutospacing="0" w:line="360" w:lineRule="auto"/>
              <w:ind w:left="0" w:right="0"/>
              <w:jc w:val="both"/>
              <w:rPr>
                <w:rFonts w:hint="default" w:ascii="Times New Roman" w:hAnsi="Times New Roman" w:eastAsia="宋体" w:cs="Times New Roman"/>
                <w:b/>
                <w:bCs/>
                <w:color w:val="auto"/>
                <w:kern w:val="2"/>
                <w:sz w:val="24"/>
                <w:szCs w:val="24"/>
                <w:highlight w:val="none"/>
                <w:u w:val="none" w:color="auto"/>
                <w:lang w:val="en-US" w:eastAsia="zh-CN" w:bidi="ar-SA"/>
              </w:rPr>
            </w:pPr>
            <w:bookmarkStart w:id="7" w:name="_Toc19318"/>
            <w:r>
              <w:rPr>
                <w:rFonts w:hint="eastAsia" w:cs="Times New Roman"/>
                <w:b/>
                <w:bCs/>
                <w:color w:val="auto"/>
                <w:kern w:val="2"/>
                <w:sz w:val="24"/>
                <w:szCs w:val="24"/>
                <w:highlight w:val="none"/>
                <w:u w:val="none" w:color="auto"/>
                <w:lang w:val="en-US" w:eastAsia="zh-CN" w:bidi="ar-SA"/>
              </w:rPr>
              <w:t>9、</w:t>
            </w:r>
            <w:r>
              <w:rPr>
                <w:rFonts w:hint="default" w:ascii="Times New Roman" w:hAnsi="Times New Roman" w:eastAsia="宋体" w:cs="Times New Roman"/>
                <w:b/>
                <w:bCs/>
                <w:color w:val="auto"/>
                <w:kern w:val="2"/>
                <w:sz w:val="24"/>
                <w:szCs w:val="24"/>
                <w:highlight w:val="none"/>
                <w:u w:val="none" w:color="auto"/>
                <w:lang w:val="en-US" w:eastAsia="zh-CN" w:bidi="ar-SA"/>
              </w:rPr>
              <w:t>与《湖南省环境保护条例》相符性分析</w:t>
            </w:r>
          </w:p>
          <w:p w14:paraId="2A2D36C4">
            <w:pPr>
              <w:keepNext w:val="0"/>
              <w:keepLines w:val="0"/>
              <w:suppressLineNumbers w:val="0"/>
              <w:kinsoku/>
              <w:adjustRightInd/>
              <w:snapToGrid/>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根据《湖南省环境保护条例》：</w:t>
            </w: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14:textFill>
                  <w14:solidFill>
                    <w14:schemeClr w14:val="tx1"/>
                  </w14:solidFill>
                </w14:textFill>
              </w:rPr>
              <w:t>（1）鼓励发展环境保护产业，对资源的综合利用和防治污染的技术改造项目实行优惠政策。（2）一切单位和个人必须执行国家和本省的环境质量标准和污染物排放标准。本省的污染物排放标准严于国家标准的，执行本省标准。（3）禁止在风景名胜区、自然保护区、森林公园、城市规划确定的居民区和饮用水源地以及其他需要特别保护的区域内，兴建污染和破坏环境的工程、设施。（4）按水域功能区划保护湘江、资江、沅江、澧水和洞庭湖及其他水域，使水质符合规定用途的水质标准。</w:t>
            </w:r>
            <w:r>
              <w:rPr>
                <w:rFonts w:hint="default" w:ascii="Times New Roman" w:hAnsi="Times New Roman" w:eastAsia="宋体" w:cs="Times New Roman"/>
                <w:color w:val="000000" w:themeColor="text1"/>
                <w:sz w:val="24"/>
                <w:lang w:eastAsia="zh-CN"/>
                <w14:textFill>
                  <w14:solidFill>
                    <w14:schemeClr w14:val="tx1"/>
                  </w14:solidFill>
                </w14:textFill>
              </w:rPr>
              <w:t>”</w:t>
            </w:r>
          </w:p>
          <w:p w14:paraId="76428A40">
            <w:pPr>
              <w:keepNext w:val="0"/>
              <w:keepLines w:val="0"/>
              <w:pageBreakBefore w:val="0"/>
              <w:widowControl w:val="0"/>
              <w:suppressLineNumbers w:val="0"/>
              <w:kinsoku/>
              <w:topLinePunct w:val="0"/>
              <w:bidi w:val="0"/>
              <w:adjustRightInd w:val="0"/>
              <w:snapToGrid w:val="0"/>
              <w:spacing w:before="0" w:beforeAutospacing="0" w:after="0" w:afterAutospacing="0" w:line="360" w:lineRule="auto"/>
              <w:ind w:left="0" w:right="0" w:firstLine="480" w:firstLineChars="200"/>
              <w:jc w:val="both"/>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本项目</w:t>
            </w:r>
            <w:r>
              <w:rPr>
                <w:rFonts w:hint="eastAsia" w:cs="Times New Roman"/>
                <w:color w:val="auto"/>
                <w:highlight w:val="none"/>
                <w:u w:val="none"/>
                <w:lang w:val="en-US" w:eastAsia="zh-CN"/>
              </w:rPr>
              <w:t>位于祁东县官家嘴镇官家嘴村，</w:t>
            </w:r>
            <w:r>
              <w:rPr>
                <w:rFonts w:hint="default" w:ascii="Times New Roman" w:hAnsi="Times New Roman" w:eastAsia="宋体" w:cs="Times New Roman"/>
                <w:color w:val="000000" w:themeColor="text1"/>
                <w:sz w:val="24"/>
                <w14:textFill>
                  <w14:solidFill>
                    <w14:schemeClr w14:val="tx1"/>
                  </w14:solidFill>
                </w14:textFill>
              </w:rPr>
              <w:t>各污染物经处理后可达到国家和地方的相应排放标准，项目不涉及风景名胜区、自然保护区、森林公园、城市规划确定的居民区和饮用水源地以及其他需要特别保护的区域。因此项目</w:t>
            </w:r>
            <w:r>
              <w:rPr>
                <w:rFonts w:hint="default" w:ascii="Times New Roman" w:hAnsi="Times New Roman" w:eastAsia="宋体" w:cs="Times New Roman"/>
                <w:color w:val="000000" w:themeColor="text1"/>
                <w:sz w:val="24"/>
                <w:lang w:val="en-US" w:eastAsia="zh-CN"/>
                <w14:textFill>
                  <w14:solidFill>
                    <w14:schemeClr w14:val="tx1"/>
                  </w14:solidFill>
                </w14:textFill>
              </w:rPr>
              <w:t>基本</w:t>
            </w:r>
            <w:r>
              <w:rPr>
                <w:rFonts w:hint="default" w:ascii="Times New Roman" w:hAnsi="Times New Roman" w:eastAsia="宋体" w:cs="Times New Roman"/>
                <w:color w:val="000000" w:themeColor="text1"/>
                <w:sz w:val="24"/>
                <w14:textFill>
                  <w14:solidFill>
                    <w14:schemeClr w14:val="tx1"/>
                  </w14:solidFill>
                </w14:textFill>
              </w:rPr>
              <w:t>符合《湖南省环境保护条例》的相关要求</w:t>
            </w:r>
            <w:r>
              <w:rPr>
                <w:rFonts w:hint="default" w:ascii="Times New Roman" w:hAnsi="Times New Roman" w:eastAsia="宋体" w:cs="Times New Roman"/>
                <w:color w:val="000000" w:themeColor="text1"/>
                <w:sz w:val="24"/>
                <w:lang w:eastAsia="zh-CN"/>
                <w14:textFill>
                  <w14:solidFill>
                    <w14:schemeClr w14:val="tx1"/>
                  </w14:solidFill>
                </w14:textFill>
              </w:rPr>
              <w:t>。</w:t>
            </w:r>
          </w:p>
          <w:p w14:paraId="1649C5DC">
            <w:pPr>
              <w:keepNext w:val="0"/>
              <w:keepLines w:val="0"/>
              <w:pageBreakBefore w:val="0"/>
              <w:widowControl w:val="0"/>
              <w:suppressLineNumbers w:val="0"/>
              <w:kinsoku/>
              <w:topLinePunct w:val="0"/>
              <w:bidi w:val="0"/>
              <w:adjustRightInd w:val="0"/>
              <w:snapToGrid w:val="0"/>
              <w:spacing w:before="0" w:beforeAutospacing="0" w:after="0" w:afterAutospacing="0" w:line="360" w:lineRule="auto"/>
              <w:ind w:left="0" w:right="0"/>
              <w:jc w:val="both"/>
              <w:rPr>
                <w:rFonts w:hint="default" w:ascii="Times New Roman" w:hAnsi="Times New Roman" w:eastAsia="宋体" w:cs="Times New Roman"/>
                <w:b/>
                <w:bCs/>
                <w:color w:val="auto"/>
                <w:kern w:val="2"/>
                <w:sz w:val="24"/>
                <w:szCs w:val="24"/>
                <w:highlight w:val="none"/>
                <w:u w:val="none" w:color="auto"/>
                <w:lang w:val="en-US" w:eastAsia="zh-CN" w:bidi="ar-SA"/>
              </w:rPr>
            </w:pPr>
            <w:r>
              <w:rPr>
                <w:rFonts w:hint="eastAsia" w:cs="Times New Roman"/>
                <w:b/>
                <w:bCs/>
                <w:color w:val="auto"/>
                <w:kern w:val="2"/>
                <w:sz w:val="24"/>
                <w:szCs w:val="24"/>
                <w:highlight w:val="none"/>
                <w:u w:val="none" w:color="auto"/>
                <w:lang w:val="en-US" w:eastAsia="zh-CN" w:bidi="ar-SA"/>
              </w:rPr>
              <w:t>10、</w:t>
            </w:r>
            <w:r>
              <w:rPr>
                <w:rFonts w:hint="default" w:ascii="Times New Roman" w:hAnsi="Times New Roman" w:eastAsia="宋体" w:cs="Times New Roman"/>
                <w:b/>
                <w:bCs/>
                <w:color w:val="auto"/>
                <w:kern w:val="2"/>
                <w:sz w:val="24"/>
                <w:szCs w:val="24"/>
                <w:highlight w:val="none"/>
                <w:u w:val="none" w:color="auto"/>
                <w:lang w:val="en-US" w:eastAsia="zh-CN" w:bidi="ar-SA"/>
              </w:rPr>
              <w:t>与</w:t>
            </w:r>
            <w:r>
              <w:rPr>
                <w:rFonts w:hint="eastAsia" w:ascii="Times New Roman" w:hAnsi="Times New Roman" w:eastAsia="宋体" w:cs="Times New Roman"/>
                <w:b/>
                <w:bCs/>
                <w:color w:val="auto"/>
                <w:kern w:val="2"/>
                <w:sz w:val="24"/>
                <w:szCs w:val="24"/>
                <w:highlight w:val="none"/>
                <w:u w:val="none" w:color="auto"/>
                <w:lang w:val="en-US" w:eastAsia="zh-CN" w:bidi="ar-SA"/>
              </w:rPr>
              <w:t>《湖南省工业</w:t>
            </w:r>
            <w:r>
              <w:rPr>
                <w:rFonts w:hint="eastAsia" w:cs="Times New Roman"/>
                <w:b/>
                <w:bCs/>
                <w:color w:val="auto"/>
                <w:kern w:val="2"/>
                <w:sz w:val="24"/>
                <w:szCs w:val="24"/>
                <w:highlight w:val="none"/>
                <w:u w:val="none" w:color="auto"/>
                <w:lang w:val="en-US" w:eastAsia="zh-CN" w:bidi="ar-SA"/>
              </w:rPr>
              <w:t>治理领域大气污染防治攻坚</w:t>
            </w:r>
            <w:r>
              <w:rPr>
                <w:rFonts w:hint="eastAsia" w:ascii="Times New Roman" w:hAnsi="Times New Roman" w:eastAsia="宋体" w:cs="Times New Roman"/>
                <w:b/>
                <w:bCs/>
                <w:color w:val="auto"/>
                <w:kern w:val="2"/>
                <w:sz w:val="24"/>
                <w:szCs w:val="24"/>
                <w:highlight w:val="none"/>
                <w:u w:val="none" w:color="auto"/>
                <w:lang w:val="en-US" w:eastAsia="zh-CN" w:bidi="ar-SA"/>
              </w:rPr>
              <w:t>实施方案》（湘环发〔202</w:t>
            </w:r>
            <w:r>
              <w:rPr>
                <w:rFonts w:hint="eastAsia" w:cs="Times New Roman"/>
                <w:b/>
                <w:bCs/>
                <w:color w:val="auto"/>
                <w:kern w:val="2"/>
                <w:sz w:val="24"/>
                <w:szCs w:val="24"/>
                <w:highlight w:val="none"/>
                <w:u w:val="none" w:color="auto"/>
                <w:lang w:val="en-US" w:eastAsia="zh-CN" w:bidi="ar-SA"/>
              </w:rPr>
              <w:t>3</w:t>
            </w:r>
            <w:r>
              <w:rPr>
                <w:rFonts w:hint="eastAsia" w:ascii="Times New Roman" w:hAnsi="Times New Roman" w:eastAsia="宋体" w:cs="Times New Roman"/>
                <w:b/>
                <w:bCs/>
                <w:color w:val="auto"/>
                <w:kern w:val="2"/>
                <w:sz w:val="24"/>
                <w:szCs w:val="24"/>
                <w:highlight w:val="none"/>
                <w:u w:val="none" w:color="auto"/>
                <w:lang w:val="en-US" w:eastAsia="zh-CN" w:bidi="ar-SA"/>
              </w:rPr>
              <w:t>〕6</w:t>
            </w:r>
            <w:r>
              <w:rPr>
                <w:rFonts w:hint="eastAsia" w:cs="Times New Roman"/>
                <w:b/>
                <w:bCs/>
                <w:color w:val="auto"/>
                <w:kern w:val="2"/>
                <w:sz w:val="24"/>
                <w:szCs w:val="24"/>
                <w:highlight w:val="none"/>
                <w:u w:val="none" w:color="auto"/>
                <w:lang w:val="en-US" w:eastAsia="zh-CN" w:bidi="ar-SA"/>
              </w:rPr>
              <w:t>3</w:t>
            </w:r>
            <w:r>
              <w:rPr>
                <w:rFonts w:hint="eastAsia" w:ascii="Times New Roman" w:hAnsi="Times New Roman" w:eastAsia="宋体" w:cs="Times New Roman"/>
                <w:b/>
                <w:bCs/>
                <w:color w:val="auto"/>
                <w:kern w:val="2"/>
                <w:sz w:val="24"/>
                <w:szCs w:val="24"/>
                <w:highlight w:val="none"/>
                <w:u w:val="none" w:color="auto"/>
                <w:lang w:val="en-US" w:eastAsia="zh-CN" w:bidi="ar-SA"/>
              </w:rPr>
              <w:t>号）</w:t>
            </w:r>
            <w:r>
              <w:rPr>
                <w:rFonts w:hint="default" w:ascii="Times New Roman" w:hAnsi="Times New Roman" w:eastAsia="宋体" w:cs="Times New Roman"/>
                <w:b/>
                <w:bCs/>
                <w:color w:val="auto"/>
                <w:kern w:val="2"/>
                <w:sz w:val="24"/>
                <w:szCs w:val="24"/>
                <w:highlight w:val="none"/>
                <w:u w:val="none" w:color="auto"/>
                <w:lang w:val="en-US" w:eastAsia="zh-CN" w:bidi="ar-SA"/>
              </w:rPr>
              <w:t>相符性分析</w:t>
            </w:r>
          </w:p>
          <w:p w14:paraId="26455264">
            <w:pPr>
              <w:keepNext w:val="0"/>
              <w:keepLines w:val="0"/>
              <w:pageBreakBefore w:val="0"/>
              <w:widowControl w:val="0"/>
              <w:suppressLineNumbers w:val="0"/>
              <w:kinsoku/>
              <w:topLinePunct w:val="0"/>
              <w:bidi w:val="0"/>
              <w:adjustRightInd w:val="0"/>
              <w:snapToGrid w:val="0"/>
              <w:spacing w:before="0" w:beforeAutospacing="0" w:after="0" w:afterAutospacing="0" w:line="360" w:lineRule="auto"/>
              <w:ind w:left="0" w:right="0" w:firstLine="480" w:firstLineChars="200"/>
              <w:jc w:val="both"/>
              <w:rPr>
                <w:rFonts w:hint="eastAsia" w:ascii="Times New Roman" w:hAnsi="Times New Roman" w:eastAsia="宋体" w:cs="Times New Roman"/>
                <w:b w:val="0"/>
                <w:bCs w:val="0"/>
                <w:color w:val="auto"/>
                <w:kern w:val="2"/>
                <w:sz w:val="24"/>
                <w:szCs w:val="24"/>
                <w:highlight w:val="none"/>
                <w:u w:val="none" w:color="auto"/>
                <w:lang w:val="en-US" w:eastAsia="zh-CN" w:bidi="ar-SA"/>
              </w:rPr>
            </w:pPr>
            <w:r>
              <w:rPr>
                <w:rFonts w:hint="default" w:ascii="Times New Roman" w:hAnsi="Times New Roman" w:eastAsia="宋体" w:cs="Times New Roman"/>
                <w:b w:val="0"/>
                <w:bCs w:val="0"/>
                <w:color w:val="auto"/>
                <w:kern w:val="2"/>
                <w:sz w:val="24"/>
                <w:szCs w:val="24"/>
                <w:highlight w:val="none"/>
                <w:u w:val="none" w:color="auto"/>
                <w:lang w:val="en-US" w:eastAsia="zh-CN" w:bidi="ar-SA"/>
              </w:rPr>
              <w:t>根据</w:t>
            </w:r>
            <w:r>
              <w:rPr>
                <w:rFonts w:hint="eastAsia" w:ascii="Times New Roman" w:hAnsi="Times New Roman" w:eastAsia="宋体" w:cs="Times New Roman"/>
                <w:b w:val="0"/>
                <w:bCs w:val="0"/>
                <w:color w:val="auto"/>
                <w:kern w:val="2"/>
                <w:sz w:val="24"/>
                <w:szCs w:val="24"/>
                <w:highlight w:val="none"/>
                <w:u w:val="none" w:color="auto"/>
                <w:lang w:val="en-US" w:eastAsia="zh-CN" w:bidi="ar-SA"/>
              </w:rPr>
              <w:t>文件要求，生物质锅炉使用专用炉具和成型燃料，禁止掺烧其他燃料，配套高效除尘设施</w:t>
            </w:r>
            <w:r>
              <w:rPr>
                <w:rFonts w:hint="eastAsia" w:cs="Times New Roman"/>
                <w:b w:val="0"/>
                <w:bCs w:val="0"/>
                <w:color w:val="auto"/>
                <w:kern w:val="2"/>
                <w:sz w:val="24"/>
                <w:szCs w:val="24"/>
                <w:highlight w:val="none"/>
                <w:u w:val="none" w:color="auto"/>
                <w:lang w:val="en-US" w:eastAsia="zh-CN" w:bidi="ar-SA"/>
              </w:rPr>
              <w:t>（旋风除尘+布袋除尘）</w:t>
            </w:r>
            <w:r>
              <w:rPr>
                <w:rFonts w:hint="eastAsia" w:ascii="Times New Roman" w:hAnsi="Times New Roman" w:eastAsia="宋体" w:cs="Times New Roman"/>
                <w:b w:val="0"/>
                <w:bCs w:val="0"/>
                <w:color w:val="auto"/>
                <w:kern w:val="2"/>
                <w:sz w:val="24"/>
                <w:szCs w:val="24"/>
                <w:highlight w:val="none"/>
                <w:u w:val="none" w:color="auto"/>
                <w:lang w:val="en-US" w:eastAsia="zh-CN" w:bidi="ar-SA"/>
              </w:rPr>
              <w:t>，对未纳入淘汰计划的4蒸吨及以上生物质锅 炉安装烟气在线监控设施。</w:t>
            </w:r>
          </w:p>
          <w:p w14:paraId="0B0C9052">
            <w:pPr>
              <w:keepNext w:val="0"/>
              <w:keepLines w:val="0"/>
              <w:pageBreakBefore w:val="0"/>
              <w:widowControl w:val="0"/>
              <w:suppressLineNumbers w:val="0"/>
              <w:kinsoku/>
              <w:topLinePunct w:val="0"/>
              <w:bidi w:val="0"/>
              <w:adjustRightInd w:val="0"/>
              <w:snapToGrid w:val="0"/>
              <w:spacing w:before="0" w:beforeAutospacing="0" w:after="0" w:afterAutospacing="0" w:line="360" w:lineRule="auto"/>
              <w:ind w:left="0" w:right="0" w:firstLine="480" w:firstLineChars="200"/>
              <w:jc w:val="both"/>
              <w:rPr>
                <w:rFonts w:hint="eastAsia" w:ascii="Times New Roman" w:hAnsi="Times New Roman" w:eastAsia="宋体" w:cs="Times New Roman"/>
                <w:b w:val="0"/>
                <w:bCs w:val="0"/>
                <w:color w:val="auto"/>
                <w:kern w:val="2"/>
                <w:sz w:val="24"/>
                <w:szCs w:val="24"/>
                <w:highlight w:val="none"/>
                <w:u w:val="none" w:color="auto"/>
                <w:lang w:val="en-US" w:eastAsia="zh-CN" w:bidi="ar-SA"/>
              </w:rPr>
            </w:pPr>
            <w:r>
              <w:rPr>
                <w:rFonts w:hint="eastAsia" w:ascii="Times New Roman" w:hAnsi="Times New Roman" w:eastAsia="宋体" w:cs="Times New Roman"/>
                <w:b w:val="0"/>
                <w:bCs w:val="0"/>
                <w:color w:val="auto"/>
                <w:kern w:val="2"/>
                <w:sz w:val="24"/>
                <w:szCs w:val="24"/>
                <w:highlight w:val="none"/>
                <w:u w:val="none" w:color="auto"/>
                <w:lang w:val="en-US" w:eastAsia="zh-CN" w:bidi="ar-SA"/>
              </w:rPr>
              <w:t>本项目设置1台</w:t>
            </w:r>
            <w:r>
              <w:rPr>
                <w:rFonts w:hint="eastAsia" w:cs="Times New Roman"/>
                <w:b w:val="0"/>
                <w:bCs w:val="0"/>
                <w:color w:val="auto"/>
                <w:kern w:val="2"/>
                <w:sz w:val="24"/>
                <w:szCs w:val="24"/>
                <w:highlight w:val="none"/>
                <w:u w:val="none" w:color="auto"/>
                <w:lang w:val="en-US" w:eastAsia="zh-CN" w:bidi="ar-SA"/>
              </w:rPr>
              <w:t>3蒸吨生物质锅炉，使用专用炉具和生物质燃料，不掺烧其他燃料，锅炉废气经旋风除尘+布袋除尘器处理达标后有组织排放。</w:t>
            </w:r>
            <w:r>
              <w:rPr>
                <w:rFonts w:hint="eastAsia" w:ascii="Times New Roman" w:hAnsi="Times New Roman" w:eastAsia="宋体" w:cs="Times New Roman"/>
                <w:b w:val="0"/>
                <w:bCs w:val="0"/>
                <w:color w:val="auto"/>
                <w:kern w:val="2"/>
                <w:sz w:val="24"/>
                <w:szCs w:val="24"/>
                <w:highlight w:val="none"/>
                <w:u w:val="none" w:color="auto"/>
                <w:lang w:val="en-US" w:eastAsia="zh-CN" w:bidi="ar-SA"/>
              </w:rPr>
              <w:t>综上，本项目符合《湖南省工业治理领域大气污染防治攻坚实施方案》（湘环发〔2023〕63号）相关要求。</w:t>
            </w:r>
          </w:p>
          <w:p w14:paraId="5E288CF7">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snapToGrid w:val="0"/>
              <w:spacing w:before="0" w:beforeAutospacing="0" w:after="0" w:afterAutospacing="0"/>
              <w:ind w:left="0" w:right="0" w:rightChars="0"/>
              <w:textAlignment w:val="auto"/>
              <w:outlineLvl w:val="9"/>
              <w:rPr>
                <w:rFonts w:hint="eastAsia" w:ascii="Times New Roman" w:hAnsi="Times New Roman" w:eastAsia="宋体" w:cs="Times New Roman"/>
                <w:b/>
                <w:bCs/>
                <w:color w:val="000000" w:themeColor="text1"/>
                <w:sz w:val="24"/>
                <w:lang w:val="en-US" w:eastAsia="zh-CN"/>
                <w14:textFill>
                  <w14:solidFill>
                    <w14:schemeClr w14:val="tx1"/>
                  </w14:solidFill>
                </w14:textFill>
              </w:rPr>
            </w:pPr>
            <w:r>
              <w:rPr>
                <w:rFonts w:hint="eastAsia" w:ascii="Times New Roman" w:hAnsi="Times New Roman" w:eastAsia="宋体" w:cs="Times New Roman"/>
                <w:b/>
                <w:bCs/>
                <w:color w:val="000000" w:themeColor="text1"/>
                <w:kern w:val="2"/>
                <w:sz w:val="24"/>
                <w:szCs w:val="24"/>
                <w:lang w:val="en-US" w:eastAsia="zh-CN" w:bidi="ar-SA"/>
                <w14:textFill>
                  <w14:solidFill>
                    <w14:schemeClr w14:val="tx1"/>
                  </w14:solidFill>
                </w14:textFill>
              </w:rPr>
              <w:t>11、</w:t>
            </w:r>
            <w:r>
              <w:rPr>
                <w:rFonts w:hint="eastAsia" w:ascii="Times New Roman" w:hAnsi="Times New Roman" w:eastAsia="宋体" w:cs="Times New Roman"/>
                <w:b/>
                <w:bCs/>
                <w:color w:val="000000" w:themeColor="text1"/>
                <w:sz w:val="24"/>
                <w:lang w:val="en-US" w:eastAsia="zh-CN"/>
                <w14:textFill>
                  <w14:solidFill>
                    <w14:schemeClr w14:val="tx1"/>
                  </w14:solidFill>
                </w14:textFill>
              </w:rPr>
              <w:t>与生态环境准入清单相符性分析</w:t>
            </w:r>
          </w:p>
          <w:p w14:paraId="7DA21F58">
            <w:pPr>
              <w:keepNext w:val="0"/>
              <w:keepLines w:val="0"/>
              <w:numPr>
                <w:ilvl w:val="0"/>
                <w:numId w:val="0"/>
              </w:numPr>
              <w:suppressLineNumbers w:val="0"/>
              <w:bidi w:val="0"/>
              <w:spacing w:before="0" w:beforeAutospacing="0" w:after="0" w:afterAutospacing="0"/>
              <w:ind w:left="0" w:right="0" w:firstLine="480" w:firstLineChars="200"/>
              <w:rPr>
                <w:rFonts w:hint="eastAsia" w:cs="Times New Roman"/>
                <w:color w:val="auto"/>
                <w:highlight w:val="yellow"/>
                <w:lang w:val="en-US" w:eastAsia="zh-CN"/>
              </w:rPr>
            </w:pPr>
            <w:r>
              <w:rPr>
                <w:rFonts w:hint="default" w:ascii="Times New Roman" w:hAnsi="Times New Roman" w:eastAsia="宋体" w:cs="Times New Roman"/>
                <w:color w:val="000000" w:themeColor="text1"/>
                <w14:textFill>
                  <w14:solidFill>
                    <w14:schemeClr w14:val="tx1"/>
                  </w14:solidFill>
                </w14:textFill>
              </w:rPr>
              <w:t>本项目建设地点位于</w:t>
            </w:r>
            <w:r>
              <w:rPr>
                <w:rFonts w:hint="default" w:ascii="Times New Roman" w:hAnsi="Times New Roman" w:eastAsia="宋体" w:cs="Times New Roman"/>
                <w:color w:val="000000" w:themeColor="text1"/>
                <w:sz w:val="24"/>
                <w:lang w:val="en-US" w:eastAsia="zh-CN"/>
                <w14:textFill>
                  <w14:solidFill>
                    <w14:schemeClr w14:val="tx1"/>
                  </w14:solidFill>
                </w14:textFill>
              </w:rPr>
              <w:t>湖南省</w:t>
            </w:r>
            <w:r>
              <w:rPr>
                <w:rFonts w:hint="default" w:ascii="Times New Roman" w:hAnsi="Times New Roman" w:eastAsia="宋体" w:cs="Times New Roman"/>
                <w:color w:val="000000" w:themeColor="text1"/>
                <w:sz w:val="24"/>
                <w:lang w:eastAsia="zh-CN"/>
                <w14:textFill>
                  <w14:solidFill>
                    <w14:schemeClr w14:val="tx1"/>
                  </w14:solidFill>
                </w14:textFill>
              </w:rPr>
              <w:t>衡阳市祁东县</w:t>
            </w:r>
            <w:r>
              <w:rPr>
                <w:rFonts w:hint="eastAsia" w:ascii="Times New Roman" w:hAnsi="Times New Roman" w:eastAsia="宋体" w:cs="Times New Roman"/>
                <w:color w:val="000000" w:themeColor="text1"/>
                <w:sz w:val="24"/>
                <w:lang w:val="en-US" w:eastAsia="zh-CN"/>
                <w14:textFill>
                  <w14:solidFill>
                    <w14:schemeClr w14:val="tx1"/>
                  </w14:solidFill>
                </w14:textFill>
              </w:rPr>
              <w:t>官家嘴镇官家嘴村</w:t>
            </w:r>
            <w:r>
              <w:rPr>
                <w:rFonts w:hint="default"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lang w:val="en-US" w:eastAsia="zh-CN"/>
                <w14:textFill>
                  <w14:solidFill>
                    <w14:schemeClr w14:val="tx1"/>
                  </w14:solidFill>
                </w14:textFill>
              </w:rPr>
              <w:t>根据</w:t>
            </w:r>
            <w:r>
              <w:rPr>
                <w:rFonts w:hint="eastAsia" w:ascii="Times New Roman" w:hAnsi="Times New Roman" w:eastAsia="宋体" w:cs="Times New Roman"/>
                <w:color w:val="000000" w:themeColor="text1"/>
                <w:lang w:val="en-US" w:eastAsia="zh-CN"/>
                <w14:textFill>
                  <w14:solidFill>
                    <w14:schemeClr w14:val="tx1"/>
                  </w14:solidFill>
                </w14:textFill>
              </w:rPr>
              <w:t>衡阳市生态环境局《关于发布衡阳市生态环境分区管控更新成果（2023年版）的通知》（衡环发[2024]194号）</w:t>
            </w:r>
            <w:r>
              <w:rPr>
                <w:rFonts w:hint="default" w:ascii="Times New Roman" w:hAnsi="Times New Roman" w:eastAsia="宋体" w:cs="Times New Roman"/>
                <w:color w:val="000000" w:themeColor="text1"/>
                <w:lang w:val="en-US" w:eastAsia="zh-CN"/>
                <w14:textFill>
                  <w14:solidFill>
                    <w14:schemeClr w14:val="tx1"/>
                  </w14:solidFill>
                </w14:textFill>
              </w:rPr>
              <w:t>，</w:t>
            </w:r>
            <w:r>
              <w:rPr>
                <w:rFonts w:hint="default" w:ascii="Times New Roman" w:hAnsi="Times New Roman" w:eastAsia="宋体" w:cs="Times New Roman"/>
                <w:color w:val="000000" w:themeColor="text1"/>
                <w:sz w:val="24"/>
                <w:lang w:val="en-US" w:eastAsia="zh-CN"/>
                <w14:textFill>
                  <w14:solidFill>
                    <w14:schemeClr w14:val="tx1"/>
                  </w14:solidFill>
                </w14:textFill>
              </w:rPr>
              <w:t>湖南省衡阳市祁东县</w:t>
            </w:r>
            <w:r>
              <w:rPr>
                <w:rFonts w:hint="eastAsia" w:ascii="Times New Roman" w:hAnsi="Times New Roman" w:eastAsia="宋体" w:cs="Times New Roman"/>
                <w:color w:val="000000" w:themeColor="text1"/>
                <w:sz w:val="24"/>
                <w:lang w:val="en-US" w:eastAsia="zh-CN"/>
                <w14:textFill>
                  <w14:solidFill>
                    <w14:schemeClr w14:val="tx1"/>
                  </w14:solidFill>
                </w14:textFill>
              </w:rPr>
              <w:t>官家嘴镇</w:t>
            </w:r>
            <w:r>
              <w:rPr>
                <w:rFonts w:hint="default" w:ascii="Times New Roman" w:hAnsi="Times New Roman" w:eastAsia="宋体" w:cs="Times New Roman"/>
                <w:color w:val="000000" w:themeColor="text1"/>
                <w14:textFill>
                  <w14:solidFill>
                    <w14:schemeClr w14:val="tx1"/>
                  </w14:solidFill>
                </w14:textFill>
              </w:rPr>
              <w:t>属于</w:t>
            </w:r>
            <w:r>
              <w:rPr>
                <w:rFonts w:hint="eastAsia" w:ascii="Times New Roman" w:hAnsi="Times New Roman" w:eastAsia="宋体" w:cs="Times New Roman"/>
                <w:color w:val="000000" w:themeColor="text1"/>
                <w:lang w:val="en-US" w:eastAsia="zh-CN"/>
                <w14:textFill>
                  <w14:solidFill>
                    <w14:schemeClr w14:val="tx1"/>
                  </w14:solidFill>
                </w14:textFill>
              </w:rPr>
              <w:t>重点</w:t>
            </w:r>
            <w:r>
              <w:rPr>
                <w:rFonts w:hint="default" w:ascii="Times New Roman" w:hAnsi="Times New Roman" w:eastAsia="宋体" w:cs="Times New Roman"/>
                <w:color w:val="000000" w:themeColor="text1"/>
                <w14:textFill>
                  <w14:solidFill>
                    <w14:schemeClr w14:val="tx1"/>
                  </w14:solidFill>
                </w14:textFill>
              </w:rPr>
              <w:t>管控单元</w:t>
            </w:r>
            <w:r>
              <w:rPr>
                <w:rFonts w:hint="eastAsia" w:ascii="Times New Roman" w:hAnsi="Times New Roman" w:eastAsia="宋体" w:cs="Times New Roman"/>
                <w:color w:val="000000" w:themeColor="text1"/>
                <w:lang w:eastAsia="zh-CN"/>
                <w14:textFill>
                  <w14:solidFill>
                    <w14:schemeClr w14:val="tx1"/>
                  </w14:solidFill>
                </w14:textFill>
              </w:rPr>
              <w:t>。</w:t>
            </w:r>
          </w:p>
          <w:p w14:paraId="215D47E2">
            <w:pPr>
              <w:keepNext w:val="0"/>
              <w:keepLines w:val="0"/>
              <w:numPr>
                <w:ilvl w:val="0"/>
                <w:numId w:val="0"/>
              </w:numPr>
              <w:suppressLineNumbers w:val="0"/>
              <w:bidi w:val="0"/>
              <w:spacing w:before="0" w:beforeAutospacing="0" w:after="0" w:afterAutospacing="0"/>
              <w:ind w:left="0" w:right="0" w:firstLine="480" w:firstLineChars="200"/>
              <w:rPr>
                <w:rFonts w:hint="eastAsia" w:cs="Times New Roman"/>
                <w:color w:val="auto"/>
                <w:highlight w:val="none"/>
                <w:u w:val="none"/>
                <w:shd w:val="clear"/>
                <w:lang w:val="en-US" w:eastAsia="zh-CN"/>
              </w:rPr>
            </w:pPr>
            <w:r>
              <w:rPr>
                <w:rFonts w:hint="eastAsia" w:cs="Times New Roman"/>
                <w:color w:val="auto"/>
                <w:highlight w:val="none"/>
                <w:u w:val="none"/>
                <w:shd w:val="clear"/>
                <w:lang w:val="en-US" w:eastAsia="zh-CN"/>
              </w:rPr>
              <w:t>本项目与祁东县官家嘴镇生态环境准入清单相符性具体分析见表1-5。</w:t>
            </w:r>
          </w:p>
          <w:p w14:paraId="3A95C5C9">
            <w:pPr>
              <w:keepNext w:val="0"/>
              <w:keepLines w:val="0"/>
              <w:numPr>
                <w:ilvl w:val="0"/>
                <w:numId w:val="0"/>
              </w:numPr>
              <w:suppressLineNumbers w:val="0"/>
              <w:bidi w:val="0"/>
              <w:spacing w:before="0" w:beforeAutospacing="0" w:after="0" w:afterAutospacing="0"/>
              <w:ind w:left="0" w:right="0" w:firstLine="480" w:firstLineChars="200"/>
              <w:rPr>
                <w:rFonts w:hint="eastAsia" w:cs="Times New Roman"/>
                <w:color w:val="auto"/>
                <w:highlight w:val="none"/>
                <w:u w:val="none"/>
                <w:lang w:val="en-US" w:eastAsia="zh-CN"/>
              </w:rPr>
            </w:pPr>
            <w:r>
              <w:rPr>
                <w:rFonts w:hint="eastAsia" w:cs="Times New Roman"/>
                <w:color w:val="auto"/>
                <w:highlight w:val="none"/>
                <w:u w:val="none"/>
                <w:lang w:val="en-US" w:eastAsia="zh-CN"/>
              </w:rPr>
              <w:t>根据分析，本项目建设符合</w:t>
            </w:r>
            <w:r>
              <w:rPr>
                <w:rFonts w:hint="eastAsia" w:cs="Times New Roman"/>
                <w:color w:val="auto"/>
                <w:highlight w:val="none"/>
                <w:u w:val="none"/>
                <w:shd w:val="clear"/>
                <w:lang w:val="en-US" w:eastAsia="zh-CN"/>
              </w:rPr>
              <w:t>祁东县官家嘴镇生态环境准入清单</w:t>
            </w:r>
            <w:r>
              <w:rPr>
                <w:rFonts w:hint="eastAsia" w:cs="Times New Roman"/>
                <w:color w:val="auto"/>
                <w:highlight w:val="none"/>
                <w:u w:val="none"/>
                <w:lang w:val="en-US" w:eastAsia="zh-CN"/>
              </w:rPr>
              <w:t>相关管控要求。</w:t>
            </w:r>
          </w:p>
          <w:bookmarkEnd w:id="7"/>
          <w:p w14:paraId="4EEDFAA6">
            <w:pPr>
              <w:keepNext w:val="0"/>
              <w:keepLines w:val="0"/>
              <w:suppressLineNumbers w:val="0"/>
              <w:bidi w:val="0"/>
              <w:spacing w:before="0" w:beforeAutospacing="0" w:after="0" w:afterAutospacing="0"/>
              <w:ind w:left="0" w:right="0" w:firstLine="0" w:firstLineChars="0"/>
              <w:rPr>
                <w:rFonts w:hint="default" w:cs="Times New Roman"/>
                <w:color w:val="auto"/>
                <w:highlight w:val="yellow"/>
                <w:lang w:val="en-US" w:eastAsia="zh-CN"/>
              </w:rPr>
            </w:pPr>
          </w:p>
        </w:tc>
      </w:tr>
    </w:tbl>
    <w:p w14:paraId="3ACAC44E">
      <w:pPr>
        <w:spacing w:line="360" w:lineRule="auto"/>
        <w:outlineLvl w:val="9"/>
        <w:rPr>
          <w:rFonts w:eastAsia="黑体"/>
          <w:color w:val="auto"/>
          <w:sz w:val="30"/>
          <w:highlight w:val="yellow"/>
        </w:rPr>
        <w:sectPr>
          <w:footerReference r:id="rId11" w:type="default"/>
          <w:pgSz w:w="11906" w:h="16838"/>
          <w:pgMar w:top="1701" w:right="1531" w:bottom="1701" w:left="1531" w:header="851" w:footer="1077" w:gutter="0"/>
          <w:pgBorders>
            <w:top w:val="none" w:sz="0" w:space="0"/>
            <w:left w:val="none" w:sz="0" w:space="0"/>
            <w:bottom w:val="none" w:sz="0" w:space="0"/>
            <w:right w:val="none" w:sz="0" w:space="0"/>
          </w:pgBorders>
          <w:pgNumType w:fmt="decimal" w:start="1"/>
          <w:cols w:space="720" w:num="1"/>
          <w:docGrid w:linePitch="312" w:charSpace="0"/>
        </w:sectPr>
      </w:pPr>
    </w:p>
    <w:p w14:paraId="1712D8D5">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snapToGrid w:val="0"/>
        <w:spacing w:before="0" w:beforeAutospacing="0" w:after="0" w:afterAutospacing="0" w:line="240" w:lineRule="auto"/>
        <w:ind w:right="0" w:rightChars="0"/>
        <w:jc w:val="center"/>
        <w:textAlignment w:val="auto"/>
        <w:outlineLvl w:val="9"/>
        <w:rPr>
          <w:rFonts w:hint="eastAsia" w:cs="Times New Roman"/>
          <w:b/>
          <w:bCs/>
          <w:color w:val="000000" w:themeColor="text1"/>
          <w:sz w:val="21"/>
          <w:szCs w:val="21"/>
          <w:lang w:val="en-US" w:eastAsia="zh-CN"/>
          <w14:textFill>
            <w14:solidFill>
              <w14:schemeClr w14:val="tx1"/>
            </w14:solidFill>
          </w14:textFill>
        </w:rPr>
      </w:pPr>
      <w:r>
        <w:rPr>
          <w:rFonts w:hint="eastAsia" w:cs="Times New Roman"/>
          <w:b/>
          <w:bCs/>
          <w:color w:val="000000" w:themeColor="text1"/>
          <w:sz w:val="21"/>
          <w:szCs w:val="21"/>
          <w:lang w:val="en-US" w:eastAsia="zh-CN"/>
          <w14:textFill>
            <w14:solidFill>
              <w14:schemeClr w14:val="tx1"/>
            </w14:solidFill>
          </w14:textFill>
        </w:rPr>
        <w:t>表1-5 本项目与祁东县官家嘴镇生态环境准入清单相符性分析</w:t>
      </w:r>
    </w:p>
    <w:tbl>
      <w:tblPr>
        <w:tblStyle w:val="29"/>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030"/>
        <w:gridCol w:w="690"/>
        <w:gridCol w:w="662"/>
        <w:gridCol w:w="513"/>
        <w:gridCol w:w="595"/>
        <w:gridCol w:w="689"/>
        <w:gridCol w:w="757"/>
        <w:gridCol w:w="1027"/>
        <w:gridCol w:w="770"/>
        <w:gridCol w:w="1554"/>
        <w:gridCol w:w="1676"/>
        <w:gridCol w:w="2431"/>
        <w:gridCol w:w="1089"/>
      </w:tblGrid>
      <w:tr w14:paraId="4F9FF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81" w:type="pct"/>
            <w:vMerge w:val="restart"/>
            <w:noWrap w:val="0"/>
            <w:vAlign w:val="center"/>
          </w:tcPr>
          <w:p w14:paraId="039F8323">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环境管控单元编码</w:t>
            </w:r>
          </w:p>
        </w:tc>
        <w:tc>
          <w:tcPr>
            <w:tcW w:w="255" w:type="pct"/>
            <w:vMerge w:val="restart"/>
            <w:noWrap w:val="0"/>
            <w:vAlign w:val="center"/>
          </w:tcPr>
          <w:p w14:paraId="13052663">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单元名称</w:t>
            </w:r>
          </w:p>
        </w:tc>
        <w:tc>
          <w:tcPr>
            <w:tcW w:w="656" w:type="pct"/>
            <w:gridSpan w:val="3"/>
            <w:noWrap w:val="0"/>
            <w:vAlign w:val="center"/>
          </w:tcPr>
          <w:p w14:paraId="0AA8F550">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行政区划</w:t>
            </w:r>
          </w:p>
        </w:tc>
        <w:tc>
          <w:tcPr>
            <w:tcW w:w="255" w:type="pct"/>
            <w:vMerge w:val="restart"/>
            <w:noWrap w:val="0"/>
            <w:vAlign w:val="center"/>
          </w:tcPr>
          <w:p w14:paraId="0009E8ED">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单元</w:t>
            </w:r>
          </w:p>
          <w:p w14:paraId="6BFF2BC4">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分类</w:t>
            </w:r>
          </w:p>
        </w:tc>
        <w:tc>
          <w:tcPr>
            <w:tcW w:w="280" w:type="pct"/>
            <w:vMerge w:val="restart"/>
            <w:noWrap w:val="0"/>
            <w:vAlign w:val="center"/>
          </w:tcPr>
          <w:p w14:paraId="1F65CDAC">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单元面积（km</w:t>
            </w:r>
            <w:r>
              <w:rPr>
                <w:rFonts w:hint="default" w:ascii="Times New Roman" w:hAnsi="Times New Roman" w:eastAsia="宋体" w:cs="Times New Roman"/>
                <w:b/>
                <w:kern w:val="0"/>
                <w:sz w:val="21"/>
                <w:szCs w:val="21"/>
                <w:highlight w:val="none"/>
                <w:vertAlign w:val="superscript"/>
              </w:rPr>
              <w:t>2</w:t>
            </w:r>
            <w:r>
              <w:rPr>
                <w:rFonts w:hint="default" w:ascii="Times New Roman" w:hAnsi="Times New Roman" w:eastAsia="宋体" w:cs="Times New Roman"/>
                <w:b/>
                <w:kern w:val="0"/>
                <w:sz w:val="21"/>
                <w:szCs w:val="21"/>
                <w:highlight w:val="none"/>
              </w:rPr>
              <w:t>）</w:t>
            </w:r>
          </w:p>
        </w:tc>
        <w:tc>
          <w:tcPr>
            <w:tcW w:w="380" w:type="pct"/>
            <w:vMerge w:val="restart"/>
            <w:noWrap w:val="0"/>
            <w:vAlign w:val="center"/>
          </w:tcPr>
          <w:p w14:paraId="1D11D166">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涉及乡镇（街道）</w:t>
            </w:r>
          </w:p>
        </w:tc>
        <w:tc>
          <w:tcPr>
            <w:tcW w:w="285" w:type="pct"/>
            <w:vMerge w:val="restart"/>
            <w:noWrap w:val="0"/>
            <w:vAlign w:val="center"/>
          </w:tcPr>
          <w:p w14:paraId="0F024AA9">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主体功能</w:t>
            </w:r>
          </w:p>
          <w:p w14:paraId="5749477B">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定位</w:t>
            </w:r>
          </w:p>
        </w:tc>
        <w:tc>
          <w:tcPr>
            <w:tcW w:w="576" w:type="pct"/>
            <w:vMerge w:val="restart"/>
            <w:noWrap w:val="0"/>
            <w:vAlign w:val="center"/>
          </w:tcPr>
          <w:p w14:paraId="1CECAD10">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经济产业布局</w:t>
            </w:r>
          </w:p>
        </w:tc>
        <w:tc>
          <w:tcPr>
            <w:tcW w:w="621" w:type="pct"/>
            <w:vMerge w:val="restart"/>
            <w:noWrap w:val="0"/>
            <w:vAlign w:val="center"/>
          </w:tcPr>
          <w:p w14:paraId="5C608BAE">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lang w:eastAsia="zh-CN"/>
              </w:rPr>
            </w:pPr>
            <w:r>
              <w:rPr>
                <w:rFonts w:hint="default" w:ascii="Times New Roman" w:hAnsi="Times New Roman" w:eastAsia="宋体" w:cs="Times New Roman"/>
                <w:b/>
                <w:kern w:val="0"/>
                <w:sz w:val="21"/>
                <w:szCs w:val="21"/>
                <w:highlight w:val="none"/>
                <w:lang w:eastAsia="zh-CN"/>
              </w:rPr>
              <w:t>主要环境问题及重要敏感目标</w:t>
            </w:r>
          </w:p>
        </w:tc>
        <w:tc>
          <w:tcPr>
            <w:tcW w:w="901" w:type="pct"/>
            <w:vMerge w:val="restart"/>
            <w:noWrap w:val="0"/>
            <w:vAlign w:val="center"/>
          </w:tcPr>
          <w:p w14:paraId="73AB18C4">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lang w:val="en-US" w:eastAsia="zh-CN"/>
              </w:rPr>
            </w:pPr>
            <w:r>
              <w:rPr>
                <w:rFonts w:hint="default" w:ascii="Times New Roman" w:hAnsi="Times New Roman" w:eastAsia="宋体" w:cs="Times New Roman"/>
                <w:b/>
                <w:kern w:val="0"/>
                <w:sz w:val="21"/>
                <w:szCs w:val="21"/>
                <w:highlight w:val="none"/>
                <w:lang w:val="en-US" w:eastAsia="zh-CN"/>
              </w:rPr>
              <w:t>本项目情况</w:t>
            </w:r>
          </w:p>
        </w:tc>
        <w:tc>
          <w:tcPr>
            <w:tcW w:w="403" w:type="pct"/>
            <w:vMerge w:val="restart"/>
            <w:noWrap w:val="0"/>
            <w:vAlign w:val="center"/>
          </w:tcPr>
          <w:p w14:paraId="4AC7DAFA">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lang w:val="en-US" w:eastAsia="zh-CN"/>
              </w:rPr>
            </w:pPr>
            <w:r>
              <w:rPr>
                <w:rFonts w:hint="default" w:ascii="Times New Roman" w:hAnsi="Times New Roman" w:eastAsia="宋体" w:cs="Times New Roman"/>
                <w:b/>
                <w:kern w:val="0"/>
                <w:sz w:val="21"/>
                <w:szCs w:val="21"/>
                <w:highlight w:val="none"/>
                <w:lang w:val="en-US" w:eastAsia="zh-CN"/>
              </w:rPr>
              <w:t>相符性</w:t>
            </w:r>
          </w:p>
        </w:tc>
      </w:tr>
      <w:tr w14:paraId="6112D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381" w:type="pct"/>
            <w:vMerge w:val="continue"/>
            <w:noWrap w:val="0"/>
            <w:vAlign w:val="center"/>
          </w:tcPr>
          <w:p w14:paraId="4592E0A3">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c>
          <w:tcPr>
            <w:tcW w:w="255" w:type="pct"/>
            <w:vMerge w:val="continue"/>
            <w:noWrap w:val="0"/>
            <w:vAlign w:val="center"/>
          </w:tcPr>
          <w:p w14:paraId="358C5045">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c>
          <w:tcPr>
            <w:tcW w:w="245" w:type="pct"/>
            <w:noWrap w:val="0"/>
            <w:vAlign w:val="center"/>
          </w:tcPr>
          <w:p w14:paraId="36F594E6">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省</w:t>
            </w:r>
          </w:p>
        </w:tc>
        <w:tc>
          <w:tcPr>
            <w:tcW w:w="190" w:type="pct"/>
            <w:noWrap w:val="0"/>
            <w:vAlign w:val="center"/>
          </w:tcPr>
          <w:p w14:paraId="2C81FD05">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市</w:t>
            </w:r>
          </w:p>
        </w:tc>
        <w:tc>
          <w:tcPr>
            <w:tcW w:w="220" w:type="pct"/>
            <w:noWrap w:val="0"/>
            <w:vAlign w:val="center"/>
          </w:tcPr>
          <w:p w14:paraId="6974517D">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县</w:t>
            </w:r>
          </w:p>
        </w:tc>
        <w:tc>
          <w:tcPr>
            <w:tcW w:w="255" w:type="pct"/>
            <w:vMerge w:val="continue"/>
            <w:noWrap w:val="0"/>
            <w:vAlign w:val="center"/>
          </w:tcPr>
          <w:p w14:paraId="67024F23">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c>
          <w:tcPr>
            <w:tcW w:w="280" w:type="pct"/>
            <w:vMerge w:val="continue"/>
            <w:noWrap w:val="0"/>
            <w:vAlign w:val="center"/>
          </w:tcPr>
          <w:p w14:paraId="506472F3">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c>
          <w:tcPr>
            <w:tcW w:w="380" w:type="pct"/>
            <w:vMerge w:val="continue"/>
            <w:noWrap w:val="0"/>
            <w:vAlign w:val="center"/>
          </w:tcPr>
          <w:p w14:paraId="34E682C2">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c>
          <w:tcPr>
            <w:tcW w:w="285" w:type="pct"/>
            <w:vMerge w:val="continue"/>
            <w:noWrap w:val="0"/>
            <w:vAlign w:val="center"/>
          </w:tcPr>
          <w:p w14:paraId="258AA102">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c>
          <w:tcPr>
            <w:tcW w:w="576" w:type="pct"/>
            <w:vMerge w:val="continue"/>
            <w:noWrap w:val="0"/>
            <w:vAlign w:val="center"/>
          </w:tcPr>
          <w:p w14:paraId="5933EC66">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c>
          <w:tcPr>
            <w:tcW w:w="621" w:type="pct"/>
            <w:vMerge w:val="continue"/>
            <w:noWrap w:val="0"/>
            <w:vAlign w:val="top"/>
          </w:tcPr>
          <w:p w14:paraId="5CA19028">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c>
          <w:tcPr>
            <w:tcW w:w="901" w:type="pct"/>
            <w:vMerge w:val="continue"/>
            <w:noWrap w:val="0"/>
            <w:vAlign w:val="top"/>
          </w:tcPr>
          <w:p w14:paraId="6B3F7E94">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c>
          <w:tcPr>
            <w:tcW w:w="403" w:type="pct"/>
            <w:vMerge w:val="continue"/>
            <w:noWrap w:val="0"/>
            <w:vAlign w:val="top"/>
          </w:tcPr>
          <w:p w14:paraId="4DC36598">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tc>
      </w:tr>
      <w:tr w14:paraId="14CBA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88" w:hRule="atLeast"/>
          <w:jc w:val="center"/>
        </w:trPr>
        <w:tc>
          <w:tcPr>
            <w:tcW w:w="381" w:type="pct"/>
            <w:noWrap w:val="0"/>
            <w:vAlign w:val="center"/>
          </w:tcPr>
          <w:p w14:paraId="5FC88ECB">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ZH43042620001</w:t>
            </w:r>
          </w:p>
        </w:tc>
        <w:tc>
          <w:tcPr>
            <w:tcW w:w="255" w:type="pct"/>
            <w:noWrap w:val="0"/>
            <w:vAlign w:val="center"/>
          </w:tcPr>
          <w:p w14:paraId="5C1F3B99">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官家嘴镇</w:t>
            </w:r>
          </w:p>
        </w:tc>
        <w:tc>
          <w:tcPr>
            <w:tcW w:w="245" w:type="pct"/>
            <w:noWrap w:val="0"/>
            <w:vAlign w:val="center"/>
          </w:tcPr>
          <w:p w14:paraId="70B05CB6">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湖南省</w:t>
            </w:r>
          </w:p>
        </w:tc>
        <w:tc>
          <w:tcPr>
            <w:tcW w:w="190" w:type="pct"/>
            <w:noWrap w:val="0"/>
            <w:vAlign w:val="center"/>
          </w:tcPr>
          <w:p w14:paraId="2AF1C6F9">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衡阳市</w:t>
            </w:r>
          </w:p>
        </w:tc>
        <w:tc>
          <w:tcPr>
            <w:tcW w:w="220" w:type="pct"/>
            <w:noWrap w:val="0"/>
            <w:vAlign w:val="center"/>
          </w:tcPr>
          <w:p w14:paraId="41CCCEF8">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祁东县</w:t>
            </w:r>
          </w:p>
        </w:tc>
        <w:tc>
          <w:tcPr>
            <w:tcW w:w="255" w:type="pct"/>
            <w:noWrap w:val="0"/>
            <w:vAlign w:val="center"/>
          </w:tcPr>
          <w:p w14:paraId="3779EBB6">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重点管控单元</w:t>
            </w:r>
          </w:p>
        </w:tc>
        <w:tc>
          <w:tcPr>
            <w:tcW w:w="280" w:type="pct"/>
            <w:noWrap w:val="0"/>
            <w:vAlign w:val="center"/>
          </w:tcPr>
          <w:p w14:paraId="5C154166">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lang w:val="en-US" w:eastAsia="zh-CN"/>
              </w:rPr>
            </w:pPr>
            <w:r>
              <w:rPr>
                <w:rFonts w:hint="default" w:ascii="Times New Roman" w:hAnsi="Times New Roman" w:eastAsia="宋体" w:cs="Times New Roman"/>
                <w:kern w:val="0"/>
                <w:sz w:val="21"/>
                <w:szCs w:val="21"/>
                <w:highlight w:val="none"/>
                <w:lang w:val="en-US" w:eastAsia="zh-CN"/>
              </w:rPr>
              <w:t>93.74</w:t>
            </w:r>
          </w:p>
        </w:tc>
        <w:tc>
          <w:tcPr>
            <w:tcW w:w="380" w:type="pct"/>
            <w:noWrap w:val="0"/>
            <w:vAlign w:val="center"/>
          </w:tcPr>
          <w:p w14:paraId="64CA4283">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官家嘴镇</w:t>
            </w:r>
          </w:p>
        </w:tc>
        <w:tc>
          <w:tcPr>
            <w:tcW w:w="285" w:type="pct"/>
            <w:noWrap w:val="0"/>
            <w:vAlign w:val="center"/>
          </w:tcPr>
          <w:p w14:paraId="7CFB5A30">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p>
          <w:p w14:paraId="6A55E142">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农产品主产区</w:t>
            </w:r>
          </w:p>
        </w:tc>
        <w:tc>
          <w:tcPr>
            <w:tcW w:w="576" w:type="pct"/>
            <w:noWrap w:val="0"/>
            <w:vAlign w:val="center"/>
          </w:tcPr>
          <w:p w14:paraId="0C12D0C8">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矿产资源开采、建材、农副产品加工、烟花</w:t>
            </w:r>
            <w:r>
              <w:rPr>
                <w:rFonts w:hint="default" w:ascii="Times New Roman" w:hAnsi="Times New Roman" w:cs="Times New Roman"/>
                <w:kern w:val="0"/>
                <w:sz w:val="21"/>
                <w:szCs w:val="21"/>
                <w:highlight w:val="none"/>
                <w:lang w:eastAsia="zh-CN"/>
              </w:rPr>
              <w:t>爆</w:t>
            </w:r>
            <w:r>
              <w:rPr>
                <w:rFonts w:hint="default" w:ascii="Times New Roman" w:hAnsi="Times New Roman" w:eastAsia="宋体" w:cs="Times New Roman"/>
                <w:kern w:val="0"/>
                <w:sz w:val="21"/>
                <w:szCs w:val="21"/>
                <w:highlight w:val="none"/>
              </w:rPr>
              <w:t>竹、物流、旅游、生态农业、畜禽养殖等。</w:t>
            </w:r>
          </w:p>
        </w:tc>
        <w:tc>
          <w:tcPr>
            <w:tcW w:w="621" w:type="pct"/>
            <w:noWrap w:val="0"/>
            <w:vAlign w:val="center"/>
          </w:tcPr>
          <w:p w14:paraId="42AA191C">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乡镇污水</w:t>
            </w:r>
            <w:r>
              <w:rPr>
                <w:rFonts w:hint="default" w:ascii="Times New Roman" w:hAnsi="Times New Roman" w:eastAsia="宋体" w:cs="Times New Roman"/>
                <w:kern w:val="0"/>
                <w:sz w:val="21"/>
                <w:szCs w:val="21"/>
                <w:highlight w:val="none"/>
                <w:lang w:val="en-US" w:eastAsia="zh-CN"/>
              </w:rPr>
              <w:t>厂配套</w:t>
            </w:r>
            <w:r>
              <w:rPr>
                <w:rFonts w:hint="default" w:ascii="Times New Roman" w:hAnsi="Times New Roman" w:eastAsia="宋体" w:cs="Times New Roman"/>
                <w:kern w:val="0"/>
                <w:sz w:val="21"/>
                <w:szCs w:val="21"/>
                <w:highlight w:val="none"/>
              </w:rPr>
              <w:t>管网建设不完善，农村垃圾收集处理系统有待完善。</w:t>
            </w:r>
          </w:p>
        </w:tc>
        <w:tc>
          <w:tcPr>
            <w:tcW w:w="901" w:type="pct"/>
            <w:noWrap w:val="0"/>
            <w:vAlign w:val="center"/>
          </w:tcPr>
          <w:p w14:paraId="11581BF8">
            <w:pPr>
              <w:keepNext w:val="0"/>
              <w:keepLines w:val="0"/>
              <w:pageBreakBefore w:val="0"/>
              <w:widowControl/>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本项目为鲜黄花菜加工，属于农副食品加工，符合官家嘴镇的功能定位</w:t>
            </w:r>
          </w:p>
        </w:tc>
        <w:tc>
          <w:tcPr>
            <w:tcW w:w="403" w:type="pct"/>
            <w:noWrap w:val="0"/>
            <w:vAlign w:val="center"/>
          </w:tcPr>
          <w:p w14:paraId="490979D1">
            <w:pPr>
              <w:keepNext w:val="0"/>
              <w:keepLines w:val="0"/>
              <w:pageBreakBefore w:val="0"/>
              <w:widowControl/>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相符</w:t>
            </w:r>
          </w:p>
        </w:tc>
      </w:tr>
      <w:tr w14:paraId="141F4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81" w:type="pct"/>
            <w:noWrap w:val="0"/>
            <w:vAlign w:val="center"/>
          </w:tcPr>
          <w:p w14:paraId="1CE72E1A">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主要属性</w:t>
            </w:r>
          </w:p>
        </w:tc>
        <w:tc>
          <w:tcPr>
            <w:tcW w:w="3312" w:type="pct"/>
            <w:gridSpan w:val="10"/>
            <w:noWrap w:val="0"/>
            <w:vAlign w:val="center"/>
          </w:tcPr>
          <w:p w14:paraId="49A204D3">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left"/>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官家嘴镇</w:t>
            </w:r>
          </w:p>
          <w:p w14:paraId="37D24E90">
            <w:pPr>
              <w:keepNext w:val="0"/>
              <w:keepLines w:val="0"/>
              <w:suppressLineNumbers w:val="0"/>
              <w:kinsoku/>
              <w:wordWrap/>
              <w:overflowPunct/>
              <w:topLinePunct w:val="0"/>
              <w:bidi w:val="0"/>
              <w:spacing w:before="0" w:beforeAutospacing="0" w:after="0" w:afterAutospacing="0" w:line="300" w:lineRule="auto"/>
              <w:ind w:left="0" w:right="0"/>
              <w:textAlignment w:val="auto"/>
              <w:rPr>
                <w:rFonts w:hint="default" w:ascii="Times New Roman" w:hAnsi="Times New Roman" w:eastAsia="宋体" w:cs="Times New Roman"/>
                <w:sz w:val="21"/>
                <w:szCs w:val="21"/>
                <w:highlight w:val="none"/>
                <w:lang w:eastAsia="zh-CN"/>
              </w:rPr>
            </w:pPr>
            <w:r>
              <w:rPr>
                <w:rFonts w:hint="default" w:ascii="Times New Roman" w:hAnsi="Times New Roman" w:eastAsia="宋体" w:cs="Times New Roman"/>
                <w:sz w:val="21"/>
                <w:szCs w:val="21"/>
                <w:highlight w:val="none"/>
                <w:lang w:eastAsia="zh-CN"/>
              </w:rPr>
              <w:t>▉</w:t>
            </w:r>
            <w:r>
              <w:rPr>
                <w:rFonts w:hint="default" w:ascii="Times New Roman" w:hAnsi="Times New Roman" w:eastAsia="宋体" w:cs="Times New Roman"/>
                <w:sz w:val="21"/>
                <w:szCs w:val="21"/>
                <w:highlight w:val="none"/>
              </w:rPr>
              <w:t>红线/一般生态空间</w:t>
            </w:r>
            <w:r>
              <w:rPr>
                <w:rFonts w:hint="default" w:ascii="Times New Roman" w:hAnsi="Times New Roman" w:eastAsia="宋体" w:cs="Times New Roman"/>
                <w:sz w:val="21"/>
                <w:szCs w:val="21"/>
                <w:highlight w:val="none"/>
              </w:rPr>
              <w:tab/>
            </w:r>
            <w:r>
              <w:rPr>
                <w:rFonts w:hint="default" w:ascii="Times New Roman" w:hAnsi="Times New Roman" w:eastAsia="宋体" w:cs="Times New Roman"/>
                <w:sz w:val="21"/>
                <w:szCs w:val="21"/>
                <w:highlight w:val="none"/>
                <w:lang w:eastAsia="zh-CN"/>
              </w:rPr>
              <w:t>生物多样性保护功能重要区/</w:t>
            </w:r>
            <w:r>
              <w:rPr>
                <w:rFonts w:hint="default" w:ascii="Times New Roman" w:hAnsi="Times New Roman" w:eastAsia="宋体" w:cs="Times New Roman"/>
                <w:sz w:val="21"/>
                <w:szCs w:val="21"/>
                <w:highlight w:val="none"/>
              </w:rPr>
              <w:t>水土保持功能重要区</w:t>
            </w:r>
            <w:r>
              <w:rPr>
                <w:rFonts w:hint="default" w:ascii="Times New Roman" w:hAnsi="Times New Roman" w:eastAsia="宋体" w:cs="Times New Roman"/>
                <w:sz w:val="21"/>
                <w:szCs w:val="21"/>
                <w:highlight w:val="none"/>
                <w:lang w:eastAsia="zh-CN"/>
              </w:rPr>
              <w:t>/水土流失敏感区/水源涵养重要区▉</w:t>
            </w:r>
            <w:r>
              <w:rPr>
                <w:rFonts w:hint="default" w:ascii="Times New Roman" w:hAnsi="Times New Roman" w:eastAsia="宋体" w:cs="Times New Roman"/>
                <w:sz w:val="21"/>
                <w:szCs w:val="21"/>
                <w:highlight w:val="none"/>
              </w:rPr>
              <w:t>水环境其他重点管控区</w:t>
            </w:r>
            <w:r>
              <w:rPr>
                <w:rFonts w:hint="default" w:ascii="Times New Roman" w:hAnsi="Times New Roman" w:eastAsia="宋体" w:cs="Times New Roman"/>
                <w:sz w:val="21"/>
                <w:szCs w:val="21"/>
                <w:highlight w:val="none"/>
              </w:rPr>
              <w:tab/>
            </w:r>
            <w:r>
              <w:rPr>
                <w:rFonts w:hint="default" w:ascii="Times New Roman" w:hAnsi="Times New Roman" w:eastAsia="宋体" w:cs="Times New Roman"/>
                <w:sz w:val="21"/>
                <w:szCs w:val="21"/>
                <w:highlight w:val="none"/>
              </w:rPr>
              <w:t>湖南金水塘矿业有限责任公司清水塘铅锌矿</w:t>
            </w:r>
            <w:r>
              <w:rPr>
                <w:rFonts w:hint="default" w:ascii="Times New Roman" w:hAnsi="Times New Roman" w:eastAsia="宋体" w:cs="Times New Roman"/>
                <w:sz w:val="21"/>
                <w:szCs w:val="21"/>
                <w:highlight w:val="none"/>
              </w:rPr>
              <w:tab/>
            </w:r>
          </w:p>
          <w:p w14:paraId="3113EADD">
            <w:pPr>
              <w:keepNext w:val="0"/>
              <w:keepLines w:val="0"/>
              <w:suppressLineNumbers w:val="0"/>
              <w:kinsoku/>
              <w:wordWrap/>
              <w:overflowPunct/>
              <w:topLinePunct w:val="0"/>
              <w:bidi w:val="0"/>
              <w:adjustRightInd w:val="0"/>
              <w:snapToGrid w:val="0"/>
              <w:spacing w:before="0" w:beforeAutospacing="0" w:after="0" w:afterAutospacing="0" w:line="300" w:lineRule="auto"/>
              <w:ind w:left="0" w:right="0"/>
              <w:jc w:val="left"/>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sz w:val="21"/>
                <w:szCs w:val="21"/>
                <w:highlight w:val="none"/>
                <w:lang w:eastAsia="zh-CN"/>
              </w:rPr>
              <w:t>▉</w:t>
            </w:r>
            <w:r>
              <w:rPr>
                <w:rFonts w:hint="default" w:ascii="Times New Roman" w:hAnsi="Times New Roman" w:eastAsia="宋体" w:cs="Times New Roman"/>
                <w:sz w:val="21"/>
                <w:szCs w:val="21"/>
                <w:highlight w:val="none"/>
              </w:rPr>
              <w:t>农用地优先保护区/建设用地重点管控区/其他重点管控区</w:t>
            </w:r>
            <w:r>
              <w:rPr>
                <w:rFonts w:hint="default" w:ascii="Times New Roman" w:hAnsi="Times New Roman" w:eastAsia="宋体" w:cs="Times New Roman"/>
                <w:sz w:val="21"/>
                <w:szCs w:val="21"/>
                <w:highlight w:val="none"/>
              </w:rPr>
              <w:tab/>
            </w:r>
            <w:r>
              <w:rPr>
                <w:rFonts w:hint="default" w:ascii="Times New Roman" w:hAnsi="Times New Roman" w:eastAsia="宋体" w:cs="Times New Roman"/>
                <w:sz w:val="21"/>
                <w:szCs w:val="21"/>
                <w:highlight w:val="none"/>
              </w:rPr>
              <w:t>矿区/中高风险企业用地</w:t>
            </w:r>
          </w:p>
        </w:tc>
        <w:tc>
          <w:tcPr>
            <w:tcW w:w="901" w:type="pct"/>
            <w:noWrap w:val="0"/>
            <w:vAlign w:val="center"/>
          </w:tcPr>
          <w:p w14:paraId="061C3738">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本项目不涉及生态红线</w:t>
            </w:r>
          </w:p>
        </w:tc>
        <w:tc>
          <w:tcPr>
            <w:tcW w:w="403" w:type="pct"/>
            <w:noWrap w:val="0"/>
            <w:vAlign w:val="center"/>
          </w:tcPr>
          <w:p w14:paraId="5FCD24D5">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相符</w:t>
            </w:r>
          </w:p>
        </w:tc>
      </w:tr>
      <w:tr w14:paraId="3F565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81" w:type="pct"/>
            <w:noWrap w:val="0"/>
            <w:vAlign w:val="center"/>
          </w:tcPr>
          <w:p w14:paraId="4A718261">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b/>
                <w:kern w:val="0"/>
                <w:sz w:val="21"/>
                <w:szCs w:val="21"/>
                <w:highlight w:val="none"/>
              </w:rPr>
            </w:pPr>
            <w:r>
              <w:rPr>
                <w:rFonts w:hint="default" w:ascii="Times New Roman" w:hAnsi="Times New Roman" w:eastAsia="宋体" w:cs="Times New Roman"/>
                <w:b/>
                <w:kern w:val="0"/>
                <w:sz w:val="21"/>
                <w:szCs w:val="21"/>
                <w:highlight w:val="none"/>
              </w:rPr>
              <w:t>管控维度</w:t>
            </w:r>
          </w:p>
        </w:tc>
        <w:tc>
          <w:tcPr>
            <w:tcW w:w="3312" w:type="pct"/>
            <w:gridSpan w:val="10"/>
            <w:noWrap w:val="0"/>
            <w:vAlign w:val="center"/>
          </w:tcPr>
          <w:p w14:paraId="4B1D158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kern w:val="0"/>
                <w:sz w:val="21"/>
                <w:szCs w:val="21"/>
                <w:highlight w:val="none"/>
                <w:lang w:val="en-US" w:eastAsia="zh-CN" w:bidi="ar-SA"/>
              </w:rPr>
            </w:pPr>
            <w:r>
              <w:rPr>
                <w:rFonts w:hint="default" w:ascii="Times New Roman" w:hAnsi="Times New Roman" w:eastAsia="宋体" w:cs="Times New Roman"/>
                <w:b/>
                <w:kern w:val="0"/>
                <w:sz w:val="21"/>
                <w:szCs w:val="21"/>
                <w:highlight w:val="none"/>
              </w:rPr>
              <w:t>管控要求</w:t>
            </w:r>
          </w:p>
        </w:tc>
        <w:tc>
          <w:tcPr>
            <w:tcW w:w="901" w:type="pct"/>
            <w:noWrap w:val="0"/>
            <w:vAlign w:val="center"/>
          </w:tcPr>
          <w:p w14:paraId="5B5AA1B5">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kern w:val="0"/>
                <w:sz w:val="21"/>
                <w:szCs w:val="21"/>
                <w:highlight w:val="none"/>
              </w:rPr>
            </w:pPr>
          </w:p>
        </w:tc>
        <w:tc>
          <w:tcPr>
            <w:tcW w:w="403" w:type="pct"/>
            <w:noWrap w:val="0"/>
            <w:vAlign w:val="center"/>
          </w:tcPr>
          <w:p w14:paraId="01A8B605">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kern w:val="0"/>
                <w:sz w:val="21"/>
                <w:szCs w:val="21"/>
                <w:highlight w:val="none"/>
              </w:rPr>
            </w:pPr>
          </w:p>
        </w:tc>
      </w:tr>
      <w:tr w14:paraId="04234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81" w:type="pct"/>
            <w:noWrap w:val="0"/>
            <w:vAlign w:val="center"/>
          </w:tcPr>
          <w:p w14:paraId="666B9F8E">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空间布局约束</w:t>
            </w:r>
          </w:p>
        </w:tc>
        <w:tc>
          <w:tcPr>
            <w:tcW w:w="3312" w:type="pct"/>
            <w:gridSpan w:val="10"/>
            <w:noWrap w:val="0"/>
            <w:vAlign w:val="center"/>
          </w:tcPr>
          <w:p w14:paraId="11A50950">
            <w:pPr>
              <w:keepNext w:val="0"/>
              <w:keepLines w:val="0"/>
              <w:suppressLineNumbers w:val="0"/>
              <w:tabs>
                <w:tab w:val="left" w:pos="1021"/>
              </w:tabs>
              <w:kinsoku/>
              <w:wordWrap/>
              <w:overflowPunct/>
              <w:topLinePunct w:val="0"/>
              <w:bidi w:val="0"/>
              <w:adjustRightInd w:val="0"/>
              <w:snapToGrid w:val="0"/>
              <w:spacing w:before="0" w:beforeAutospacing="0" w:after="0" w:afterAutospacing="0" w:line="300" w:lineRule="auto"/>
              <w:ind w:left="116" w:leftChars="48" w:right="170" w:rightChars="71" w:hanging="1" w:firstLineChars="0"/>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0"/>
                <w:sz w:val="21"/>
                <w:szCs w:val="21"/>
                <w:highlight w:val="none"/>
              </w:rPr>
              <w:t>（1.1）区域养殖业按划定的禁养区、限养区、适养区实施分类管理。</w:t>
            </w:r>
          </w:p>
        </w:tc>
        <w:tc>
          <w:tcPr>
            <w:tcW w:w="901" w:type="pct"/>
            <w:noWrap w:val="0"/>
            <w:vAlign w:val="center"/>
          </w:tcPr>
          <w:p w14:paraId="137F1DF7">
            <w:pPr>
              <w:keepNext w:val="0"/>
              <w:keepLines w:val="0"/>
              <w:pageBreakBefore w:val="0"/>
              <w:suppressLineNumbers w:val="0"/>
              <w:tabs>
                <w:tab w:val="left" w:pos="1021"/>
              </w:tabs>
              <w:kinsoku/>
              <w:wordWrap/>
              <w:overflowPunct/>
              <w:topLinePunct w:val="0"/>
              <w:autoSpaceDE/>
              <w:autoSpaceDN/>
              <w:bidi w:val="0"/>
              <w:adjustRightInd w:val="0"/>
              <w:snapToGrid/>
              <w:spacing w:before="0" w:beforeAutospacing="0" w:after="0" w:afterAutospacing="0" w:line="240" w:lineRule="auto"/>
              <w:ind w:left="115" w:leftChars="48" w:right="170" w:rightChars="71" w:firstLine="0" w:firstLineChars="0"/>
              <w:jc w:val="center"/>
              <w:textAlignment w:val="auto"/>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本项目为鲜黄花菜加工，不属于养殖业</w:t>
            </w:r>
          </w:p>
        </w:tc>
        <w:tc>
          <w:tcPr>
            <w:tcW w:w="403" w:type="pct"/>
            <w:noWrap w:val="0"/>
            <w:vAlign w:val="center"/>
          </w:tcPr>
          <w:p w14:paraId="4BCEEB7D">
            <w:pPr>
              <w:keepNext w:val="0"/>
              <w:keepLines w:val="0"/>
              <w:pageBreakBefore w:val="0"/>
              <w:suppressLineNumbers w:val="0"/>
              <w:tabs>
                <w:tab w:val="left" w:pos="1021"/>
              </w:tabs>
              <w:kinsoku/>
              <w:wordWrap/>
              <w:overflowPunct/>
              <w:topLinePunct w:val="0"/>
              <w:autoSpaceDE/>
              <w:autoSpaceDN/>
              <w:bidi w:val="0"/>
              <w:adjustRightInd w:val="0"/>
              <w:snapToGrid/>
              <w:spacing w:before="0" w:beforeAutospacing="0" w:after="0" w:afterAutospacing="0" w:line="240" w:lineRule="auto"/>
              <w:ind w:left="115" w:leftChars="48" w:right="170" w:rightChars="71" w:firstLine="0" w:firstLineChars="0"/>
              <w:jc w:val="center"/>
              <w:textAlignment w:val="auto"/>
              <w:rPr>
                <w:rFonts w:hint="default" w:ascii="Times New Roman" w:hAnsi="Times New Roman" w:eastAsia="宋体" w:cs="Times New Roman"/>
                <w:kern w:val="0"/>
                <w:sz w:val="21"/>
                <w:szCs w:val="21"/>
                <w:highlight w:val="none"/>
              </w:rPr>
            </w:pPr>
            <w:r>
              <w:rPr>
                <w:rFonts w:hint="eastAsia" w:ascii="Times New Roman" w:hAnsi="Times New Roman" w:eastAsia="宋体" w:cs="Times New Roman"/>
                <w:kern w:val="0"/>
                <w:sz w:val="21"/>
                <w:szCs w:val="21"/>
                <w:highlight w:val="none"/>
                <w:lang w:val="en-US" w:eastAsia="zh-CN"/>
              </w:rPr>
              <w:t>相符</w:t>
            </w:r>
          </w:p>
        </w:tc>
      </w:tr>
      <w:tr w14:paraId="72FD8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81" w:type="pct"/>
            <w:noWrap w:val="0"/>
            <w:vAlign w:val="center"/>
          </w:tcPr>
          <w:p w14:paraId="24E13250">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污染物排放管控</w:t>
            </w:r>
          </w:p>
        </w:tc>
        <w:tc>
          <w:tcPr>
            <w:tcW w:w="3312" w:type="pct"/>
            <w:gridSpan w:val="10"/>
            <w:noWrap w:val="0"/>
            <w:vAlign w:val="center"/>
          </w:tcPr>
          <w:p w14:paraId="2EBF25A0">
            <w:pPr>
              <w:keepNext w:val="0"/>
              <w:keepLines w:val="0"/>
              <w:widowControl/>
              <w:suppressLineNumbers w:val="0"/>
              <w:kinsoku/>
              <w:wordWrap/>
              <w:overflowPunct/>
              <w:topLinePunct w:val="0"/>
              <w:bidi w:val="0"/>
              <w:adjustRightInd w:val="0"/>
              <w:spacing w:before="0" w:beforeAutospacing="0" w:after="0" w:afterAutospacing="0" w:line="300" w:lineRule="auto"/>
              <w:ind w:left="0" w:right="0"/>
              <w:jc w:val="left"/>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0"/>
                <w:sz w:val="21"/>
                <w:szCs w:val="21"/>
                <w:highlight w:val="none"/>
              </w:rPr>
              <w:t>（2.1）</w:t>
            </w:r>
            <w:r>
              <w:rPr>
                <w:rFonts w:hint="default" w:ascii="Times New Roman" w:hAnsi="Times New Roman" w:eastAsia="宋体" w:cs="Times New Roman"/>
                <w:strike w:val="0"/>
                <w:dstrike w:val="0"/>
                <w:kern w:val="0"/>
                <w:sz w:val="21"/>
                <w:szCs w:val="21"/>
                <w:highlight w:val="none"/>
                <w:lang w:eastAsia="zh-CN"/>
              </w:rPr>
              <w:t>加快污水管网改造与建设。加快推进城镇污水管网全覆盖，加快推进城镇雨污分流改造。对县城及乡镇建成区分批次分阶段实施雨污分流改造，尽快完成对全县城镇区域的雨污分流改造。持续推进农村生活污水治理工程。</w:t>
            </w:r>
            <w:r>
              <w:rPr>
                <w:rFonts w:hint="default" w:ascii="Times New Roman" w:hAnsi="Times New Roman" w:eastAsia="宋体" w:cs="Times New Roman"/>
                <w:kern w:val="0"/>
                <w:sz w:val="21"/>
                <w:szCs w:val="21"/>
                <w:highlight w:val="none"/>
              </w:rPr>
              <w:br w:type="textWrapping"/>
            </w:r>
            <w:r>
              <w:rPr>
                <w:rFonts w:hint="default" w:ascii="Times New Roman" w:hAnsi="Times New Roman" w:eastAsia="宋体" w:cs="Times New Roman"/>
                <w:kern w:val="0"/>
                <w:sz w:val="21"/>
                <w:szCs w:val="21"/>
                <w:highlight w:val="none"/>
              </w:rPr>
              <w:t>（2.2）</w:t>
            </w:r>
            <w:r>
              <w:rPr>
                <w:rFonts w:hint="default" w:ascii="Times New Roman" w:hAnsi="Times New Roman" w:eastAsia="宋体" w:cs="Times New Roman"/>
                <w:strike w:val="0"/>
                <w:dstrike w:val="0"/>
                <w:kern w:val="0"/>
                <w:sz w:val="21"/>
                <w:szCs w:val="21"/>
                <w:highlight w:val="none"/>
                <w:lang w:eastAsia="zh-CN"/>
              </w:rPr>
              <w:t>加快推进VOCs污染控制，实施源头治理，推广使用低VOCs排放工艺装备，督查VOCs重点排放企业，鼓励使用低(无)VOCs含量的原辅材料，对无法替代原辅材料的工业企业，要求提高VOCs收集效率，安装高效治理设施。持续推进露天禁烧和农业源氨控制工作。禁止露天焚烧秸秆、生活垃圾，严格控制露天烧烤，禁止在政府划定为禁止露天烧烤的区域内进行露天烧烤。进一步加强对禁燃区的执法监督。减少化肥农药使用量，增加有机肥使用量。强化畜禽粪污资源化利用，改善养殖场通风环境，提高畜禽粪污综合利用率，减少氨挥发排放。</w:t>
            </w:r>
          </w:p>
        </w:tc>
        <w:tc>
          <w:tcPr>
            <w:tcW w:w="901" w:type="pct"/>
            <w:noWrap w:val="0"/>
            <w:vAlign w:val="center"/>
          </w:tcPr>
          <w:p w14:paraId="0EEF420F">
            <w:pPr>
              <w:keepNext w:val="0"/>
              <w:keepLines w:val="0"/>
              <w:pageBreakBefore w:val="0"/>
              <w:widowControl/>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官家嘴镇污水处理</w:t>
            </w:r>
            <w:r>
              <w:rPr>
                <w:rFonts w:hint="eastAsia" w:cs="Times New Roman"/>
                <w:kern w:val="0"/>
                <w:sz w:val="21"/>
                <w:szCs w:val="21"/>
                <w:highlight w:val="none"/>
                <w:lang w:val="en-US" w:eastAsia="zh-CN"/>
              </w:rPr>
              <w:t>站</w:t>
            </w:r>
            <w:r>
              <w:rPr>
                <w:rFonts w:hint="eastAsia" w:ascii="Times New Roman" w:hAnsi="Times New Roman" w:eastAsia="宋体" w:cs="Times New Roman"/>
                <w:kern w:val="0"/>
                <w:sz w:val="21"/>
                <w:szCs w:val="21"/>
                <w:highlight w:val="none"/>
                <w:lang w:val="en-US" w:eastAsia="zh-CN"/>
              </w:rPr>
              <w:t>已建成运行，本项目废水经自建污水处理站处理达标后，排入官家嘴镇污水处理</w:t>
            </w:r>
            <w:r>
              <w:rPr>
                <w:rFonts w:hint="eastAsia" w:cs="Times New Roman"/>
                <w:kern w:val="0"/>
                <w:sz w:val="21"/>
                <w:szCs w:val="21"/>
                <w:highlight w:val="none"/>
                <w:lang w:val="en-US" w:eastAsia="zh-CN"/>
              </w:rPr>
              <w:t>站</w:t>
            </w:r>
            <w:r>
              <w:rPr>
                <w:rFonts w:hint="eastAsia" w:ascii="Times New Roman" w:hAnsi="Times New Roman" w:eastAsia="宋体" w:cs="Times New Roman"/>
                <w:kern w:val="0"/>
                <w:sz w:val="21"/>
                <w:szCs w:val="21"/>
                <w:highlight w:val="none"/>
                <w:lang w:val="en-US" w:eastAsia="zh-CN"/>
              </w:rPr>
              <w:t>；本项目生物质锅炉燃烧废气经</w:t>
            </w:r>
            <w:r>
              <w:rPr>
                <w:rFonts w:hint="eastAsia" w:cs="Times New Roman"/>
                <w:kern w:val="0"/>
                <w:sz w:val="21"/>
                <w:szCs w:val="21"/>
                <w:highlight w:val="none"/>
                <w:lang w:val="en-US" w:eastAsia="zh-CN"/>
              </w:rPr>
              <w:t>旋风+</w:t>
            </w:r>
            <w:r>
              <w:rPr>
                <w:rFonts w:hint="eastAsia" w:ascii="Times New Roman" w:hAnsi="Times New Roman" w:eastAsia="宋体" w:cs="Times New Roman"/>
                <w:kern w:val="0"/>
                <w:sz w:val="21"/>
                <w:szCs w:val="21"/>
                <w:highlight w:val="none"/>
                <w:lang w:val="en-US" w:eastAsia="zh-CN"/>
              </w:rPr>
              <w:t>布袋除尘器处理达标后有组织排放，</w:t>
            </w:r>
            <w:r>
              <w:rPr>
                <w:rFonts w:hint="eastAsia" w:cs="Times New Roman"/>
                <w:kern w:val="0"/>
                <w:sz w:val="21"/>
                <w:szCs w:val="21"/>
                <w:highlight w:val="none"/>
                <w:lang w:val="en-US" w:eastAsia="zh-CN"/>
              </w:rPr>
              <w:t>本</w:t>
            </w:r>
            <w:r>
              <w:rPr>
                <w:rFonts w:hint="eastAsia" w:ascii="Times New Roman" w:hAnsi="Times New Roman" w:eastAsia="宋体" w:cs="Times New Roman"/>
                <w:kern w:val="0"/>
                <w:sz w:val="21"/>
                <w:szCs w:val="21"/>
                <w:highlight w:val="none"/>
                <w:lang w:val="en-US" w:eastAsia="zh-CN"/>
              </w:rPr>
              <w:t>项目</w:t>
            </w:r>
            <w:r>
              <w:rPr>
                <w:rFonts w:hint="eastAsia" w:cs="Times New Roman"/>
                <w:kern w:val="0"/>
                <w:sz w:val="21"/>
                <w:szCs w:val="21"/>
                <w:highlight w:val="none"/>
                <w:lang w:val="en-US" w:eastAsia="zh-CN"/>
              </w:rPr>
              <w:t>VOCs干黄花菜生产杀青烘干过程产生的VOCs主要来源于黄花菜自身含有的挥发性香气物质，产生量较少，通过车间通风无组织排放。</w:t>
            </w:r>
          </w:p>
        </w:tc>
        <w:tc>
          <w:tcPr>
            <w:tcW w:w="403" w:type="pct"/>
            <w:noWrap w:val="0"/>
            <w:vAlign w:val="center"/>
          </w:tcPr>
          <w:p w14:paraId="1039D18D">
            <w:pPr>
              <w:keepNext w:val="0"/>
              <w:keepLines w:val="0"/>
              <w:pageBreakBefore w:val="0"/>
              <w:widowControl/>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highlight w:val="none"/>
              </w:rPr>
            </w:pPr>
            <w:r>
              <w:rPr>
                <w:rFonts w:hint="eastAsia" w:ascii="Times New Roman" w:hAnsi="Times New Roman" w:eastAsia="宋体" w:cs="Times New Roman"/>
                <w:kern w:val="0"/>
                <w:sz w:val="21"/>
                <w:szCs w:val="21"/>
                <w:highlight w:val="none"/>
                <w:lang w:val="en-US" w:eastAsia="zh-CN"/>
              </w:rPr>
              <w:t>相符</w:t>
            </w:r>
          </w:p>
        </w:tc>
      </w:tr>
      <w:tr w14:paraId="67E4F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51" w:hRule="atLeast"/>
          <w:jc w:val="center"/>
        </w:trPr>
        <w:tc>
          <w:tcPr>
            <w:tcW w:w="381" w:type="pct"/>
            <w:noWrap w:val="0"/>
            <w:vAlign w:val="center"/>
          </w:tcPr>
          <w:p w14:paraId="39A6DE1C">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环境风险防控</w:t>
            </w:r>
          </w:p>
        </w:tc>
        <w:tc>
          <w:tcPr>
            <w:tcW w:w="3312" w:type="pct"/>
            <w:gridSpan w:val="10"/>
            <w:noWrap w:val="0"/>
            <w:vAlign w:val="center"/>
          </w:tcPr>
          <w:p w14:paraId="4F512EC3">
            <w:pPr>
              <w:keepNext w:val="0"/>
              <w:keepLines w:val="0"/>
              <w:widowControl/>
              <w:suppressLineNumbers w:val="0"/>
              <w:kinsoku/>
              <w:wordWrap/>
              <w:overflowPunct/>
              <w:topLinePunct w:val="0"/>
              <w:bidi w:val="0"/>
              <w:adjustRightInd w:val="0"/>
              <w:spacing w:before="0" w:beforeAutospacing="0" w:after="0" w:afterAutospacing="0" w:line="300" w:lineRule="auto"/>
              <w:ind w:left="0" w:right="0"/>
              <w:jc w:val="left"/>
              <w:textAlignment w:val="auto"/>
              <w:rPr>
                <w:rFonts w:hint="default" w:ascii="Times New Roman" w:hAnsi="Times New Roman" w:eastAsia="宋体" w:cs="Times New Roman"/>
                <w:bCs/>
                <w:strike w:val="0"/>
                <w:dstrike w:val="0"/>
                <w:kern w:val="2"/>
                <w:sz w:val="21"/>
                <w:szCs w:val="21"/>
                <w:highlight w:val="none"/>
                <w:lang w:val="en-US" w:eastAsia="zh-CN" w:bidi="ar-SA"/>
              </w:rPr>
            </w:pPr>
            <w:r>
              <w:rPr>
                <w:rFonts w:hint="default" w:ascii="Times New Roman" w:hAnsi="Times New Roman" w:eastAsia="宋体" w:cs="Times New Roman"/>
                <w:kern w:val="0"/>
                <w:sz w:val="21"/>
                <w:szCs w:val="21"/>
                <w:highlight w:val="none"/>
              </w:rPr>
              <w:t>（3.1）</w:t>
            </w:r>
            <w:r>
              <w:rPr>
                <w:rFonts w:hint="default" w:ascii="Times New Roman" w:hAnsi="Times New Roman" w:eastAsia="宋体" w:cs="Times New Roman"/>
                <w:strike w:val="0"/>
                <w:dstrike w:val="0"/>
                <w:kern w:val="0"/>
                <w:sz w:val="21"/>
                <w:szCs w:val="21"/>
                <w:highlight w:val="none"/>
                <w:lang w:eastAsia="zh-CN"/>
              </w:rPr>
              <w:t>按“以人为本、预防为主、统一领导、分类管理”的原则，建立祁东县突发环境事件应急预案方案，建立健全突发环境事件应急机制，提高政府应对突发环境事件的能力。完善区域、园区、企业应急预案编制，继续加强化工园区、涉危化品、重金属、危险废物企业突发环境事件应急预案备案管理</w:t>
            </w:r>
            <w:r>
              <w:rPr>
                <w:rFonts w:hint="default" w:ascii="Times New Roman" w:hAnsi="Times New Roman" w:eastAsia="宋体" w:cs="Times New Roman"/>
                <w:strike w:val="0"/>
                <w:dstrike w:val="0"/>
                <w:kern w:val="0"/>
                <w:sz w:val="21"/>
                <w:szCs w:val="21"/>
                <w:highlight w:val="none"/>
              </w:rPr>
              <w:t>。</w:t>
            </w:r>
            <w:r>
              <w:rPr>
                <w:rFonts w:hint="default" w:ascii="Times New Roman" w:hAnsi="Times New Roman" w:eastAsia="宋体" w:cs="Times New Roman"/>
                <w:strike/>
                <w:dstrike w:val="0"/>
                <w:kern w:val="0"/>
                <w:sz w:val="21"/>
                <w:szCs w:val="21"/>
                <w:highlight w:val="none"/>
              </w:rPr>
              <w:br w:type="textWrapping"/>
            </w:r>
            <w:r>
              <w:rPr>
                <w:rFonts w:hint="default" w:ascii="Times New Roman" w:hAnsi="Times New Roman" w:eastAsia="宋体" w:cs="Times New Roman"/>
                <w:strike w:val="0"/>
                <w:dstrike w:val="0"/>
                <w:kern w:val="0"/>
                <w:sz w:val="21"/>
                <w:szCs w:val="21"/>
                <w:highlight w:val="none"/>
              </w:rPr>
              <w:t>（3.2）</w:t>
            </w:r>
            <w:r>
              <w:rPr>
                <w:rFonts w:hint="default" w:ascii="Times New Roman" w:hAnsi="Times New Roman" w:eastAsia="宋体" w:cs="Times New Roman"/>
                <w:kern w:val="0"/>
                <w:sz w:val="21"/>
                <w:szCs w:val="21"/>
                <w:highlight w:val="none"/>
              </w:rPr>
              <w:t>对全县疑似污染地进行调查和信息采集，对污染地进行合理的规划。未完成土壤污染状况调查或风险评估的地块，杜绝进入用地程序，防止未按要求调查评估、环境风险管控不到位、治理修复不符合要求污染地块被开发利用，确保用地安全。</w:t>
            </w:r>
            <w:r>
              <w:rPr>
                <w:rFonts w:hint="default" w:ascii="Times New Roman" w:hAnsi="Times New Roman" w:eastAsia="宋体" w:cs="Times New Roman"/>
                <w:strike w:val="0"/>
                <w:kern w:val="0"/>
                <w:sz w:val="21"/>
                <w:szCs w:val="21"/>
                <w:highlight w:val="none"/>
              </w:rPr>
              <w:t>加强农用地管控。加大优先保护类耕地保护力度，确保面积不减少、环境质量不下降，在永久基本农田集中区域，不得规划新建可能造成土壤污染的建设项目</w:t>
            </w:r>
            <w:r>
              <w:rPr>
                <w:rFonts w:hint="default" w:ascii="Times New Roman" w:hAnsi="Times New Roman" w:eastAsia="宋体" w:cs="Times New Roman"/>
                <w:strike w:val="0"/>
                <w:kern w:val="0"/>
                <w:sz w:val="21"/>
                <w:szCs w:val="21"/>
                <w:highlight w:val="none"/>
                <w:lang w:eastAsia="zh-CN"/>
              </w:rPr>
              <w:t>。</w:t>
            </w:r>
          </w:p>
        </w:tc>
        <w:tc>
          <w:tcPr>
            <w:tcW w:w="901" w:type="pct"/>
            <w:noWrap w:val="0"/>
            <w:vAlign w:val="center"/>
          </w:tcPr>
          <w:p w14:paraId="4F573692">
            <w:pPr>
              <w:keepNext w:val="0"/>
              <w:keepLines w:val="0"/>
              <w:pageBreakBefore w:val="0"/>
              <w:widowControl/>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本项目建成后将按要求编制突发环境事件应急预案</w:t>
            </w:r>
          </w:p>
        </w:tc>
        <w:tc>
          <w:tcPr>
            <w:tcW w:w="403" w:type="pct"/>
            <w:noWrap w:val="0"/>
            <w:vAlign w:val="center"/>
          </w:tcPr>
          <w:p w14:paraId="6E777BB7">
            <w:pPr>
              <w:keepNext w:val="0"/>
              <w:keepLines w:val="0"/>
              <w:pageBreakBefore w:val="0"/>
              <w:widowControl/>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highlight w:val="none"/>
              </w:rPr>
            </w:pPr>
            <w:r>
              <w:rPr>
                <w:rFonts w:hint="eastAsia" w:ascii="Times New Roman" w:hAnsi="Times New Roman" w:eastAsia="宋体" w:cs="Times New Roman"/>
                <w:kern w:val="0"/>
                <w:sz w:val="21"/>
                <w:szCs w:val="21"/>
                <w:highlight w:val="none"/>
                <w:lang w:val="en-US" w:eastAsia="zh-CN"/>
              </w:rPr>
              <w:t>相符</w:t>
            </w:r>
          </w:p>
        </w:tc>
      </w:tr>
      <w:tr w14:paraId="5759A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81" w:type="pct"/>
            <w:noWrap w:val="0"/>
            <w:vAlign w:val="center"/>
          </w:tcPr>
          <w:p w14:paraId="0A830A8E">
            <w:pPr>
              <w:keepNext w:val="0"/>
              <w:keepLines w:val="0"/>
              <w:widowControl/>
              <w:suppressLineNumbers w:val="0"/>
              <w:kinsoku/>
              <w:wordWrap/>
              <w:overflowPunct/>
              <w:topLinePunct w:val="0"/>
              <w:bidi w:val="0"/>
              <w:adjustRightInd w:val="0"/>
              <w:snapToGrid w:val="0"/>
              <w:spacing w:before="0" w:beforeAutospacing="0" w:after="0" w:afterAutospacing="0" w:line="300" w:lineRule="auto"/>
              <w:ind w:left="0" w:right="0"/>
              <w:jc w:val="center"/>
              <w:textAlignment w:val="auto"/>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资源开发效率要求</w:t>
            </w:r>
          </w:p>
        </w:tc>
        <w:tc>
          <w:tcPr>
            <w:tcW w:w="3312" w:type="pct"/>
            <w:gridSpan w:val="10"/>
            <w:noWrap w:val="0"/>
            <w:vAlign w:val="center"/>
          </w:tcPr>
          <w:p w14:paraId="6F727231">
            <w:pPr>
              <w:keepNext w:val="0"/>
              <w:keepLines w:val="0"/>
              <w:widowControl/>
              <w:suppressLineNumbers w:val="0"/>
              <w:kinsoku/>
              <w:wordWrap/>
              <w:overflowPunct/>
              <w:topLinePunct w:val="0"/>
              <w:bidi w:val="0"/>
              <w:adjustRightInd w:val="0"/>
              <w:spacing w:before="0" w:beforeAutospacing="0" w:after="0" w:afterAutospacing="0" w:line="300" w:lineRule="auto"/>
              <w:ind w:left="0" w:right="0"/>
              <w:jc w:val="left"/>
              <w:textAlignment w:val="auto"/>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sz w:val="21"/>
                <w:szCs w:val="21"/>
                <w:highlight w:val="none"/>
              </w:rPr>
              <w:t>（4.1）能源：</w:t>
            </w:r>
            <w:r>
              <w:rPr>
                <w:rFonts w:hint="default" w:ascii="Times New Roman" w:hAnsi="Times New Roman" w:eastAsia="宋体" w:cs="Times New Roman"/>
                <w:kern w:val="0"/>
                <w:sz w:val="21"/>
                <w:szCs w:val="21"/>
                <w:highlight w:val="none"/>
                <w:lang w:eastAsia="zh-CN"/>
              </w:rPr>
              <w:t>鼓励企业使用清洁能源，营造全社会节能减排和保护环境的良好氛围。激发用户侧可再生能源电力需求，鼓励用户绿色出行。</w:t>
            </w:r>
            <w:r>
              <w:rPr>
                <w:rFonts w:hint="default" w:ascii="Times New Roman" w:hAnsi="Times New Roman" w:eastAsia="宋体" w:cs="Times New Roman"/>
                <w:sz w:val="21"/>
                <w:szCs w:val="21"/>
                <w:highlight w:val="none"/>
              </w:rPr>
              <w:br w:type="textWrapping"/>
            </w:r>
            <w:r>
              <w:rPr>
                <w:rFonts w:hint="default" w:ascii="Times New Roman" w:hAnsi="Times New Roman" w:eastAsia="宋体" w:cs="Times New Roman"/>
                <w:sz w:val="21"/>
                <w:szCs w:val="21"/>
                <w:highlight w:val="none"/>
              </w:rPr>
              <w:t>（4.2）水资源：</w:t>
            </w:r>
            <w:r>
              <w:rPr>
                <w:rFonts w:hint="default" w:ascii="Times New Roman" w:hAnsi="Times New Roman" w:eastAsia="宋体" w:cs="Times New Roman"/>
                <w:kern w:val="0"/>
                <w:sz w:val="21"/>
                <w:szCs w:val="21"/>
                <w:highlight w:val="none"/>
                <w:lang w:eastAsia="zh-CN"/>
              </w:rPr>
              <w:t>落实水资源消耗总量和强度双控行动，推动经济社会发展布局与水资源承载能力相适应。</w:t>
            </w:r>
          </w:p>
        </w:tc>
        <w:tc>
          <w:tcPr>
            <w:tcW w:w="901" w:type="pct"/>
            <w:noWrap w:val="0"/>
            <w:vAlign w:val="center"/>
          </w:tcPr>
          <w:p w14:paraId="2341DAB4">
            <w:pPr>
              <w:keepNext w:val="0"/>
              <w:keepLines w:val="0"/>
              <w:pageBreakBefore w:val="0"/>
              <w:widowControl/>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本项目锅炉燃料为生物质，属于清洁能源</w:t>
            </w:r>
          </w:p>
        </w:tc>
        <w:tc>
          <w:tcPr>
            <w:tcW w:w="403" w:type="pct"/>
            <w:noWrap w:val="0"/>
            <w:vAlign w:val="center"/>
          </w:tcPr>
          <w:p w14:paraId="3E01E400">
            <w:pPr>
              <w:keepNext w:val="0"/>
              <w:keepLines w:val="0"/>
              <w:pageBreakBefore w:val="0"/>
              <w:widowControl/>
              <w:suppressLineNumbers w:val="0"/>
              <w:kinsoku/>
              <w:wordWrap/>
              <w:overflowPunct/>
              <w:topLinePunct w:val="0"/>
              <w:autoSpaceDE/>
              <w:autoSpaceDN/>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highlight w:val="none"/>
              </w:rPr>
            </w:pPr>
            <w:r>
              <w:rPr>
                <w:rFonts w:hint="eastAsia" w:ascii="Times New Roman" w:hAnsi="Times New Roman" w:eastAsia="宋体" w:cs="Times New Roman"/>
                <w:kern w:val="0"/>
                <w:sz w:val="21"/>
                <w:szCs w:val="21"/>
                <w:highlight w:val="none"/>
                <w:lang w:val="en-US" w:eastAsia="zh-CN"/>
              </w:rPr>
              <w:t>相符</w:t>
            </w:r>
          </w:p>
        </w:tc>
      </w:tr>
    </w:tbl>
    <w:p w14:paraId="6F6D13BA">
      <w:pPr>
        <w:rPr>
          <w:highlight w:val="yellow"/>
          <w:u w:val="none"/>
        </w:rPr>
      </w:pPr>
    </w:p>
    <w:p w14:paraId="1CEE4550">
      <w:pPr>
        <w:spacing w:line="360" w:lineRule="auto"/>
        <w:outlineLvl w:val="9"/>
        <w:rPr>
          <w:rFonts w:eastAsia="黑体"/>
          <w:color w:val="auto"/>
          <w:sz w:val="30"/>
          <w:highlight w:val="yellow"/>
        </w:rPr>
        <w:sectPr>
          <w:pgSz w:w="16838" w:h="11906" w:orient="landscape"/>
          <w:pgMar w:top="1531" w:right="1701" w:bottom="1531" w:left="1701" w:header="851" w:footer="1077" w:gutter="0"/>
          <w:pgBorders>
            <w:top w:val="none" w:sz="0" w:space="0"/>
            <w:left w:val="none" w:sz="0" w:space="0"/>
            <w:bottom w:val="none" w:sz="0" w:space="0"/>
            <w:right w:val="none" w:sz="0" w:space="0"/>
          </w:pgBorders>
          <w:pgNumType w:fmt="decimal"/>
          <w:cols w:space="720" w:num="1"/>
          <w:docGrid w:linePitch="312" w:charSpace="0"/>
        </w:sectPr>
      </w:pPr>
    </w:p>
    <w:p w14:paraId="142C22E7">
      <w:pPr>
        <w:pStyle w:val="24"/>
        <w:jc w:val="center"/>
        <w:outlineLvl w:val="0"/>
        <w:rPr>
          <w:rFonts w:ascii="黑体" w:hAnsi="黑体" w:eastAsia="黑体"/>
          <w:snapToGrid w:val="0"/>
          <w:color w:val="auto"/>
          <w:sz w:val="30"/>
          <w:szCs w:val="30"/>
          <w:highlight w:val="none"/>
        </w:rPr>
      </w:pPr>
      <w:bookmarkStart w:id="8" w:name="_Toc19446"/>
      <w:r>
        <w:rPr>
          <w:rFonts w:hint="eastAsia" w:ascii="黑体" w:hAnsi="黑体" w:eastAsia="黑体"/>
          <w:snapToGrid w:val="0"/>
          <w:color w:val="auto"/>
          <w:sz w:val="30"/>
          <w:szCs w:val="30"/>
          <w:highlight w:val="none"/>
        </w:rPr>
        <w:t>二、建设项目工程分析</w:t>
      </w:r>
      <w:bookmarkEnd w:id="8"/>
    </w:p>
    <w:tbl>
      <w:tblPr>
        <w:tblStyle w:val="2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26"/>
        <w:gridCol w:w="8634"/>
      </w:tblGrid>
      <w:tr w14:paraId="1E534E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235" w:type="pct"/>
            <w:noWrap w:val="0"/>
            <w:vAlign w:val="center"/>
          </w:tcPr>
          <w:p w14:paraId="6B543743">
            <w:pPr>
              <w:pStyle w:val="24"/>
              <w:keepNext w:val="0"/>
              <w:keepLines w:val="0"/>
              <w:suppressLineNumbers w:val="0"/>
              <w:adjustRightInd w:val="0"/>
              <w:snapToGrid w:val="0"/>
              <w:spacing w:before="0" w:beforeLines="0" w:beforeAutospacing="0" w:after="0" w:afterAutospacing="0"/>
              <w:ind w:left="0" w:right="0"/>
              <w:jc w:val="center"/>
              <w:rPr>
                <w:rFonts w:hint="default" w:ascii="Times New Roman" w:hAnsi="Times New Roman" w:cs="Times New Roman"/>
                <w:color w:val="auto"/>
                <w:sz w:val="21"/>
                <w:szCs w:val="21"/>
                <w:highlight w:val="yellow"/>
              </w:rPr>
            </w:pPr>
            <w:r>
              <w:rPr>
                <w:rFonts w:hint="default" w:ascii="Times New Roman" w:hAnsi="Times New Roman" w:cs="Times New Roman"/>
                <w:color w:val="auto"/>
                <w:sz w:val="21"/>
                <w:szCs w:val="21"/>
                <w:highlight w:val="none"/>
              </w:rPr>
              <w:t>建设内容</w:t>
            </w:r>
          </w:p>
        </w:tc>
        <w:tc>
          <w:tcPr>
            <w:tcW w:w="4764" w:type="pct"/>
            <w:noWrap w:val="0"/>
            <w:vAlign w:val="top"/>
          </w:tcPr>
          <w:p w14:paraId="0DFA259D">
            <w:pPr>
              <w:pStyle w:val="2"/>
              <w:keepLines w:val="0"/>
              <w:numPr>
                <w:ilvl w:val="0"/>
                <w:numId w:val="0"/>
              </w:numPr>
              <w:suppressLineNumbers w:val="0"/>
              <w:tabs>
                <w:tab w:val="left" w:pos="0"/>
              </w:tabs>
              <w:bidi w:val="0"/>
              <w:adjustRightInd w:val="0"/>
              <w:spacing w:before="0" w:beforeLines="0" w:beforeAutospacing="0" w:after="0" w:afterAutospacing="0"/>
              <w:ind w:leftChars="0" w:right="0"/>
              <w:rPr>
                <w:rFonts w:hint="default" w:cs="Times New Roman"/>
                <w:color w:val="auto"/>
                <w:highlight w:val="none"/>
                <w:lang w:val="en-US" w:eastAsia="zh-CN"/>
              </w:rPr>
            </w:pPr>
            <w:bookmarkStart w:id="9" w:name="_Toc2918"/>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建设内容</w:t>
            </w:r>
          </w:p>
          <w:p w14:paraId="5EE5FDA9">
            <w:pPr>
              <w:pStyle w:val="2"/>
              <w:keepLines w:val="0"/>
              <w:numPr>
                <w:ilvl w:val="0"/>
                <w:numId w:val="0"/>
              </w:numPr>
              <w:suppressLineNumbers w:val="0"/>
              <w:tabs>
                <w:tab w:val="left" w:pos="0"/>
              </w:tabs>
              <w:bidi w:val="0"/>
              <w:adjustRightInd w:val="0"/>
              <w:spacing w:before="0" w:beforeLines="0" w:beforeAutospacing="0" w:after="0" w:afterAutospacing="0"/>
              <w:ind w:leftChars="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项目由来</w:t>
            </w:r>
            <w:bookmarkEnd w:id="9"/>
          </w:p>
          <w:p w14:paraId="325C785D">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pPr>
            <w:bookmarkStart w:id="10" w:name="_Toc745"/>
            <w:r>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t>祁东县，素有</w:t>
            </w:r>
            <w:r>
              <w:rPr>
                <w:rFonts w:hint="eastAsia" w:ascii="Times New Roman" w:hAnsi="Times New Roman" w:eastAsia="宋体" w:cs="Times New Roman"/>
                <w:i w:val="0"/>
                <w:iCs w:val="0"/>
                <w:caps w:val="0"/>
                <w:spacing w:val="0"/>
                <w:kern w:val="0"/>
                <w:sz w:val="24"/>
                <w:szCs w:val="24"/>
                <w:shd w:val="clear" w:fill="FFFFFF"/>
                <w:vertAlign w:val="baseline"/>
                <w:lang w:val="en-US" w:eastAsia="zh-CN" w:bidi="ar"/>
              </w:rPr>
              <w:t>“</w:t>
            </w:r>
            <w:r>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t>黄花菜之乡</w:t>
            </w:r>
            <w:r>
              <w:rPr>
                <w:rFonts w:hint="eastAsia" w:ascii="Times New Roman" w:hAnsi="Times New Roman" w:eastAsia="宋体" w:cs="Times New Roman"/>
                <w:i w:val="0"/>
                <w:iCs w:val="0"/>
                <w:caps w:val="0"/>
                <w:spacing w:val="0"/>
                <w:kern w:val="0"/>
                <w:sz w:val="24"/>
                <w:szCs w:val="24"/>
                <w:shd w:val="clear" w:fill="FFFFFF"/>
                <w:vertAlign w:val="baseline"/>
                <w:lang w:val="en-US" w:eastAsia="zh-CN" w:bidi="ar"/>
              </w:rPr>
              <w:t>”</w:t>
            </w:r>
            <w:r>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t>的美誉，黄花菜种植历史悠久，文化底蕴深厚，是当地农业经济的重要支柱产业。多年来，黄花菜产业蓬勃发展，为当地农民带来了可观的经济收入，也为县域经济发展做出了突出贡献。然而，随着产业规模的不断扩大，一些问题也逐渐凸显出来，尤其是众多黄花菜加工小作坊的存在，给当地生态环境和产业可持续发展带来了严峻挑战。这些小作坊大多分布在乡村，规模较小，技术水平有限，管理方式粗放。在生产过程中，由于缺乏有效的环保设施和规范的管理流程，废水无序排放现象较为普遍</w:t>
            </w:r>
            <w:r>
              <w:rPr>
                <w:rFonts w:hint="eastAsia" w:ascii="Times New Roman" w:hAnsi="Times New Roman" w:eastAsia="宋体" w:cs="Times New Roman"/>
                <w:i w:val="0"/>
                <w:iCs w:val="0"/>
                <w:caps w:val="0"/>
                <w:spacing w:val="0"/>
                <w:kern w:val="0"/>
                <w:sz w:val="24"/>
                <w:szCs w:val="24"/>
                <w:shd w:val="clear" w:fill="FFFFFF"/>
                <w:vertAlign w:val="baseline"/>
                <w:lang w:val="en-US" w:eastAsia="zh-CN" w:bidi="ar"/>
              </w:rPr>
              <w:t>，</w:t>
            </w:r>
            <w:r>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t>这些未经处理的废水含有大量的有机物、盐分等污染物，对周边的河流、土壤和地下水造成了污染，影响了当地生态环境的平衡和居民的生活质量。同时，小作坊的分散布局也导致了资源浪费、生产效率低下、产品质量参差不齐等问题，难以满足市场对高品质黄花菜产品的需求，制约了祁东县黄花菜产业的整体竞争力提升。</w:t>
            </w:r>
          </w:p>
          <w:p w14:paraId="269FF906">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pPr>
            <w:r>
              <w:rPr>
                <w:rFonts w:hint="eastAsia" w:cs="Times New Roman"/>
                <w:i w:val="0"/>
                <w:iCs w:val="0"/>
                <w:caps w:val="0"/>
                <w:spacing w:val="0"/>
                <w:kern w:val="0"/>
                <w:sz w:val="24"/>
                <w:szCs w:val="24"/>
                <w:shd w:val="clear" w:fill="FFFFFF"/>
                <w:vertAlign w:val="baseline"/>
                <w:lang w:val="en-US" w:eastAsia="zh-CN" w:bidi="ar"/>
              </w:rPr>
              <w:t>当前，祁东县官家嘴镇有3家黄花菜加工主体存在明显的 “小散乱污” 问题，环保治理短板突出：湖南省威华食品有限公司（年加工鲜黄花菜2000吨）、湖南有吉食品有限公司（年加工鲜黄花菜5000吨）、祁东县佳旺种养专业合作社（年加工鲜黄花菜1000吨）中，仅有湖南有吉食品有限公司具备环评及排污许可登记手续，其余两家均为家庭式小作坊，未办理任何环保相关手续。这些加工主体在生产过程中，产生的废水仅经简易沉淀池粗放处理后便直接排入外环境，对区域地表水环境造成了持续污染，成为制约当地黄花菜产业绿色发展的突出瓶颈。</w:t>
            </w:r>
          </w:p>
          <w:p w14:paraId="4D6FADBA">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eastAsia" w:cs="Times New Roman"/>
                <w:i w:val="0"/>
                <w:iCs w:val="0"/>
                <w:caps w:val="0"/>
                <w:spacing w:val="0"/>
                <w:kern w:val="0"/>
                <w:sz w:val="24"/>
                <w:szCs w:val="24"/>
                <w:shd w:val="clear" w:fill="FFFFFF"/>
                <w:vertAlign w:val="baseline"/>
                <w:lang w:val="en-US" w:eastAsia="zh-CN" w:bidi="ar"/>
              </w:rPr>
            </w:pPr>
            <w:r>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t>为彻底扭转这一局面，实现黄花菜产业的转型升级和可持续发展，湖南利胜达生态农业科技开发有限公司经过深入调研和市场分析，</w:t>
            </w:r>
            <w:r>
              <w:rPr>
                <w:rFonts w:hint="eastAsia" w:ascii="Times New Roman" w:hAnsi="Times New Roman" w:eastAsia="宋体" w:cs="Times New Roman"/>
                <w:i w:val="0"/>
                <w:iCs w:val="0"/>
                <w:caps w:val="0"/>
                <w:spacing w:val="0"/>
                <w:kern w:val="0"/>
                <w:sz w:val="24"/>
                <w:szCs w:val="24"/>
                <w:shd w:val="clear" w:fill="FFFFFF"/>
                <w:vertAlign w:val="baseline"/>
                <w:lang w:val="en-US" w:eastAsia="zh-CN" w:bidi="ar"/>
              </w:rPr>
              <w:t>拟</w:t>
            </w:r>
            <w:r>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t>投资2600万元，建设一个现代化的黄花菜加工基地，打造年加工8000吨鲜黄花菜的大型项目。该项目旨在整合现有</w:t>
            </w:r>
            <w:r>
              <w:rPr>
                <w:rFonts w:hint="eastAsia" w:cs="Times New Roman"/>
                <w:i w:val="0"/>
                <w:iCs w:val="0"/>
                <w:caps w:val="0"/>
                <w:spacing w:val="0"/>
                <w:kern w:val="0"/>
                <w:sz w:val="24"/>
                <w:szCs w:val="24"/>
                <w:shd w:val="clear" w:fill="FFFFFF"/>
                <w:vertAlign w:val="baseline"/>
                <w:lang w:val="en-US" w:eastAsia="zh-CN" w:bidi="ar"/>
              </w:rPr>
              <w:t>3家</w:t>
            </w:r>
            <w:r>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t>小散乱污的加工资源，通过规模化、集约化、标准化的生产模式，从</w:t>
            </w:r>
            <w:r>
              <w:rPr>
                <w:rFonts w:hint="eastAsia" w:cs="Times New Roman"/>
                <w:i w:val="0"/>
                <w:iCs w:val="0"/>
                <w:caps w:val="0"/>
                <w:spacing w:val="0"/>
                <w:kern w:val="0"/>
                <w:sz w:val="24"/>
                <w:szCs w:val="24"/>
                <w:shd w:val="clear" w:fill="FFFFFF"/>
                <w:vertAlign w:val="baseline"/>
                <w:lang w:val="en-US" w:eastAsia="zh-CN" w:bidi="ar"/>
              </w:rPr>
              <w:t>源头</w:t>
            </w:r>
            <w:r>
              <w:rPr>
                <w:rFonts w:hint="default" w:ascii="Times New Roman" w:hAnsi="Times New Roman" w:eastAsia="宋体" w:cs="Times New Roman"/>
                <w:i w:val="0"/>
                <w:iCs w:val="0"/>
                <w:caps w:val="0"/>
                <w:spacing w:val="0"/>
                <w:kern w:val="0"/>
                <w:sz w:val="24"/>
                <w:szCs w:val="24"/>
                <w:shd w:val="clear" w:fill="FFFFFF"/>
                <w:vertAlign w:val="baseline"/>
                <w:lang w:val="en-US" w:eastAsia="zh-CN" w:bidi="ar"/>
              </w:rPr>
              <w:t>解决废水无序排放问题</w:t>
            </w:r>
            <w:r>
              <w:rPr>
                <w:rFonts w:hint="eastAsia" w:cs="Times New Roman"/>
                <w:i w:val="0"/>
                <w:iCs w:val="0"/>
                <w:caps w:val="0"/>
                <w:spacing w:val="0"/>
                <w:kern w:val="0"/>
                <w:sz w:val="24"/>
                <w:szCs w:val="24"/>
                <w:shd w:val="clear" w:fill="FFFFFF"/>
                <w:vertAlign w:val="baseline"/>
                <w:lang w:val="en-US" w:eastAsia="zh-CN" w:bidi="ar"/>
              </w:rPr>
              <w:t>。项目建成运营后，上述3家加工企业将全部关停。本项目的建成不仅能通过规范的废水处理系统切断污染源，大幅降低污染物排放量，更能从根本上改善区域地表水环境质量，原本直接排入外环境的加工废水将得到专业化处理，实现达标排放。这一转变将有效解决历史遗留的水环境治理难题，推动区域污染物排放总量显著下降，为祁东县黄花菜产业构建起绿色、环保、高效的发展新格局奠定坚实基础。</w:t>
            </w:r>
          </w:p>
          <w:p w14:paraId="4198F618">
            <w:pPr>
              <w:pStyle w:val="42"/>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Cs w:val="24"/>
                <w:highlight w:val="none"/>
              </w:rPr>
            </w:pPr>
            <w:r>
              <w:rPr>
                <w:rFonts w:hint="eastAsia" w:ascii="Times New Roman" w:cs="Times New Roman"/>
                <w:color w:val="auto"/>
                <w:szCs w:val="24"/>
                <w:highlight w:val="none"/>
                <w:lang w:val="en-US" w:eastAsia="zh-CN"/>
              </w:rPr>
              <w:t>本</w:t>
            </w:r>
            <w:r>
              <w:rPr>
                <w:rFonts w:hint="default" w:ascii="Times New Roman" w:hAnsi="Times New Roman" w:eastAsia="宋体" w:cs="Times New Roman"/>
                <w:color w:val="auto"/>
                <w:szCs w:val="24"/>
                <w:highlight w:val="none"/>
                <w:lang w:val="en-US" w:eastAsia="zh-CN"/>
              </w:rPr>
              <w:t>项目已在</w:t>
            </w:r>
            <w:r>
              <w:rPr>
                <w:rFonts w:hint="eastAsia" w:ascii="Times New Roman" w:cs="Times New Roman"/>
                <w:color w:val="auto"/>
                <w:szCs w:val="24"/>
                <w:highlight w:val="none"/>
                <w:lang w:val="en-US" w:eastAsia="zh-CN"/>
              </w:rPr>
              <w:t>祁东县发展与改革局</w:t>
            </w:r>
            <w:r>
              <w:rPr>
                <w:rFonts w:hint="default" w:ascii="Times New Roman" w:cs="Times New Roman"/>
                <w:color w:val="auto"/>
                <w:szCs w:val="24"/>
                <w:highlight w:val="none"/>
                <w:lang w:val="en-US" w:eastAsia="zh-CN"/>
              </w:rPr>
              <w:t>进行备案</w:t>
            </w:r>
            <w:r>
              <w:rPr>
                <w:rFonts w:hint="default" w:ascii="Times New Roman" w:hAnsi="Times New Roman" w:eastAsia="宋体" w:cs="Times New Roman"/>
                <w:color w:val="auto"/>
                <w:szCs w:val="24"/>
                <w:highlight w:val="none"/>
                <w:lang w:val="en-US" w:eastAsia="zh-CN"/>
              </w:rPr>
              <w:t>，湖南</w:t>
            </w:r>
            <w:r>
              <w:rPr>
                <w:rFonts w:hint="eastAsia" w:ascii="Times New Roman" w:cs="Times New Roman"/>
                <w:color w:val="auto"/>
                <w:szCs w:val="24"/>
                <w:highlight w:val="none"/>
                <w:lang w:val="en-US" w:eastAsia="zh-CN"/>
              </w:rPr>
              <w:t>省</w:t>
            </w:r>
            <w:r>
              <w:rPr>
                <w:rFonts w:hint="default" w:ascii="Times New Roman" w:hAnsi="Times New Roman" w:eastAsia="宋体" w:cs="Times New Roman"/>
                <w:color w:val="auto"/>
                <w:szCs w:val="24"/>
                <w:highlight w:val="none"/>
                <w:lang w:val="en-US" w:eastAsia="zh-CN"/>
              </w:rPr>
              <w:t>投资项目在线审批监管平台备案项目代码：2502-430426-04-01-485911</w:t>
            </w:r>
            <w:r>
              <w:rPr>
                <w:rFonts w:hint="default" w:ascii="Times New Roman" w:hAnsi="Times New Roman" w:eastAsia="宋体" w:cs="Times New Roman"/>
                <w:color w:val="auto"/>
                <w:szCs w:val="24"/>
                <w:highlight w:val="none"/>
              </w:rPr>
              <w:t>。</w:t>
            </w:r>
          </w:p>
          <w:p w14:paraId="6FDA12A9">
            <w:pPr>
              <w:keepNext w:val="0"/>
              <w:keepLines w:val="0"/>
              <w:widowControl/>
              <w:suppressLineNumbers w:val="0"/>
              <w:spacing w:before="0" w:beforeAutospacing="0" w:after="0" w:afterAutospacing="0" w:line="360" w:lineRule="auto"/>
              <w:ind w:left="0" w:right="0" w:firstLine="482"/>
              <w:jc w:val="left"/>
              <w:rPr>
                <w:rFonts w:hint="default" w:ascii="Times New Roman" w:hAnsi="Times New Roman" w:eastAsia="宋体" w:cs="Times New Roman"/>
                <w:color w:val="auto"/>
                <w:highlight w:val="none"/>
              </w:rPr>
            </w:pPr>
            <w:r>
              <w:rPr>
                <w:rFonts w:hint="default" w:ascii="Times New Roman" w:hAnsi="Times New Roman" w:eastAsia="宋体" w:cs="Times New Roman"/>
                <w:color w:val="auto"/>
                <w:sz w:val="24"/>
                <w:highlight w:val="none"/>
              </w:rPr>
              <w:t>根据《中华人民共和国环境影响评价法》、《建设项目环境保护管理条例》（国务院令第682号）、</w:t>
            </w:r>
            <w:r>
              <w:rPr>
                <w:rFonts w:hint="default" w:ascii="Times New Roman" w:hAnsi="Times New Roman" w:eastAsia="宋体" w:cs="Times New Roman"/>
                <w:bCs/>
                <w:color w:val="auto"/>
                <w:sz w:val="24"/>
                <w:highlight w:val="none"/>
              </w:rPr>
              <w:t>《建设项目环境影响评价分类管理名录》（20</w:t>
            </w:r>
            <w:r>
              <w:rPr>
                <w:rFonts w:hint="default" w:ascii="Times New Roman" w:hAnsi="Times New Roman" w:cs="Times New Roman"/>
                <w:bCs/>
                <w:color w:val="auto"/>
                <w:sz w:val="24"/>
                <w:highlight w:val="none"/>
                <w:lang w:val="en-US" w:eastAsia="zh-CN"/>
              </w:rPr>
              <w:t>21</w:t>
            </w:r>
            <w:r>
              <w:rPr>
                <w:rFonts w:hint="default" w:ascii="Times New Roman" w:hAnsi="Times New Roman" w:eastAsia="宋体" w:cs="Times New Roman"/>
                <w:bCs/>
                <w:color w:val="auto"/>
                <w:sz w:val="24"/>
                <w:highlight w:val="none"/>
              </w:rPr>
              <w:t>版）</w:t>
            </w:r>
            <w:r>
              <w:rPr>
                <w:rFonts w:hint="default" w:ascii="Times New Roman" w:hAnsi="Times New Roman" w:eastAsia="宋体" w:cs="Times New Roman"/>
                <w:color w:val="auto"/>
                <w:sz w:val="24"/>
                <w:highlight w:val="none"/>
              </w:rPr>
              <w:t>，本项目属于“</w:t>
            </w:r>
            <w:r>
              <w:rPr>
                <w:rFonts w:hint="default" w:cs="Times New Roman"/>
                <w:b w:val="0"/>
                <w:bCs w:val="0"/>
                <w:color w:val="auto"/>
                <w:sz w:val="24"/>
                <w:szCs w:val="24"/>
                <w:highlight w:val="none"/>
                <w:lang w:val="en-US"/>
              </w:rPr>
              <w:t>十</w:t>
            </w:r>
            <w:r>
              <w:rPr>
                <w:rFonts w:hint="default" w:cs="Times New Roman"/>
                <w:b w:val="0"/>
                <w:bCs w:val="0"/>
                <w:color w:val="auto"/>
                <w:sz w:val="24"/>
                <w:szCs w:val="24"/>
                <w:highlight w:val="none"/>
                <w:lang w:val="en-US" w:eastAsia="zh-CN"/>
              </w:rPr>
              <w:t>一</w:t>
            </w:r>
            <w:r>
              <w:rPr>
                <w:rFonts w:hint="default" w:cs="Times New Roman"/>
                <w:b w:val="0"/>
                <w:bCs w:val="0"/>
                <w:color w:val="auto"/>
                <w:sz w:val="24"/>
                <w:szCs w:val="24"/>
                <w:highlight w:val="none"/>
                <w:lang w:val="en-US"/>
              </w:rPr>
              <w:t>、</w:t>
            </w:r>
            <w:r>
              <w:rPr>
                <w:rFonts w:hint="default" w:cs="Times New Roman"/>
                <w:b w:val="0"/>
                <w:bCs w:val="0"/>
                <w:color w:val="auto"/>
                <w:sz w:val="24"/>
                <w:szCs w:val="24"/>
                <w:highlight w:val="none"/>
                <w:lang w:val="en-US" w:eastAsia="zh-CN"/>
              </w:rPr>
              <w:t>食品制造业</w:t>
            </w:r>
            <w:r>
              <w:rPr>
                <w:rFonts w:hint="eastAsia" w:cs="Times New Roman"/>
                <w:b w:val="0"/>
                <w:bCs w:val="0"/>
                <w:color w:val="auto"/>
                <w:sz w:val="24"/>
                <w:szCs w:val="24"/>
                <w:highlight w:val="none"/>
                <w:lang w:val="en-US" w:eastAsia="zh-CN"/>
              </w:rPr>
              <w:t>14——</w:t>
            </w:r>
            <w:r>
              <w:rPr>
                <w:rFonts w:hint="eastAsia"/>
                <w:b w:val="0"/>
                <w:bCs w:val="0"/>
                <w:color w:val="auto"/>
                <w:highlight w:val="none"/>
                <w:lang w:val="en-US" w:eastAsia="zh-CN"/>
              </w:rPr>
              <w:t>方便食品制造143——</w:t>
            </w:r>
            <w:r>
              <w:rPr>
                <w:rFonts w:hint="default"/>
                <w:b w:val="0"/>
                <w:bCs w:val="0"/>
                <w:color w:val="auto"/>
                <w:highlight w:val="none"/>
                <w:lang w:val="en-US" w:eastAsia="zh-CN"/>
              </w:rPr>
              <w:t xml:space="preserve"> </w:t>
            </w:r>
            <w:r>
              <w:rPr>
                <w:rFonts w:hint="eastAsia"/>
                <w:b w:val="0"/>
                <w:bCs w:val="0"/>
                <w:color w:val="auto"/>
                <w:highlight w:val="none"/>
                <w:lang w:val="en-US" w:eastAsia="zh-CN"/>
              </w:rPr>
              <w:t>除单纯分装外的；十、农副食品加工业13——其他农副食品加工139</w:t>
            </w: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lang w:val="en-US" w:eastAsia="zh-CN"/>
              </w:rPr>
              <w:t>应当编制环境影响报告表。</w:t>
            </w:r>
            <w:r>
              <w:rPr>
                <w:rFonts w:hint="default" w:ascii="Times New Roman" w:hAnsi="Times New Roman" w:eastAsia="宋体" w:cs="Times New Roman"/>
                <w:color w:val="auto"/>
                <w:sz w:val="24"/>
                <w:highlight w:val="none"/>
              </w:rPr>
              <w:t>我单位</w:t>
            </w:r>
            <w:r>
              <w:rPr>
                <w:rFonts w:hint="default" w:cs="Times New Roman"/>
                <w:color w:val="auto"/>
                <w:sz w:val="24"/>
                <w:highlight w:val="none"/>
                <w:lang w:eastAsia="zh-CN"/>
              </w:rPr>
              <w:t>（</w:t>
            </w:r>
            <w:r>
              <w:rPr>
                <w:rFonts w:hint="default" w:cs="Times New Roman"/>
                <w:color w:val="auto"/>
                <w:sz w:val="24"/>
                <w:highlight w:val="none"/>
                <w:lang w:val="en-US" w:eastAsia="zh-CN"/>
              </w:rPr>
              <w:t>湖南省博科环境工程有限公司</w:t>
            </w:r>
            <w:r>
              <w:rPr>
                <w:rFonts w:hint="default" w:cs="Times New Roman"/>
                <w:color w:val="auto"/>
                <w:sz w:val="24"/>
                <w:highlight w:val="none"/>
                <w:lang w:eastAsia="zh-CN"/>
              </w:rPr>
              <w:t>）</w:t>
            </w:r>
            <w:r>
              <w:rPr>
                <w:rFonts w:hint="default" w:ascii="Times New Roman" w:hAnsi="Times New Roman" w:eastAsia="宋体" w:cs="Times New Roman"/>
                <w:color w:val="auto"/>
                <w:sz w:val="24"/>
                <w:highlight w:val="none"/>
              </w:rPr>
              <w:t>在接受委托后，通过现场踏勘、调研和收集资料，根据相关技术导则和规范编制完成了《年</w:t>
            </w:r>
            <w:r>
              <w:rPr>
                <w:rFonts w:hint="eastAsia" w:cs="Times New Roman"/>
                <w:color w:val="auto"/>
                <w:sz w:val="24"/>
                <w:highlight w:val="none"/>
                <w:lang w:val="en-US" w:eastAsia="zh-CN"/>
              </w:rPr>
              <w:t>加工8000</w:t>
            </w:r>
            <w:r>
              <w:rPr>
                <w:rFonts w:hint="default" w:ascii="Times New Roman" w:hAnsi="Times New Roman" w:eastAsia="宋体" w:cs="Times New Roman"/>
                <w:color w:val="auto"/>
                <w:sz w:val="24"/>
                <w:highlight w:val="none"/>
              </w:rPr>
              <w:t>吨</w:t>
            </w:r>
            <w:r>
              <w:rPr>
                <w:rFonts w:hint="eastAsia" w:cs="Times New Roman"/>
                <w:color w:val="auto"/>
                <w:sz w:val="24"/>
                <w:highlight w:val="none"/>
                <w:lang w:val="en-US" w:eastAsia="zh-CN"/>
              </w:rPr>
              <w:t>鲜黄花菜</w:t>
            </w:r>
            <w:r>
              <w:rPr>
                <w:rFonts w:hint="default" w:ascii="Times New Roman" w:hAnsi="Times New Roman" w:eastAsia="宋体" w:cs="Times New Roman"/>
                <w:color w:val="auto"/>
                <w:sz w:val="24"/>
                <w:highlight w:val="none"/>
              </w:rPr>
              <w:t>项目环境影响报告表》。</w:t>
            </w:r>
          </w:p>
          <w:p w14:paraId="7A738E7D">
            <w:pPr>
              <w:pStyle w:val="2"/>
              <w:keepLines w:val="0"/>
              <w:numPr>
                <w:ilvl w:val="0"/>
                <w:numId w:val="0"/>
              </w:numPr>
              <w:suppressLineNumbers w:val="0"/>
              <w:tabs>
                <w:tab w:val="left" w:pos="0"/>
              </w:tabs>
              <w:bidi w:val="0"/>
              <w:adjustRightInd w:val="0"/>
              <w:spacing w:before="0" w:beforeLines="0" w:beforeAutospacing="0" w:after="0" w:afterAutospacing="0"/>
              <w:ind w:leftChars="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建设项目概况</w:t>
            </w:r>
            <w:bookmarkEnd w:id="10"/>
          </w:p>
          <w:p w14:paraId="3A515212">
            <w:pPr>
              <w:keepNext w:val="0"/>
              <w:keepLines w:val="0"/>
              <w:numPr>
                <w:ilvl w:val="0"/>
                <w:numId w:val="6"/>
              </w:numPr>
              <w:suppressLineNumbers w:val="0"/>
              <w:adjustRightInd w:val="0"/>
              <w:snapToGrid w:val="0"/>
              <w:spacing w:before="0" w:beforeLines="0" w:beforeAutospacing="0" w:after="0" w:afterAutospacing="0"/>
              <w:ind w:left="0" w:right="0" w:firstLine="480" w:firstLineChars="200"/>
              <w:rPr>
                <w:rFonts w:hint="default" w:cs="Times New Roman"/>
                <w:color w:val="auto"/>
                <w:highlight w:val="none"/>
                <w:lang w:val="en-US" w:eastAsia="zh-CN"/>
              </w:rPr>
            </w:pPr>
            <w:r>
              <w:rPr>
                <w:rFonts w:hint="default" w:cs="Times New Roman"/>
                <w:color w:val="auto"/>
                <w:highlight w:val="none"/>
                <w:lang w:val="en-US" w:eastAsia="zh-CN"/>
              </w:rPr>
              <w:t>项目名称：年加工8000吨鲜黄花菜项目；</w:t>
            </w:r>
          </w:p>
          <w:p w14:paraId="7752D662">
            <w:pPr>
              <w:keepNext w:val="0"/>
              <w:keepLines w:val="0"/>
              <w:numPr>
                <w:ilvl w:val="0"/>
                <w:numId w:val="6"/>
              </w:numPr>
              <w:suppressLineNumbers w:val="0"/>
              <w:adjustRightInd w:val="0"/>
              <w:snapToGrid w:val="0"/>
              <w:spacing w:before="0" w:beforeLines="0" w:beforeAutospacing="0" w:after="0" w:afterAutospacing="0"/>
              <w:ind w:left="0" w:right="0" w:firstLine="480" w:firstLineChars="200"/>
              <w:rPr>
                <w:rFonts w:hint="default" w:cs="Times New Roman"/>
                <w:color w:val="auto"/>
                <w:highlight w:val="none"/>
                <w:lang w:val="en-US" w:eastAsia="zh-CN"/>
              </w:rPr>
            </w:pPr>
            <w:r>
              <w:rPr>
                <w:rFonts w:hint="default" w:cs="Times New Roman"/>
                <w:color w:val="auto"/>
                <w:highlight w:val="none"/>
                <w:lang w:val="en-US" w:eastAsia="zh-CN"/>
              </w:rPr>
              <w:t>建设单位：</w:t>
            </w:r>
            <w:r>
              <w:rPr>
                <w:rFonts w:hint="default" w:ascii="Times New Roman" w:hAnsi="Times New Roman" w:eastAsia="宋体" w:cs="Times New Roman"/>
                <w:i w:val="0"/>
                <w:iCs w:val="0"/>
                <w:caps w:val="0"/>
                <w:spacing w:val="0"/>
                <w:kern w:val="0"/>
                <w:sz w:val="24"/>
                <w:szCs w:val="24"/>
                <w:highlight w:val="none"/>
                <w:shd w:val="clear" w:fill="FFFFFF"/>
                <w:vertAlign w:val="baseline"/>
                <w:lang w:val="en-US" w:eastAsia="zh-CN" w:bidi="ar"/>
              </w:rPr>
              <w:t>湖南利胜达生态农业科技开发有限公司</w:t>
            </w:r>
            <w:r>
              <w:rPr>
                <w:rFonts w:hint="default" w:cs="Times New Roman"/>
                <w:color w:val="auto"/>
                <w:highlight w:val="none"/>
                <w:lang w:val="en-US" w:eastAsia="zh-CN"/>
              </w:rPr>
              <w:t>；</w:t>
            </w:r>
          </w:p>
          <w:p w14:paraId="1B57FBE2">
            <w:pPr>
              <w:keepNext w:val="0"/>
              <w:keepLines w:val="0"/>
              <w:numPr>
                <w:ilvl w:val="0"/>
                <w:numId w:val="6"/>
              </w:numPr>
              <w:suppressLineNumbers w:val="0"/>
              <w:adjustRightInd w:val="0"/>
              <w:snapToGrid w:val="0"/>
              <w:spacing w:before="0" w:beforeLines="0" w:beforeAutospacing="0" w:after="0" w:afterAutospacing="0"/>
              <w:ind w:left="0" w:right="0" w:firstLine="480" w:firstLineChars="200"/>
              <w:rPr>
                <w:rFonts w:hint="default" w:cs="Times New Roman"/>
                <w:color w:val="auto"/>
                <w:highlight w:val="none"/>
                <w:lang w:val="en-US" w:eastAsia="zh-CN"/>
              </w:rPr>
            </w:pPr>
            <w:r>
              <w:rPr>
                <w:rFonts w:hint="default" w:cs="Times New Roman"/>
                <w:color w:val="auto"/>
                <w:highlight w:val="none"/>
                <w:lang w:val="en-US" w:eastAsia="zh-CN"/>
              </w:rPr>
              <w:t>建设地点：</w:t>
            </w:r>
            <w:r>
              <w:rPr>
                <w:rFonts w:hint="eastAsia" w:cs="Times New Roman"/>
                <w:color w:val="auto"/>
                <w:highlight w:val="none"/>
                <w:lang w:val="en-US" w:eastAsia="zh-CN"/>
              </w:rPr>
              <w:t>祁东县官家嘴镇官家嘴村</w:t>
            </w:r>
            <w:r>
              <w:rPr>
                <w:rFonts w:hint="default" w:cs="Times New Roman"/>
                <w:color w:val="auto"/>
                <w:highlight w:val="none"/>
                <w:lang w:val="en-US" w:eastAsia="zh-CN"/>
              </w:rPr>
              <w:t>（中心坐标：</w:t>
            </w:r>
            <w:r>
              <w:rPr>
                <w:rFonts w:hint="default" w:ascii="Times New Roman" w:hAnsi="Times New Roman" w:eastAsia="宋体" w:cs="Times New Roman"/>
                <w:bCs/>
                <w:color w:val="auto"/>
                <w:highlight w:val="none"/>
              </w:rPr>
              <w:t>东经111°50′7.01271″，北纬26°56′12.55719″</w:t>
            </w:r>
            <w:r>
              <w:rPr>
                <w:rFonts w:hint="default" w:cs="Times New Roman"/>
                <w:color w:val="auto"/>
                <w:highlight w:val="none"/>
                <w:lang w:val="en-US" w:eastAsia="zh-CN"/>
              </w:rPr>
              <w:t>）；</w:t>
            </w:r>
          </w:p>
          <w:p w14:paraId="46693F22">
            <w:pPr>
              <w:keepNext w:val="0"/>
              <w:keepLines w:val="0"/>
              <w:numPr>
                <w:ilvl w:val="0"/>
                <w:numId w:val="6"/>
              </w:numPr>
              <w:suppressLineNumbers w:val="0"/>
              <w:adjustRightInd w:val="0"/>
              <w:snapToGrid w:val="0"/>
              <w:spacing w:before="0" w:beforeLines="0" w:beforeAutospacing="0" w:after="0" w:afterAutospacing="0"/>
              <w:ind w:left="0" w:right="0" w:firstLine="480" w:firstLineChars="200"/>
              <w:rPr>
                <w:rFonts w:hint="default" w:cs="Times New Roman"/>
                <w:color w:val="auto"/>
                <w:highlight w:val="none"/>
                <w:lang w:val="en-US" w:eastAsia="zh-CN"/>
              </w:rPr>
            </w:pPr>
            <w:r>
              <w:rPr>
                <w:rFonts w:hint="default" w:cs="Times New Roman"/>
                <w:color w:val="auto"/>
                <w:highlight w:val="none"/>
                <w:lang w:val="en-US" w:eastAsia="zh-CN"/>
              </w:rPr>
              <w:t>建设性质：新建</w:t>
            </w:r>
            <w:r>
              <w:rPr>
                <w:rFonts w:hint="eastAsia" w:cs="Times New Roman"/>
                <w:color w:val="auto"/>
                <w:highlight w:val="none"/>
                <w:lang w:val="en-US" w:eastAsia="zh-CN"/>
              </w:rPr>
              <w:t>（已建）</w:t>
            </w:r>
            <w:r>
              <w:rPr>
                <w:rFonts w:hint="default" w:cs="Times New Roman"/>
                <w:color w:val="auto"/>
                <w:highlight w:val="none"/>
                <w:lang w:val="en-US" w:eastAsia="zh-CN"/>
              </w:rPr>
              <w:t>；</w:t>
            </w:r>
          </w:p>
          <w:p w14:paraId="60F032B0">
            <w:pPr>
              <w:keepNext w:val="0"/>
              <w:keepLines w:val="0"/>
              <w:numPr>
                <w:ilvl w:val="0"/>
                <w:numId w:val="6"/>
              </w:numPr>
              <w:suppressLineNumbers w:val="0"/>
              <w:adjustRightInd w:val="0"/>
              <w:snapToGrid w:val="0"/>
              <w:spacing w:before="0" w:beforeLines="0" w:beforeAutospacing="0" w:after="0" w:afterAutospacing="0"/>
              <w:ind w:left="0" w:right="0" w:firstLine="480" w:firstLineChars="200"/>
              <w:rPr>
                <w:rFonts w:hint="default" w:cs="Times New Roman"/>
                <w:color w:val="auto"/>
                <w:highlight w:val="none"/>
                <w:lang w:val="en-US" w:eastAsia="zh-CN"/>
              </w:rPr>
            </w:pPr>
            <w:r>
              <w:rPr>
                <w:rFonts w:hint="default" w:cs="Times New Roman"/>
                <w:color w:val="auto"/>
                <w:highlight w:val="none"/>
                <w:lang w:val="en-US" w:eastAsia="zh-CN"/>
              </w:rPr>
              <w:t>项目投资：</w:t>
            </w:r>
            <w:r>
              <w:rPr>
                <w:rFonts w:hint="default" w:ascii="Times New Roman" w:hAnsi="Times New Roman" w:cs="Times New Roman"/>
                <w:color w:val="auto"/>
                <w:highlight w:val="none"/>
                <w:lang w:val="en-US" w:eastAsia="zh-CN"/>
              </w:rPr>
              <w:t>2</w:t>
            </w:r>
            <w:r>
              <w:rPr>
                <w:rFonts w:hint="eastAsia" w:cs="Times New Roman"/>
                <w:color w:val="auto"/>
                <w:highlight w:val="none"/>
                <w:lang w:val="en-US" w:eastAsia="zh-CN"/>
              </w:rPr>
              <w:t>6</w:t>
            </w:r>
            <w:r>
              <w:rPr>
                <w:rFonts w:hint="default" w:ascii="Times New Roman" w:hAnsi="Times New Roman" w:cs="Times New Roman"/>
                <w:color w:val="auto"/>
                <w:highlight w:val="none"/>
                <w:lang w:val="en-US" w:eastAsia="zh-CN"/>
              </w:rPr>
              <w:t>00</w:t>
            </w:r>
            <w:r>
              <w:rPr>
                <w:rFonts w:hint="default" w:cs="Times New Roman"/>
                <w:color w:val="auto"/>
                <w:highlight w:val="none"/>
                <w:lang w:val="en-US" w:eastAsia="zh-CN"/>
              </w:rPr>
              <w:t>万元；</w:t>
            </w:r>
          </w:p>
          <w:p w14:paraId="46AA4A7D">
            <w:pPr>
              <w:keepNext w:val="0"/>
              <w:keepLines w:val="0"/>
              <w:numPr>
                <w:ilvl w:val="0"/>
                <w:numId w:val="6"/>
              </w:numPr>
              <w:suppressLineNumbers w:val="0"/>
              <w:adjustRightInd w:val="0"/>
              <w:snapToGrid w:val="0"/>
              <w:spacing w:before="0" w:beforeLines="0" w:beforeAutospacing="0" w:after="0" w:afterAutospacing="0"/>
              <w:ind w:left="0" w:right="0" w:firstLine="480" w:firstLineChars="200"/>
              <w:rPr>
                <w:rFonts w:hint="default" w:cs="Times New Roman"/>
                <w:color w:val="auto"/>
                <w:highlight w:val="none"/>
                <w:lang w:val="en-US" w:eastAsia="zh-CN"/>
              </w:rPr>
            </w:pPr>
            <w:r>
              <w:rPr>
                <w:rFonts w:hint="default" w:cs="Times New Roman"/>
                <w:color w:val="auto"/>
                <w:highlight w:val="none"/>
                <w:lang w:val="en-US" w:eastAsia="zh-CN"/>
              </w:rPr>
              <w:t>占地面积：</w:t>
            </w:r>
            <w:r>
              <w:rPr>
                <w:rFonts w:hint="eastAsia" w:cs="Times New Roman"/>
                <w:color w:val="auto"/>
                <w:sz w:val="24"/>
                <w:szCs w:val="24"/>
                <w:highlight w:val="none"/>
                <w:lang w:val="en-US" w:eastAsia="zh-CN"/>
              </w:rPr>
              <w:t>15758.34</w:t>
            </w:r>
            <w:r>
              <w:rPr>
                <w:rFonts w:hint="default" w:cs="Times New Roman"/>
                <w:color w:val="auto"/>
                <w:highlight w:val="none"/>
                <w:lang w:val="en-US" w:eastAsia="zh-CN"/>
              </w:rPr>
              <w:t>平方米</w:t>
            </w:r>
            <w:r>
              <w:rPr>
                <w:rFonts w:hint="eastAsia" w:cs="Times New Roman"/>
                <w:color w:val="auto"/>
                <w:highlight w:val="none"/>
                <w:lang w:val="en-US" w:eastAsia="zh-CN"/>
              </w:rPr>
              <w:t>（约23.6亩）</w:t>
            </w:r>
            <w:r>
              <w:rPr>
                <w:rFonts w:hint="default" w:cs="Times New Roman"/>
                <w:color w:val="auto"/>
                <w:highlight w:val="none"/>
                <w:lang w:val="en-US" w:eastAsia="zh-CN"/>
              </w:rPr>
              <w:t>。</w:t>
            </w:r>
          </w:p>
          <w:p w14:paraId="315FB4A0">
            <w:pPr>
              <w:pStyle w:val="2"/>
              <w:keepLines w:val="0"/>
              <w:numPr>
                <w:ilvl w:val="0"/>
                <w:numId w:val="0"/>
              </w:numPr>
              <w:suppressLineNumbers w:val="0"/>
              <w:tabs>
                <w:tab w:val="left" w:pos="0"/>
              </w:tabs>
              <w:bidi w:val="0"/>
              <w:adjustRightInd w:val="0"/>
              <w:spacing w:before="0" w:beforeLines="0" w:beforeAutospacing="0" w:after="0" w:afterAutospacing="0"/>
              <w:ind w:leftChars="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3</w:t>
            </w:r>
            <w:r>
              <w:rPr>
                <w:rFonts w:hint="default" w:cs="Times New Roman"/>
                <w:color w:val="auto"/>
                <w:highlight w:val="none"/>
                <w:lang w:val="en-US" w:eastAsia="zh-CN"/>
              </w:rPr>
              <w:t>建设内容及规模</w:t>
            </w:r>
          </w:p>
          <w:p w14:paraId="02ABBB95">
            <w:pPr>
              <w:keepNext w:val="0"/>
              <w:keepLines w:val="0"/>
              <w:widowControl/>
              <w:suppressLineNumbers w:val="0"/>
              <w:spacing w:before="0" w:beforeAutospacing="0" w:after="0" w:afterAutospacing="0" w:line="360" w:lineRule="auto"/>
              <w:ind w:left="0" w:right="0" w:firstLine="482"/>
              <w:jc w:val="left"/>
              <w:rPr>
                <w:rFonts w:hint="default" w:cs="Times New Roman"/>
                <w:color w:val="auto"/>
                <w:highlight w:val="none"/>
                <w:lang w:val="en-US" w:eastAsia="zh-CN"/>
              </w:rPr>
            </w:pPr>
            <w:r>
              <w:rPr>
                <w:rFonts w:hint="eastAsia"/>
                <w:b w:val="0"/>
                <w:bCs w:val="0"/>
                <w:color w:val="auto"/>
                <w:highlight w:val="none"/>
                <w:lang w:val="en-US" w:eastAsia="zh-CN"/>
              </w:rPr>
              <w:t>本</w:t>
            </w:r>
            <w:r>
              <w:rPr>
                <w:rFonts w:hint="default"/>
                <w:b w:val="0"/>
                <w:bCs w:val="0"/>
                <w:color w:val="auto"/>
                <w:highlight w:val="none"/>
                <w:lang w:val="en-US" w:eastAsia="zh-CN"/>
              </w:rPr>
              <w:t>项目</w:t>
            </w:r>
            <w:r>
              <w:rPr>
                <w:rFonts w:hint="eastAsia"/>
                <w:b w:val="0"/>
                <w:bCs w:val="0"/>
                <w:color w:val="auto"/>
                <w:highlight w:val="none"/>
                <w:lang w:val="en-US" w:eastAsia="zh-CN"/>
              </w:rPr>
              <w:t>主</w:t>
            </w:r>
            <w:r>
              <w:rPr>
                <w:rFonts w:hint="default"/>
                <w:b w:val="0"/>
                <w:bCs w:val="0"/>
                <w:color w:val="auto"/>
                <w:highlight w:val="none"/>
                <w:lang w:val="en-US" w:eastAsia="zh-CN"/>
              </w:rPr>
              <w:t>要由主体工程、</w:t>
            </w:r>
            <w:r>
              <w:rPr>
                <w:rFonts w:hint="eastAsia"/>
                <w:b w:val="0"/>
                <w:bCs w:val="0"/>
                <w:color w:val="auto"/>
                <w:highlight w:val="none"/>
                <w:lang w:val="en-US" w:eastAsia="zh-CN"/>
              </w:rPr>
              <w:t>辅助工程、</w:t>
            </w:r>
            <w:r>
              <w:rPr>
                <w:rFonts w:hint="default"/>
                <w:b w:val="0"/>
                <w:bCs w:val="0"/>
                <w:color w:val="auto"/>
                <w:highlight w:val="none"/>
                <w:lang w:val="en-US" w:eastAsia="zh-CN"/>
              </w:rPr>
              <w:t>公用工程及环保工程组成</w:t>
            </w:r>
            <w:r>
              <w:rPr>
                <w:rFonts w:hint="default" w:cs="Times New Roman"/>
                <w:color w:val="auto"/>
                <w:highlight w:val="none"/>
                <w:lang w:val="en-US" w:eastAsia="zh-CN"/>
              </w:rPr>
              <w:t>，项目主要建设内容见下表。</w:t>
            </w:r>
          </w:p>
          <w:p w14:paraId="5FE5086F">
            <w:pPr>
              <w:keepNext w:val="0"/>
              <w:keepLines w:val="0"/>
              <w:suppressLineNumbers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default" w:ascii="Times New Roman" w:hAnsi="Times New Roman" w:eastAsia="宋体" w:cs="Times New Roman"/>
                <w:b/>
                <w:color w:val="auto"/>
                <w:sz w:val="21"/>
                <w:szCs w:val="21"/>
                <w:highlight w:val="none"/>
              </w:rPr>
              <w:t>表</w:t>
            </w:r>
            <w:r>
              <w:rPr>
                <w:rFonts w:hint="default" w:ascii="Times New Roman" w:hAnsi="Times New Roman" w:cs="Times New Roman"/>
                <w:b/>
                <w:color w:val="auto"/>
                <w:sz w:val="21"/>
                <w:szCs w:val="21"/>
                <w:highlight w:val="none"/>
                <w:lang w:val="en-US" w:eastAsia="zh-CN"/>
              </w:rPr>
              <w:t>2</w:t>
            </w:r>
            <w:r>
              <w:rPr>
                <w:rFonts w:hint="default" w:cs="Times New Roman"/>
                <w:b/>
                <w:color w:val="auto"/>
                <w:sz w:val="21"/>
                <w:szCs w:val="21"/>
                <w:highlight w:val="none"/>
                <w:lang w:val="en-US" w:eastAsia="zh-CN"/>
              </w:rPr>
              <w:t>.1</w:t>
            </w:r>
            <w:r>
              <w:rPr>
                <w:rFonts w:hint="default" w:ascii="Times New Roman" w:hAnsi="Times New Roman" w:eastAsia="宋体" w:cs="Times New Roman"/>
                <w:b/>
                <w:color w:val="auto"/>
                <w:sz w:val="21"/>
                <w:szCs w:val="21"/>
                <w:highlight w:val="none"/>
              </w:rPr>
              <w:t xml:space="preserve">-1 </w:t>
            </w:r>
            <w:r>
              <w:rPr>
                <w:rFonts w:hint="default" w:cs="Times New Roman"/>
                <w:b/>
                <w:color w:val="auto"/>
                <w:sz w:val="21"/>
                <w:szCs w:val="21"/>
                <w:highlight w:val="none"/>
                <w:lang w:val="en-US" w:eastAsia="zh-CN"/>
              </w:rPr>
              <w:t>主要建设内容</w:t>
            </w:r>
            <w:r>
              <w:rPr>
                <w:rFonts w:hint="default" w:ascii="Times New Roman" w:hAnsi="Times New Roman" w:eastAsia="宋体" w:cs="Times New Roman"/>
                <w:b/>
                <w:color w:val="auto"/>
                <w:sz w:val="21"/>
                <w:szCs w:val="21"/>
                <w:highlight w:val="none"/>
              </w:rPr>
              <w:t>一览表</w:t>
            </w:r>
          </w:p>
          <w:tbl>
            <w:tblPr>
              <w:tblStyle w:val="28"/>
              <w:tblW w:w="8408" w:type="dxa"/>
              <w:tblInd w:w="-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61"/>
              <w:gridCol w:w="986"/>
              <w:gridCol w:w="5187"/>
              <w:gridCol w:w="1574"/>
            </w:tblGrid>
            <w:tr w14:paraId="15B35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0" w:hRule="atLeast"/>
              </w:trPr>
              <w:tc>
                <w:tcPr>
                  <w:tcW w:w="661" w:type="dxa"/>
                  <w:vMerge w:val="restart"/>
                  <w:shd w:val="clear" w:color="auto" w:fill="auto"/>
                  <w:noWrap/>
                  <w:vAlign w:val="center"/>
                </w:tcPr>
                <w:p w14:paraId="54B8F1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主体工程</w:t>
                  </w:r>
                </w:p>
              </w:tc>
              <w:tc>
                <w:tcPr>
                  <w:tcW w:w="986" w:type="dxa"/>
                  <w:shd w:val="clear" w:color="auto" w:fill="auto"/>
                  <w:noWrap/>
                  <w:vAlign w:val="center"/>
                </w:tcPr>
                <w:p w14:paraId="453D1E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1#厂房</w:t>
                  </w:r>
                </w:p>
              </w:tc>
              <w:tc>
                <w:tcPr>
                  <w:tcW w:w="5187" w:type="dxa"/>
                  <w:shd w:val="clear" w:color="auto" w:fill="auto"/>
                  <w:vAlign w:val="center"/>
                </w:tcPr>
                <w:p w14:paraId="6338D7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1层，建筑面积2684m</w:t>
                  </w:r>
                  <w:r>
                    <w:rPr>
                      <w:rFonts w:hint="default" w:ascii="Times New Roman" w:hAnsi="Times New Roman" w:eastAsia="宋体" w:cs="Times New Roman"/>
                      <w:i w:val="0"/>
                      <w:iCs w:val="0"/>
                      <w:color w:val="000000"/>
                      <w:kern w:val="0"/>
                      <w:sz w:val="21"/>
                      <w:szCs w:val="21"/>
                      <w:u w:val="none"/>
                      <w:vertAlign w:val="superscript"/>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，主要包括1条干</w:t>
                  </w:r>
                  <w:r>
                    <w:rPr>
                      <w:rFonts w:hint="eastAsia" w:cs="Times New Roman"/>
                      <w:i w:val="0"/>
                      <w:iCs w:val="0"/>
                      <w:color w:val="000000"/>
                      <w:kern w:val="0"/>
                      <w:sz w:val="21"/>
                      <w:szCs w:val="21"/>
                      <w:u w:val="none"/>
                      <w:lang w:val="en-US" w:eastAsia="zh-CN" w:bidi="ar"/>
                    </w:rPr>
                    <w:t>花</w:t>
                  </w:r>
                  <w:r>
                    <w:rPr>
                      <w:rFonts w:hint="default" w:ascii="Times New Roman" w:hAnsi="Times New Roman" w:eastAsia="宋体" w:cs="Times New Roman"/>
                      <w:i w:val="0"/>
                      <w:iCs w:val="0"/>
                      <w:color w:val="000000"/>
                      <w:kern w:val="0"/>
                      <w:sz w:val="21"/>
                      <w:szCs w:val="21"/>
                      <w:u w:val="none"/>
                      <w:lang w:val="en-US" w:eastAsia="zh-CN" w:bidi="ar"/>
                    </w:rPr>
                    <w:t>菜菜生产线、1条</w:t>
                  </w:r>
                  <w:r>
                    <w:rPr>
                      <w:rFonts w:hint="eastAsia" w:cs="Times New Roman"/>
                      <w:i w:val="0"/>
                      <w:iCs w:val="0"/>
                      <w:color w:val="000000"/>
                      <w:kern w:val="0"/>
                      <w:sz w:val="21"/>
                      <w:szCs w:val="21"/>
                      <w:u w:val="none"/>
                      <w:lang w:val="en-US" w:eastAsia="zh-CN" w:bidi="ar"/>
                    </w:rPr>
                    <w:t>即食黄花</w:t>
                  </w:r>
                  <w:r>
                    <w:rPr>
                      <w:rFonts w:hint="default" w:ascii="Times New Roman" w:hAnsi="Times New Roman" w:eastAsia="宋体" w:cs="Times New Roman"/>
                      <w:i w:val="0"/>
                      <w:iCs w:val="0"/>
                      <w:color w:val="000000"/>
                      <w:kern w:val="0"/>
                      <w:sz w:val="21"/>
                      <w:szCs w:val="21"/>
                      <w:u w:val="none"/>
                      <w:lang w:val="en-US" w:eastAsia="zh-CN" w:bidi="ar"/>
                    </w:rPr>
                    <w:t>菜生产线、9间冷库</w:t>
                  </w:r>
                  <w:r>
                    <w:rPr>
                      <w:rFonts w:hint="eastAsia" w:cs="Times New Roman"/>
                      <w:i w:val="0"/>
                      <w:iCs w:val="0"/>
                      <w:color w:val="000000"/>
                      <w:kern w:val="0"/>
                      <w:sz w:val="21"/>
                      <w:szCs w:val="21"/>
                      <w:u w:val="none"/>
                      <w:lang w:val="en-US" w:eastAsia="zh-CN" w:bidi="ar"/>
                    </w:rPr>
                    <w:t>（其中1~7号冷库储存鲜黄花菜、储存温度零下5℃，8~9号冷库储存干黄花菜和即食黄花菜成品、储存温度5℃）</w:t>
                  </w:r>
                </w:p>
              </w:tc>
              <w:tc>
                <w:tcPr>
                  <w:tcW w:w="1574" w:type="dxa"/>
                  <w:shd w:val="clear" w:color="auto" w:fill="auto"/>
                  <w:noWrap/>
                  <w:vAlign w:val="center"/>
                </w:tcPr>
                <w:p w14:paraId="57DC0F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cs="Times New Roman"/>
                      <w:i w:val="0"/>
                      <w:iCs w:val="0"/>
                      <w:color w:val="000000"/>
                      <w:kern w:val="0"/>
                      <w:sz w:val="21"/>
                      <w:szCs w:val="21"/>
                      <w:u w:val="none"/>
                      <w:lang w:val="en-US" w:eastAsia="zh-CN" w:bidi="ar"/>
                    </w:rPr>
                    <w:t>厂房及生产线</w:t>
                  </w:r>
                  <w:r>
                    <w:rPr>
                      <w:rFonts w:hint="default" w:ascii="Times New Roman" w:hAnsi="Times New Roman" w:eastAsia="宋体" w:cs="Times New Roman"/>
                      <w:i w:val="0"/>
                      <w:iCs w:val="0"/>
                      <w:color w:val="000000"/>
                      <w:kern w:val="0"/>
                      <w:sz w:val="21"/>
                      <w:szCs w:val="21"/>
                      <w:u w:val="none"/>
                      <w:lang w:val="en-US" w:eastAsia="zh-CN" w:bidi="ar"/>
                    </w:rPr>
                    <w:t>已建</w:t>
                  </w:r>
                </w:p>
              </w:tc>
            </w:tr>
            <w:tr w14:paraId="17964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61" w:type="dxa"/>
                  <w:vMerge w:val="continue"/>
                  <w:shd w:val="clear" w:color="auto" w:fill="auto"/>
                  <w:noWrap/>
                  <w:vAlign w:val="center"/>
                </w:tcPr>
                <w:p w14:paraId="6C6216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1B27C5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2#厂房</w:t>
                  </w:r>
                </w:p>
              </w:tc>
              <w:tc>
                <w:tcPr>
                  <w:tcW w:w="5187" w:type="dxa"/>
                  <w:shd w:val="clear" w:color="auto" w:fill="auto"/>
                  <w:vAlign w:val="center"/>
                </w:tcPr>
                <w:p w14:paraId="7FB6B3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1层，建筑面积946m</w:t>
                  </w:r>
                  <w:r>
                    <w:rPr>
                      <w:rFonts w:hint="default" w:ascii="Times New Roman" w:hAnsi="Times New Roman" w:eastAsia="宋体" w:cs="Times New Roman"/>
                      <w:i w:val="0"/>
                      <w:iCs w:val="0"/>
                      <w:color w:val="000000"/>
                      <w:kern w:val="0"/>
                      <w:sz w:val="21"/>
                      <w:szCs w:val="21"/>
                      <w:u w:val="none"/>
                      <w:vertAlign w:val="superscript"/>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，主要包括</w:t>
                  </w:r>
                  <w:r>
                    <w:rPr>
                      <w:rFonts w:hint="eastAsia" w:cs="Times New Roman"/>
                      <w:i w:val="0"/>
                      <w:iCs w:val="0"/>
                      <w:color w:val="000000"/>
                      <w:kern w:val="0"/>
                      <w:sz w:val="21"/>
                      <w:szCs w:val="21"/>
                      <w:u w:val="none"/>
                      <w:lang w:val="en-US" w:eastAsia="zh-CN" w:bidi="ar"/>
                    </w:rPr>
                    <w:t>4</w:t>
                  </w:r>
                  <w:r>
                    <w:rPr>
                      <w:rFonts w:hint="default" w:ascii="Times New Roman" w:hAnsi="Times New Roman" w:eastAsia="宋体" w:cs="Times New Roman"/>
                      <w:i w:val="0"/>
                      <w:iCs w:val="0"/>
                      <w:color w:val="000000"/>
                      <w:kern w:val="0"/>
                      <w:sz w:val="21"/>
                      <w:szCs w:val="21"/>
                      <w:u w:val="none"/>
                      <w:lang w:val="en-US" w:eastAsia="zh-CN" w:bidi="ar"/>
                    </w:rPr>
                    <w:t>条</w:t>
                  </w:r>
                  <w:r>
                    <w:rPr>
                      <w:rFonts w:hint="eastAsia" w:cs="Times New Roman"/>
                      <w:i w:val="0"/>
                      <w:iCs w:val="0"/>
                      <w:color w:val="000000"/>
                      <w:kern w:val="0"/>
                      <w:sz w:val="21"/>
                      <w:szCs w:val="21"/>
                      <w:u w:val="none"/>
                      <w:lang w:val="en-US" w:eastAsia="zh-CN" w:bidi="ar"/>
                    </w:rPr>
                    <w:t>盐水渍菜</w:t>
                  </w:r>
                  <w:r>
                    <w:rPr>
                      <w:rFonts w:hint="default" w:ascii="Times New Roman" w:hAnsi="Times New Roman" w:eastAsia="宋体" w:cs="Times New Roman"/>
                      <w:i w:val="0"/>
                      <w:iCs w:val="0"/>
                      <w:color w:val="000000"/>
                      <w:kern w:val="0"/>
                      <w:sz w:val="21"/>
                      <w:szCs w:val="21"/>
                      <w:u w:val="none"/>
                      <w:lang w:val="en-US" w:eastAsia="zh-CN" w:bidi="ar"/>
                    </w:rPr>
                    <w:t>生产线</w:t>
                  </w:r>
                  <w:r>
                    <w:rPr>
                      <w:rFonts w:hint="eastAsia" w:cs="Times New Roman"/>
                      <w:i w:val="0"/>
                      <w:iCs w:val="0"/>
                      <w:color w:val="000000"/>
                      <w:kern w:val="0"/>
                      <w:sz w:val="21"/>
                      <w:szCs w:val="21"/>
                      <w:u w:val="none"/>
                      <w:lang w:val="en-US" w:eastAsia="zh-CN" w:bidi="ar"/>
                    </w:rPr>
                    <w:t>（其中2条自动生产线、2条人工生产线）</w:t>
                  </w:r>
                </w:p>
              </w:tc>
              <w:tc>
                <w:tcPr>
                  <w:tcW w:w="1574" w:type="dxa"/>
                  <w:shd w:val="clear" w:color="auto" w:fill="auto"/>
                  <w:noWrap/>
                  <w:vAlign w:val="center"/>
                </w:tcPr>
                <w:p w14:paraId="6000E8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eastAsia" w:cs="Times New Roman"/>
                      <w:i w:val="0"/>
                      <w:iCs w:val="0"/>
                      <w:color w:val="000000"/>
                      <w:kern w:val="0"/>
                      <w:sz w:val="21"/>
                      <w:szCs w:val="21"/>
                      <w:u w:val="none"/>
                      <w:lang w:val="en-US" w:eastAsia="zh-CN" w:bidi="ar"/>
                    </w:rPr>
                    <w:t>厂房及2条自动线</w:t>
                  </w:r>
                  <w:r>
                    <w:rPr>
                      <w:rFonts w:hint="default" w:ascii="Times New Roman" w:hAnsi="Times New Roman" w:eastAsia="宋体" w:cs="Times New Roman"/>
                      <w:i w:val="0"/>
                      <w:iCs w:val="0"/>
                      <w:color w:val="000000"/>
                      <w:kern w:val="0"/>
                      <w:sz w:val="21"/>
                      <w:szCs w:val="21"/>
                      <w:u w:val="none"/>
                      <w:lang w:val="en-US" w:eastAsia="zh-CN" w:bidi="ar"/>
                    </w:rPr>
                    <w:t>已建</w:t>
                  </w:r>
                </w:p>
              </w:tc>
            </w:tr>
            <w:tr w14:paraId="55FA0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61" w:type="dxa"/>
                  <w:vMerge w:val="continue"/>
                  <w:shd w:val="clear" w:color="auto" w:fill="auto"/>
                  <w:noWrap/>
                  <w:vAlign w:val="center"/>
                </w:tcPr>
                <w:p w14:paraId="6894C6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18C56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3#厂房</w:t>
                  </w:r>
                </w:p>
              </w:tc>
              <w:tc>
                <w:tcPr>
                  <w:tcW w:w="5187" w:type="dxa"/>
                  <w:shd w:val="clear" w:color="auto" w:fill="auto"/>
                  <w:noWrap/>
                  <w:vAlign w:val="center"/>
                </w:tcPr>
                <w:p w14:paraId="0CA760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1层，建筑面积1122m</w:t>
                  </w:r>
                  <w:r>
                    <w:rPr>
                      <w:rFonts w:hint="default" w:ascii="Times New Roman" w:hAnsi="Times New Roman" w:eastAsia="宋体" w:cs="Times New Roman"/>
                      <w:i w:val="0"/>
                      <w:iCs w:val="0"/>
                      <w:color w:val="000000"/>
                      <w:kern w:val="0"/>
                      <w:sz w:val="21"/>
                      <w:szCs w:val="21"/>
                      <w:u w:val="none"/>
                      <w:vertAlign w:val="superscript"/>
                      <w:lang w:val="en-US" w:eastAsia="zh-CN" w:bidi="ar"/>
                    </w:rPr>
                    <w:t>2</w:t>
                  </w:r>
                  <w:r>
                    <w:rPr>
                      <w:rFonts w:hint="eastAsia" w:cs="Times New Roman"/>
                      <w:i w:val="0"/>
                      <w:iCs w:val="0"/>
                      <w:color w:val="000000"/>
                      <w:kern w:val="0"/>
                      <w:sz w:val="21"/>
                      <w:szCs w:val="21"/>
                      <w:u w:val="none"/>
                      <w:vertAlign w:val="baseline"/>
                      <w:lang w:val="en-US" w:eastAsia="zh-CN" w:bidi="ar"/>
                    </w:rPr>
                    <w:t>，</w:t>
                  </w:r>
                  <w:r>
                    <w:rPr>
                      <w:rFonts w:hint="eastAsia" w:cs="Times New Roman"/>
                      <w:i w:val="0"/>
                      <w:iCs w:val="0"/>
                      <w:color w:val="000000"/>
                      <w:kern w:val="0"/>
                      <w:sz w:val="21"/>
                      <w:szCs w:val="21"/>
                      <w:u w:val="none"/>
                      <w:lang w:val="en-US" w:eastAsia="zh-CN" w:bidi="ar"/>
                    </w:rPr>
                    <w:t>4</w:t>
                  </w:r>
                  <w:r>
                    <w:rPr>
                      <w:rFonts w:hint="default" w:ascii="Times New Roman" w:hAnsi="Times New Roman" w:eastAsia="宋体" w:cs="Times New Roman"/>
                      <w:i w:val="0"/>
                      <w:iCs w:val="0"/>
                      <w:color w:val="000000"/>
                      <w:kern w:val="0"/>
                      <w:sz w:val="21"/>
                      <w:szCs w:val="21"/>
                      <w:u w:val="none"/>
                      <w:lang w:val="en-US" w:eastAsia="zh-CN" w:bidi="ar"/>
                    </w:rPr>
                    <w:t>条</w:t>
                  </w:r>
                  <w:r>
                    <w:rPr>
                      <w:rFonts w:hint="eastAsia" w:cs="Times New Roman"/>
                      <w:i w:val="0"/>
                      <w:iCs w:val="0"/>
                      <w:color w:val="000000"/>
                      <w:kern w:val="0"/>
                      <w:sz w:val="21"/>
                      <w:szCs w:val="21"/>
                      <w:u w:val="none"/>
                      <w:lang w:val="en-US" w:eastAsia="zh-CN" w:bidi="ar"/>
                    </w:rPr>
                    <w:t>盐水渍菜人工</w:t>
                  </w:r>
                  <w:r>
                    <w:rPr>
                      <w:rFonts w:hint="default" w:ascii="Times New Roman" w:hAnsi="Times New Roman" w:eastAsia="宋体" w:cs="Times New Roman"/>
                      <w:i w:val="0"/>
                      <w:iCs w:val="0"/>
                      <w:color w:val="000000"/>
                      <w:kern w:val="0"/>
                      <w:sz w:val="21"/>
                      <w:szCs w:val="21"/>
                      <w:u w:val="none"/>
                      <w:lang w:val="en-US" w:eastAsia="zh-CN" w:bidi="ar"/>
                    </w:rPr>
                    <w:t>生产线</w:t>
                  </w:r>
                </w:p>
              </w:tc>
              <w:tc>
                <w:tcPr>
                  <w:tcW w:w="1574" w:type="dxa"/>
                  <w:shd w:val="clear" w:color="auto" w:fill="auto"/>
                  <w:noWrap/>
                  <w:vAlign w:val="center"/>
                </w:tcPr>
                <w:p w14:paraId="588920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eastAsia" w:cs="Times New Roman"/>
                      <w:i w:val="0"/>
                      <w:iCs w:val="0"/>
                      <w:color w:val="000000"/>
                      <w:kern w:val="0"/>
                      <w:sz w:val="21"/>
                      <w:szCs w:val="21"/>
                      <w:u w:val="none"/>
                      <w:lang w:val="en-US" w:eastAsia="zh-CN" w:bidi="ar"/>
                    </w:rPr>
                    <w:t>厂房已建，生产线未建</w:t>
                  </w:r>
                </w:p>
              </w:tc>
            </w:tr>
            <w:tr w14:paraId="60381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61" w:type="dxa"/>
                  <w:vMerge w:val="continue"/>
                  <w:shd w:val="clear" w:color="auto" w:fill="auto"/>
                  <w:noWrap/>
                  <w:vAlign w:val="center"/>
                </w:tcPr>
                <w:p w14:paraId="52F6A8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13A641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4#厂房</w:t>
                  </w:r>
                </w:p>
              </w:tc>
              <w:tc>
                <w:tcPr>
                  <w:tcW w:w="5187" w:type="dxa"/>
                  <w:shd w:val="clear" w:color="auto" w:fill="auto"/>
                  <w:noWrap/>
                  <w:vAlign w:val="center"/>
                </w:tcPr>
                <w:p w14:paraId="14E16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1层，建筑面积855m</w:t>
                  </w:r>
                  <w:r>
                    <w:rPr>
                      <w:rFonts w:hint="default" w:ascii="Times New Roman" w:hAnsi="Times New Roman" w:eastAsia="宋体" w:cs="Times New Roman"/>
                      <w:i w:val="0"/>
                      <w:iCs w:val="0"/>
                      <w:color w:val="000000"/>
                      <w:kern w:val="0"/>
                      <w:sz w:val="21"/>
                      <w:szCs w:val="21"/>
                      <w:u w:val="none"/>
                      <w:vertAlign w:val="superscript"/>
                      <w:lang w:val="en-US" w:eastAsia="zh-CN" w:bidi="ar"/>
                    </w:rPr>
                    <w:t>2</w:t>
                  </w:r>
                  <w:r>
                    <w:rPr>
                      <w:rFonts w:hint="eastAsia" w:cs="Times New Roman"/>
                      <w:i w:val="0"/>
                      <w:iCs w:val="0"/>
                      <w:color w:val="000000"/>
                      <w:kern w:val="0"/>
                      <w:sz w:val="21"/>
                      <w:szCs w:val="21"/>
                      <w:u w:val="none"/>
                      <w:vertAlign w:val="baseline"/>
                      <w:lang w:val="en-US" w:eastAsia="zh-CN" w:bidi="ar"/>
                    </w:rPr>
                    <w:t>，</w:t>
                  </w:r>
                  <w:r>
                    <w:rPr>
                      <w:rFonts w:hint="eastAsia" w:cs="Times New Roman"/>
                      <w:i w:val="0"/>
                      <w:iCs w:val="0"/>
                      <w:color w:val="000000"/>
                      <w:kern w:val="0"/>
                      <w:sz w:val="21"/>
                      <w:szCs w:val="21"/>
                      <w:u w:val="none"/>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条</w:t>
                  </w:r>
                  <w:r>
                    <w:rPr>
                      <w:rFonts w:hint="eastAsia" w:cs="Times New Roman"/>
                      <w:i w:val="0"/>
                      <w:iCs w:val="0"/>
                      <w:color w:val="000000"/>
                      <w:kern w:val="0"/>
                      <w:sz w:val="21"/>
                      <w:szCs w:val="21"/>
                      <w:u w:val="none"/>
                      <w:lang w:val="en-US" w:eastAsia="zh-CN" w:bidi="ar"/>
                    </w:rPr>
                    <w:t>盐水渍菜人工</w:t>
                  </w:r>
                  <w:r>
                    <w:rPr>
                      <w:rFonts w:hint="default" w:ascii="Times New Roman" w:hAnsi="Times New Roman" w:eastAsia="宋体" w:cs="Times New Roman"/>
                      <w:i w:val="0"/>
                      <w:iCs w:val="0"/>
                      <w:color w:val="000000"/>
                      <w:kern w:val="0"/>
                      <w:sz w:val="21"/>
                      <w:szCs w:val="21"/>
                      <w:u w:val="none"/>
                      <w:lang w:val="en-US" w:eastAsia="zh-CN" w:bidi="ar"/>
                    </w:rPr>
                    <w:t>生产线</w:t>
                  </w:r>
                </w:p>
              </w:tc>
              <w:tc>
                <w:tcPr>
                  <w:tcW w:w="1574" w:type="dxa"/>
                  <w:shd w:val="clear" w:color="auto" w:fill="auto"/>
                  <w:noWrap/>
                  <w:vAlign w:val="center"/>
                </w:tcPr>
                <w:p w14:paraId="6A9705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cs="Times New Roman"/>
                      <w:i w:val="0"/>
                      <w:iCs w:val="0"/>
                      <w:color w:val="000000"/>
                      <w:kern w:val="0"/>
                      <w:sz w:val="21"/>
                      <w:szCs w:val="21"/>
                      <w:u w:val="none"/>
                      <w:lang w:val="en-US" w:eastAsia="zh-CN" w:bidi="ar"/>
                    </w:rPr>
                    <w:t>厂房已建，生产线未建</w:t>
                  </w:r>
                </w:p>
              </w:tc>
            </w:tr>
            <w:tr w14:paraId="4EC4B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61" w:type="dxa"/>
                  <w:vMerge w:val="restart"/>
                  <w:shd w:val="clear" w:color="auto" w:fill="auto"/>
                  <w:noWrap/>
                  <w:vAlign w:val="center"/>
                </w:tcPr>
                <w:p w14:paraId="229792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辅助工程</w:t>
                  </w:r>
                </w:p>
              </w:tc>
              <w:tc>
                <w:tcPr>
                  <w:tcW w:w="986" w:type="dxa"/>
                  <w:shd w:val="clear" w:color="auto" w:fill="auto"/>
                  <w:noWrap/>
                  <w:vAlign w:val="center"/>
                </w:tcPr>
                <w:p w14:paraId="312C1C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办公楼</w:t>
                  </w:r>
                </w:p>
              </w:tc>
              <w:tc>
                <w:tcPr>
                  <w:tcW w:w="5187" w:type="dxa"/>
                  <w:shd w:val="clear" w:color="auto" w:fill="auto"/>
                  <w:vAlign w:val="center"/>
                </w:tcPr>
                <w:p w14:paraId="2280F8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cs="Times New Roman"/>
                      <w:i w:val="0"/>
                      <w:iCs w:val="0"/>
                      <w:color w:val="000000"/>
                      <w:kern w:val="0"/>
                      <w:sz w:val="21"/>
                      <w:szCs w:val="21"/>
                      <w:u w:val="none"/>
                      <w:lang w:val="en-US" w:eastAsia="zh-CN" w:bidi="ar"/>
                    </w:rPr>
                    <w:t>4</w:t>
                  </w:r>
                  <w:r>
                    <w:rPr>
                      <w:rFonts w:hint="default" w:ascii="Times New Roman" w:hAnsi="Times New Roman" w:eastAsia="宋体" w:cs="Times New Roman"/>
                      <w:i w:val="0"/>
                      <w:iCs w:val="0"/>
                      <w:color w:val="000000"/>
                      <w:kern w:val="0"/>
                      <w:sz w:val="21"/>
                      <w:szCs w:val="21"/>
                      <w:u w:val="none"/>
                      <w:lang w:val="en-US" w:eastAsia="zh-CN" w:bidi="ar"/>
                    </w:rPr>
                    <w:t>层，建筑面积2560m</w:t>
                  </w:r>
                  <w:r>
                    <w:rPr>
                      <w:rFonts w:hint="default" w:ascii="Times New Roman" w:hAnsi="Times New Roman" w:eastAsia="宋体" w:cs="Times New Roman"/>
                      <w:i w:val="0"/>
                      <w:iCs w:val="0"/>
                      <w:color w:val="000000"/>
                      <w:kern w:val="0"/>
                      <w:sz w:val="21"/>
                      <w:szCs w:val="21"/>
                      <w:u w:val="none"/>
                      <w:vertAlign w:val="superscript"/>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，包括办公室、会议室等</w:t>
                  </w:r>
                </w:p>
              </w:tc>
              <w:tc>
                <w:tcPr>
                  <w:tcW w:w="1574" w:type="dxa"/>
                  <w:shd w:val="clear" w:color="auto" w:fill="auto"/>
                  <w:noWrap/>
                  <w:vAlign w:val="center"/>
                </w:tcPr>
                <w:p w14:paraId="029EB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拟建</w:t>
                  </w:r>
                </w:p>
              </w:tc>
            </w:tr>
            <w:tr w14:paraId="5455A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661" w:type="dxa"/>
                  <w:vMerge w:val="continue"/>
                  <w:shd w:val="clear" w:color="auto" w:fill="auto"/>
                  <w:noWrap/>
                  <w:vAlign w:val="center"/>
                </w:tcPr>
                <w:p w14:paraId="69B4F8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55AE97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锅炉房</w:t>
                  </w:r>
                  <w:r>
                    <w:rPr>
                      <w:rFonts w:hint="eastAsia" w:cs="Times New Roman"/>
                      <w:i w:val="0"/>
                      <w:iCs w:val="0"/>
                      <w:color w:val="000000"/>
                      <w:kern w:val="0"/>
                      <w:sz w:val="21"/>
                      <w:szCs w:val="21"/>
                      <w:u w:val="none"/>
                      <w:lang w:val="en-US" w:eastAsia="zh-CN" w:bidi="ar"/>
                    </w:rPr>
                    <w:t>1#</w:t>
                  </w:r>
                </w:p>
              </w:tc>
              <w:tc>
                <w:tcPr>
                  <w:tcW w:w="5187" w:type="dxa"/>
                  <w:shd w:val="clear" w:color="auto" w:fill="auto"/>
                  <w:vAlign w:val="center"/>
                </w:tcPr>
                <w:p w14:paraId="7CB8AF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1层，建筑面积100m</w:t>
                  </w:r>
                  <w:r>
                    <w:rPr>
                      <w:rFonts w:hint="default" w:ascii="Times New Roman" w:hAnsi="Times New Roman" w:eastAsia="宋体" w:cs="Times New Roman"/>
                      <w:i w:val="0"/>
                      <w:iCs w:val="0"/>
                      <w:color w:val="000000"/>
                      <w:kern w:val="0"/>
                      <w:sz w:val="21"/>
                      <w:szCs w:val="21"/>
                      <w:u w:val="none"/>
                      <w:vertAlign w:val="superscript"/>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，设有1台3t/h生物质锅炉，</w:t>
                  </w:r>
                  <w:r>
                    <w:rPr>
                      <w:rFonts w:hint="eastAsia" w:cs="Times New Roman"/>
                      <w:i w:val="0"/>
                      <w:iCs w:val="0"/>
                      <w:color w:val="000000"/>
                      <w:kern w:val="0"/>
                      <w:sz w:val="21"/>
                      <w:szCs w:val="21"/>
                      <w:u w:val="none"/>
                      <w:lang w:val="en-US" w:eastAsia="zh-CN" w:bidi="ar"/>
                    </w:rPr>
                    <w:t>1套4</w:t>
                  </w:r>
                  <w:r>
                    <w:rPr>
                      <w:rFonts w:hint="default" w:ascii="Times New Roman" w:hAnsi="Times New Roman" w:eastAsia="宋体" w:cs="Times New Roman"/>
                      <w:i w:val="0"/>
                      <w:iCs w:val="0"/>
                      <w:color w:val="000000"/>
                      <w:kern w:val="0"/>
                      <w:sz w:val="21"/>
                      <w:szCs w:val="21"/>
                      <w:u w:val="none"/>
                      <w:lang w:val="en-US" w:eastAsia="zh-CN" w:bidi="ar"/>
                    </w:rPr>
                    <w:t>t/h套纯水设</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备</w:t>
                  </w:r>
                </w:p>
              </w:tc>
              <w:tc>
                <w:tcPr>
                  <w:tcW w:w="1574" w:type="dxa"/>
                  <w:shd w:val="clear" w:color="auto" w:fill="auto"/>
                  <w:noWrap/>
                  <w:vAlign w:val="center"/>
                </w:tcPr>
                <w:p w14:paraId="2D09D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已建</w:t>
                  </w:r>
                </w:p>
              </w:tc>
            </w:tr>
            <w:tr w14:paraId="5AE63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61" w:type="dxa"/>
                  <w:vMerge w:val="restart"/>
                  <w:shd w:val="clear" w:color="auto" w:fill="auto"/>
                  <w:noWrap/>
                  <w:vAlign w:val="center"/>
                </w:tcPr>
                <w:p w14:paraId="018DE2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公用工程</w:t>
                  </w:r>
                </w:p>
              </w:tc>
              <w:tc>
                <w:tcPr>
                  <w:tcW w:w="986" w:type="dxa"/>
                  <w:shd w:val="clear" w:color="auto" w:fill="auto"/>
                  <w:noWrap/>
                  <w:vAlign w:val="center"/>
                </w:tcPr>
                <w:p w14:paraId="05788E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供电</w:t>
                  </w:r>
                </w:p>
              </w:tc>
              <w:tc>
                <w:tcPr>
                  <w:tcW w:w="5187" w:type="dxa"/>
                  <w:shd w:val="clear" w:color="auto" w:fill="auto"/>
                  <w:noWrap/>
                  <w:vAlign w:val="center"/>
                </w:tcPr>
                <w:p w14:paraId="29EA38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市政电网供给</w:t>
                  </w:r>
                </w:p>
              </w:tc>
              <w:tc>
                <w:tcPr>
                  <w:tcW w:w="1574" w:type="dxa"/>
                  <w:shd w:val="clear" w:color="auto" w:fill="auto"/>
                  <w:noWrap/>
                  <w:vAlign w:val="center"/>
                </w:tcPr>
                <w:p w14:paraId="0F5080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已建</w:t>
                  </w:r>
                </w:p>
              </w:tc>
            </w:tr>
            <w:tr w14:paraId="07BD6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61" w:type="dxa"/>
                  <w:vMerge w:val="continue"/>
                  <w:shd w:val="clear" w:color="auto" w:fill="auto"/>
                  <w:noWrap/>
                  <w:vAlign w:val="center"/>
                </w:tcPr>
                <w:p w14:paraId="149B79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3DF1D5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供热</w:t>
                  </w:r>
                </w:p>
              </w:tc>
              <w:tc>
                <w:tcPr>
                  <w:tcW w:w="5187" w:type="dxa"/>
                  <w:shd w:val="clear" w:color="auto" w:fill="auto"/>
                  <w:noWrap/>
                  <w:vAlign w:val="center"/>
                </w:tcPr>
                <w:p w14:paraId="52BBB1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1台3t/h生物质锅炉</w:t>
                  </w:r>
                </w:p>
              </w:tc>
              <w:tc>
                <w:tcPr>
                  <w:tcW w:w="1574" w:type="dxa"/>
                  <w:shd w:val="clear" w:color="auto" w:fill="auto"/>
                  <w:noWrap/>
                  <w:vAlign w:val="center"/>
                </w:tcPr>
                <w:p w14:paraId="75443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已建</w:t>
                  </w:r>
                </w:p>
              </w:tc>
            </w:tr>
            <w:tr w14:paraId="1A58E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61" w:type="dxa"/>
                  <w:vMerge w:val="continue"/>
                  <w:shd w:val="clear" w:color="auto" w:fill="auto"/>
                  <w:noWrap/>
                  <w:vAlign w:val="center"/>
                </w:tcPr>
                <w:p w14:paraId="492D15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3BE7FD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供水</w:t>
                  </w:r>
                </w:p>
              </w:tc>
              <w:tc>
                <w:tcPr>
                  <w:tcW w:w="5187" w:type="dxa"/>
                  <w:shd w:val="clear" w:color="auto" w:fill="auto"/>
                  <w:noWrap/>
                  <w:vAlign w:val="center"/>
                </w:tcPr>
                <w:p w14:paraId="6752C0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市政给水</w:t>
                  </w:r>
                </w:p>
              </w:tc>
              <w:tc>
                <w:tcPr>
                  <w:tcW w:w="1574" w:type="dxa"/>
                  <w:shd w:val="clear" w:color="auto" w:fill="auto"/>
                  <w:noWrap/>
                  <w:vAlign w:val="center"/>
                </w:tcPr>
                <w:p w14:paraId="6C3D8D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已建</w:t>
                  </w:r>
                </w:p>
              </w:tc>
            </w:tr>
            <w:tr w14:paraId="7CE72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0" w:hRule="atLeast"/>
              </w:trPr>
              <w:tc>
                <w:tcPr>
                  <w:tcW w:w="661" w:type="dxa"/>
                  <w:vMerge w:val="continue"/>
                  <w:shd w:val="clear" w:color="auto" w:fill="auto"/>
                  <w:noWrap/>
                  <w:vAlign w:val="center"/>
                </w:tcPr>
                <w:p w14:paraId="28CA25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55DD51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排水</w:t>
                  </w:r>
                </w:p>
              </w:tc>
              <w:tc>
                <w:tcPr>
                  <w:tcW w:w="5187" w:type="dxa"/>
                  <w:shd w:val="clear" w:color="auto" w:fill="auto"/>
                  <w:vAlign w:val="center"/>
                </w:tcPr>
                <w:p w14:paraId="0F7B01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cs="Times New Roman"/>
                      <w:i w:val="0"/>
                      <w:iCs w:val="0"/>
                      <w:color w:val="000000"/>
                      <w:kern w:val="0"/>
                      <w:sz w:val="21"/>
                      <w:szCs w:val="21"/>
                      <w:u w:val="none"/>
                      <w:lang w:val="en-US" w:eastAsia="zh-CN" w:bidi="ar"/>
                    </w:rPr>
                    <w:t>生活污水经化粪池处理后，与</w:t>
                  </w:r>
                  <w:r>
                    <w:rPr>
                      <w:rFonts w:hint="default" w:ascii="Times New Roman" w:hAnsi="Times New Roman" w:eastAsia="宋体" w:cs="Times New Roman"/>
                      <w:i w:val="0"/>
                      <w:iCs w:val="0"/>
                      <w:color w:val="000000"/>
                      <w:kern w:val="0"/>
                      <w:sz w:val="21"/>
                      <w:szCs w:val="21"/>
                      <w:u w:val="none"/>
                      <w:lang w:val="en-US" w:eastAsia="zh-CN" w:bidi="ar"/>
                    </w:rPr>
                    <w:t>生产废水</w:t>
                  </w:r>
                  <w:r>
                    <w:rPr>
                      <w:rFonts w:hint="eastAsia" w:cs="Times New Roman"/>
                      <w:i w:val="0"/>
                      <w:iCs w:val="0"/>
                      <w:color w:val="000000"/>
                      <w:kern w:val="0"/>
                      <w:sz w:val="21"/>
                      <w:szCs w:val="21"/>
                      <w:u w:val="none"/>
                      <w:lang w:val="en-US" w:eastAsia="zh-CN" w:bidi="ar"/>
                    </w:rPr>
                    <w:t>一起</w:t>
                  </w:r>
                  <w:r>
                    <w:rPr>
                      <w:rFonts w:hint="default" w:ascii="Times New Roman" w:hAnsi="Times New Roman" w:eastAsia="宋体" w:cs="Times New Roman"/>
                      <w:i w:val="0"/>
                      <w:iCs w:val="0"/>
                      <w:color w:val="000000"/>
                      <w:kern w:val="0"/>
                      <w:sz w:val="21"/>
                      <w:szCs w:val="21"/>
                      <w:u w:val="none"/>
                      <w:lang w:val="en-US" w:eastAsia="zh-CN" w:bidi="ar"/>
                    </w:rPr>
                    <w:t>经厂内自建污水处理站处理达标后排入官家嘴镇污水处理站进一步处理达标后排入黄狮江</w:t>
                  </w:r>
                  <w:r>
                    <w:rPr>
                      <w:rFonts w:hint="eastAsia" w:cs="Times New Roman"/>
                      <w:i w:val="0"/>
                      <w:iCs w:val="0"/>
                      <w:color w:val="000000"/>
                      <w:kern w:val="0"/>
                      <w:sz w:val="21"/>
                      <w:szCs w:val="21"/>
                      <w:u w:val="none"/>
                      <w:lang w:val="en-US" w:eastAsia="zh-CN" w:bidi="ar"/>
                    </w:rPr>
                    <w:t>。废水从厂区通过重力流管道排入厂内自建污水站，达标尾水通过压力流管道排入官家嘴镇污水处理站。企业将定期巡查，防止废水泄漏和渗漏。</w:t>
                  </w:r>
                </w:p>
              </w:tc>
              <w:tc>
                <w:tcPr>
                  <w:tcW w:w="1574" w:type="dxa"/>
                  <w:shd w:val="clear" w:color="auto" w:fill="auto"/>
                  <w:noWrap/>
                  <w:vAlign w:val="center"/>
                </w:tcPr>
                <w:p w14:paraId="0E4FD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已建</w:t>
                  </w:r>
                </w:p>
              </w:tc>
            </w:tr>
            <w:tr w14:paraId="38B81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15" w:hRule="atLeast"/>
              </w:trPr>
              <w:tc>
                <w:tcPr>
                  <w:tcW w:w="661" w:type="dxa"/>
                  <w:vMerge w:val="restart"/>
                  <w:shd w:val="clear" w:color="auto" w:fill="auto"/>
                  <w:noWrap/>
                  <w:vAlign w:val="center"/>
                </w:tcPr>
                <w:p w14:paraId="5BED1E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环保工程</w:t>
                  </w:r>
                </w:p>
              </w:tc>
              <w:tc>
                <w:tcPr>
                  <w:tcW w:w="986" w:type="dxa"/>
                  <w:shd w:val="clear" w:color="auto" w:fill="auto"/>
                  <w:noWrap/>
                  <w:vAlign w:val="center"/>
                </w:tcPr>
                <w:p w14:paraId="4B4D43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废气处理</w:t>
                  </w:r>
                </w:p>
              </w:tc>
              <w:tc>
                <w:tcPr>
                  <w:tcW w:w="5187" w:type="dxa"/>
                  <w:shd w:val="clear" w:color="auto" w:fill="auto"/>
                  <w:vAlign w:val="center"/>
                </w:tcPr>
                <w:p w14:paraId="3CBDC5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生物质锅炉废气经旋风+布袋除尘器处理后通过30m排气筒排放；污水处理站恶臭通过定期喷洒除臭剂处理后无组织排放</w:t>
                  </w:r>
                  <w:r>
                    <w:rPr>
                      <w:rFonts w:hint="eastAsia" w:cs="Times New Roman"/>
                      <w:i w:val="0"/>
                      <w:iCs w:val="0"/>
                      <w:color w:val="000000"/>
                      <w:kern w:val="0"/>
                      <w:sz w:val="21"/>
                      <w:szCs w:val="21"/>
                      <w:u w:val="none"/>
                      <w:lang w:val="en-US" w:eastAsia="zh-CN" w:bidi="ar"/>
                    </w:rPr>
                    <w:t>；干黄花菜杀青、烘干工序挥发性有机物通过车间排风无组织排放；车间异味通过车间排风无组织排放</w:t>
                  </w:r>
                </w:p>
              </w:tc>
              <w:tc>
                <w:tcPr>
                  <w:tcW w:w="1574" w:type="dxa"/>
                  <w:shd w:val="clear" w:color="auto" w:fill="auto"/>
                  <w:vAlign w:val="center"/>
                </w:tcPr>
                <w:p w14:paraId="3B0028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已建</w:t>
                  </w:r>
                </w:p>
              </w:tc>
            </w:tr>
            <w:tr w14:paraId="260CD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0" w:hRule="atLeast"/>
              </w:trPr>
              <w:tc>
                <w:tcPr>
                  <w:tcW w:w="661" w:type="dxa"/>
                  <w:vMerge w:val="continue"/>
                  <w:shd w:val="clear" w:color="auto" w:fill="auto"/>
                  <w:noWrap/>
                  <w:vAlign w:val="center"/>
                </w:tcPr>
                <w:p w14:paraId="68F680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18A59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废水处理</w:t>
                  </w:r>
                </w:p>
              </w:tc>
              <w:tc>
                <w:tcPr>
                  <w:tcW w:w="5187" w:type="dxa"/>
                  <w:shd w:val="clear" w:color="auto" w:fill="auto"/>
                  <w:vAlign w:val="center"/>
                </w:tcPr>
                <w:p w14:paraId="397080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cs="Times New Roman"/>
                      <w:i w:val="0"/>
                      <w:iCs w:val="0"/>
                      <w:color w:val="000000"/>
                      <w:kern w:val="0"/>
                      <w:sz w:val="21"/>
                      <w:szCs w:val="21"/>
                      <w:u w:val="none"/>
                      <w:lang w:val="en-US" w:eastAsia="zh-CN" w:bidi="ar"/>
                    </w:rPr>
                    <w:t>生活污水经化粪池处理后，与</w:t>
                  </w:r>
                  <w:r>
                    <w:rPr>
                      <w:rFonts w:hint="default" w:ascii="Times New Roman" w:hAnsi="Times New Roman" w:eastAsia="宋体" w:cs="Times New Roman"/>
                      <w:i w:val="0"/>
                      <w:iCs w:val="0"/>
                      <w:color w:val="000000"/>
                      <w:kern w:val="0"/>
                      <w:sz w:val="21"/>
                      <w:szCs w:val="21"/>
                      <w:u w:val="none"/>
                      <w:lang w:val="en-US" w:eastAsia="zh-CN" w:bidi="ar"/>
                    </w:rPr>
                    <w:t>生产废水</w:t>
                  </w:r>
                  <w:r>
                    <w:rPr>
                      <w:rFonts w:hint="eastAsia" w:cs="Times New Roman"/>
                      <w:i w:val="0"/>
                      <w:iCs w:val="0"/>
                      <w:color w:val="000000"/>
                      <w:kern w:val="0"/>
                      <w:sz w:val="21"/>
                      <w:szCs w:val="21"/>
                      <w:u w:val="none"/>
                      <w:lang w:val="en-US" w:eastAsia="zh-CN" w:bidi="ar"/>
                    </w:rPr>
                    <w:t>一起</w:t>
                  </w:r>
                  <w:r>
                    <w:rPr>
                      <w:rFonts w:hint="default" w:ascii="Times New Roman" w:hAnsi="Times New Roman" w:eastAsia="宋体" w:cs="Times New Roman"/>
                      <w:i w:val="0"/>
                      <w:iCs w:val="0"/>
                      <w:color w:val="000000"/>
                      <w:kern w:val="0"/>
                      <w:sz w:val="21"/>
                      <w:szCs w:val="21"/>
                      <w:u w:val="none"/>
                      <w:lang w:val="en-US" w:eastAsia="zh-CN" w:bidi="ar"/>
                    </w:rPr>
                    <w:t>经厂内自建污水处理站</w:t>
                  </w:r>
                  <w:r>
                    <w:rPr>
                      <w:rFonts w:hint="eastAsia" w:cs="Times New Roman"/>
                      <w:i w:val="0"/>
                      <w:iCs w:val="0"/>
                      <w:color w:val="000000" w:themeColor="text1"/>
                      <w:kern w:val="0"/>
                      <w:sz w:val="21"/>
                      <w:szCs w:val="21"/>
                      <w:u w:val="none"/>
                      <w:lang w:val="en-US" w:eastAsia="zh-CN" w:bidi="ar"/>
                      <w14:textFill>
                        <w14:solidFill>
                          <w14:schemeClr w14:val="tx1"/>
                        </w14:solidFill>
                      </w14:textFill>
                    </w:rPr>
                    <w:t>（设计处理能力120t/d，处理工艺：格栅+调节池兼预曝气氧化池</w:t>
                  </w:r>
                  <w:r>
                    <w:rPr>
                      <w:rFonts w:hint="eastAsia"/>
                      <w:color w:val="000000" w:themeColor="text1"/>
                      <w:kern w:val="0"/>
                      <w:sz w:val="21"/>
                      <w:szCs w:val="21"/>
                      <w:lang w:bidi="ar"/>
                      <w14:textFill>
                        <w14:solidFill>
                          <w14:schemeClr w14:val="tx1"/>
                        </w14:solidFill>
                      </w14:textFill>
                    </w:rPr>
                    <w:t>+一级水解酸化池+A</w:t>
                  </w:r>
                  <w:r>
                    <w:rPr>
                      <w:rFonts w:hint="default"/>
                      <w:color w:val="000000" w:themeColor="text1"/>
                      <w:kern w:val="0"/>
                      <w:sz w:val="21"/>
                      <w:szCs w:val="21"/>
                      <w:lang w:bidi="ar"/>
                      <w14:textFill>
                        <w14:solidFill>
                          <w14:schemeClr w14:val="tx1"/>
                        </w14:solidFill>
                      </w14:textFill>
                    </w:rPr>
                    <w:t>O</w:t>
                  </w:r>
                  <w:r>
                    <w:rPr>
                      <w:rFonts w:hint="eastAsia"/>
                      <w:color w:val="000000" w:themeColor="text1"/>
                      <w:kern w:val="0"/>
                      <w:sz w:val="21"/>
                      <w:szCs w:val="21"/>
                      <w:lang w:bidi="ar"/>
                      <w14:textFill>
                        <w14:solidFill>
                          <w14:schemeClr w14:val="tx1"/>
                        </w14:solidFill>
                      </w14:textFill>
                    </w:rPr>
                    <w:t>池</w:t>
                  </w:r>
                  <w:r>
                    <w:rPr>
                      <w:rFonts w:hint="eastAsia" w:cs="Times New Roman"/>
                      <w:i w:val="0"/>
                      <w:iCs w:val="0"/>
                      <w:color w:val="000000" w:themeColor="text1"/>
                      <w:kern w:val="0"/>
                      <w:sz w:val="21"/>
                      <w:szCs w:val="21"/>
                      <w:u w:val="none"/>
                      <w:lang w:val="en-US" w:eastAsia="zh-CN" w:bidi="ar"/>
                      <w14:textFill>
                        <w14:solidFill>
                          <w14:schemeClr w14:val="tx1"/>
                        </w14:solidFill>
                      </w14:textFill>
                    </w:rPr>
                    <w:t>+混凝池+沉淀池+清水池）处理达标后压力流外排</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入官家嘴镇污水处理站进一步处理达标后排入黄狮江</w:t>
                  </w:r>
                </w:p>
              </w:tc>
              <w:tc>
                <w:tcPr>
                  <w:tcW w:w="1574" w:type="dxa"/>
                  <w:shd w:val="clear" w:color="auto" w:fill="auto"/>
                  <w:noWrap/>
                  <w:vAlign w:val="center"/>
                </w:tcPr>
                <w:p w14:paraId="46A299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已建</w:t>
                  </w:r>
                </w:p>
              </w:tc>
            </w:tr>
            <w:tr w14:paraId="7E4C2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61" w:type="dxa"/>
                  <w:vMerge w:val="continue"/>
                  <w:shd w:val="clear" w:color="auto" w:fill="auto"/>
                  <w:noWrap/>
                  <w:vAlign w:val="center"/>
                </w:tcPr>
                <w:p w14:paraId="4CD78B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010849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噪声控制</w:t>
                  </w:r>
                </w:p>
              </w:tc>
              <w:tc>
                <w:tcPr>
                  <w:tcW w:w="5187" w:type="dxa"/>
                  <w:shd w:val="clear" w:color="auto" w:fill="auto"/>
                  <w:noWrap/>
                  <w:vAlign w:val="center"/>
                </w:tcPr>
                <w:p w14:paraId="22F3F3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隔声、减振等措施</w:t>
                  </w:r>
                </w:p>
              </w:tc>
              <w:tc>
                <w:tcPr>
                  <w:tcW w:w="1574" w:type="dxa"/>
                  <w:shd w:val="clear" w:color="auto" w:fill="auto"/>
                  <w:noWrap/>
                  <w:vAlign w:val="center"/>
                </w:tcPr>
                <w:p w14:paraId="3ECEB8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已建</w:t>
                  </w:r>
                </w:p>
              </w:tc>
            </w:tr>
            <w:tr w14:paraId="480D3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620" w:hRule="atLeast"/>
              </w:trPr>
              <w:tc>
                <w:tcPr>
                  <w:tcW w:w="661" w:type="dxa"/>
                  <w:vMerge w:val="continue"/>
                  <w:shd w:val="clear" w:color="auto" w:fill="auto"/>
                  <w:noWrap/>
                  <w:vAlign w:val="center"/>
                </w:tcPr>
                <w:p w14:paraId="51CB54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0B0A48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固体废物</w:t>
                  </w:r>
                </w:p>
              </w:tc>
              <w:tc>
                <w:tcPr>
                  <w:tcW w:w="5187" w:type="dxa"/>
                  <w:shd w:val="clear" w:color="auto" w:fill="auto"/>
                  <w:vAlign w:val="center"/>
                </w:tcPr>
                <w:p w14:paraId="2D62F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废包装袋外售综合利用；生物质锅炉炉渣、生物质锅炉除尘器收集的粉尘作为农肥利用</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；污水处理站污泥</w:t>
                  </w:r>
                  <w:r>
                    <w:rPr>
                      <w:rFonts w:hint="eastAsia" w:cs="Times New Roman"/>
                      <w:i w:val="0"/>
                      <w:iCs w:val="0"/>
                      <w:color w:val="000000" w:themeColor="text1"/>
                      <w:kern w:val="0"/>
                      <w:sz w:val="21"/>
                      <w:szCs w:val="21"/>
                      <w:u w:val="none"/>
                      <w:lang w:val="en-US" w:eastAsia="zh-CN" w:bidi="ar"/>
                      <w14:textFill>
                        <w14:solidFill>
                          <w14:schemeClr w14:val="tx1"/>
                        </w14:solidFill>
                      </w14:textFill>
                    </w:rPr>
                    <w:t>、栅渣送垃圾焚烧发电厂焚烧</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；纯水制备废活性炭、废过滤膜</w:t>
                  </w:r>
                  <w:r>
                    <w:rPr>
                      <w:rFonts w:hint="eastAsia" w:cs="Times New Roman"/>
                      <w:i w:val="0"/>
                      <w:iCs w:val="0"/>
                      <w:color w:val="000000" w:themeColor="text1"/>
                      <w:kern w:val="0"/>
                      <w:sz w:val="21"/>
                      <w:szCs w:val="21"/>
                      <w:u w:val="none"/>
                      <w:lang w:val="en-US" w:eastAsia="zh-CN" w:bidi="ar"/>
                      <w14:textFill>
                        <w14:solidFill>
                          <w14:schemeClr w14:val="tx1"/>
                        </w14:solidFill>
                      </w14:textFill>
                    </w:rPr>
                    <w:t>、废滤芯交由物资回收单位综合利用</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r>
                    <w:rPr>
                      <w:rFonts w:hint="default" w:ascii="Times New Roman" w:hAnsi="Times New Roman" w:eastAsia="宋体" w:cs="Times New Roman"/>
                      <w:i w:val="0"/>
                      <w:iCs w:val="0"/>
                      <w:color w:val="000000"/>
                      <w:kern w:val="0"/>
                      <w:sz w:val="21"/>
                      <w:szCs w:val="21"/>
                      <w:u w:val="none"/>
                      <w:lang w:val="en-US" w:eastAsia="zh-CN" w:bidi="ar"/>
                    </w:rPr>
                    <w:t>生活垃圾交由环卫部门处理；危险废物检修废物（废机油</w:t>
                  </w:r>
                  <w:r>
                    <w:rPr>
                      <w:rFonts w:hint="eastAsia" w:cs="Times New Roman"/>
                      <w:i w:val="0"/>
                      <w:iCs w:val="0"/>
                      <w:color w:val="000000"/>
                      <w:kern w:val="0"/>
                      <w:sz w:val="21"/>
                      <w:szCs w:val="21"/>
                      <w:u w:val="none"/>
                      <w:lang w:val="en-US" w:eastAsia="zh-CN" w:bidi="ar"/>
                    </w:rPr>
                    <w:t>、废油桶</w:t>
                  </w:r>
                  <w:r>
                    <w:rPr>
                      <w:rFonts w:hint="default" w:ascii="Times New Roman" w:hAnsi="Times New Roman" w:eastAsia="宋体" w:cs="Times New Roman"/>
                      <w:i w:val="0"/>
                      <w:iCs w:val="0"/>
                      <w:color w:val="000000"/>
                      <w:kern w:val="0"/>
                      <w:sz w:val="21"/>
                      <w:szCs w:val="21"/>
                      <w:u w:val="none"/>
                      <w:lang w:val="en-US" w:eastAsia="zh-CN" w:bidi="ar"/>
                    </w:rPr>
                    <w:t>、含油抹布及手套）交由有资质单位处置</w:t>
                  </w:r>
                </w:p>
              </w:tc>
              <w:tc>
                <w:tcPr>
                  <w:tcW w:w="1574" w:type="dxa"/>
                  <w:shd w:val="clear" w:color="auto" w:fill="auto"/>
                  <w:noWrap/>
                  <w:vAlign w:val="center"/>
                </w:tcPr>
                <w:p w14:paraId="18A448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已建</w:t>
                  </w:r>
                </w:p>
              </w:tc>
            </w:tr>
            <w:tr w14:paraId="5CDB9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61" w:type="dxa"/>
                  <w:vMerge w:val="continue"/>
                  <w:shd w:val="clear" w:color="auto" w:fill="auto"/>
                  <w:noWrap/>
                  <w:vAlign w:val="center"/>
                </w:tcPr>
                <w:p w14:paraId="779566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986" w:type="dxa"/>
                  <w:shd w:val="clear" w:color="auto" w:fill="auto"/>
                  <w:noWrap/>
                  <w:vAlign w:val="center"/>
                </w:tcPr>
                <w:p w14:paraId="4969C0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风险</w:t>
                  </w:r>
                </w:p>
              </w:tc>
              <w:tc>
                <w:tcPr>
                  <w:tcW w:w="5187" w:type="dxa"/>
                  <w:shd w:val="clear" w:color="auto" w:fill="auto"/>
                  <w:noWrap/>
                  <w:vAlign w:val="center"/>
                </w:tcPr>
                <w:p w14:paraId="163F64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1个应急池，容积</w:t>
                  </w:r>
                  <w:r>
                    <w:rPr>
                      <w:rFonts w:hint="eastAsia" w:cs="Times New Roman"/>
                      <w:i w:val="0"/>
                      <w:iCs w:val="0"/>
                      <w:color w:val="000000" w:themeColor="text1"/>
                      <w:kern w:val="0"/>
                      <w:sz w:val="21"/>
                      <w:szCs w:val="21"/>
                      <w:u w:val="none"/>
                      <w:lang w:val="en-US" w:eastAsia="zh-CN" w:bidi="ar"/>
                      <w14:textFill>
                        <w14:solidFill>
                          <w14:schemeClr w14:val="tx1"/>
                        </w14:solidFill>
                      </w14:textFill>
                    </w:rPr>
                    <w:t>260</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m</w:t>
                  </w:r>
                  <w:r>
                    <w:rPr>
                      <w:rFonts w:hint="default" w:ascii="Times New Roman" w:hAnsi="Times New Roman" w:eastAsia="宋体" w:cs="Times New Roman"/>
                      <w:i w:val="0"/>
                      <w:iCs w:val="0"/>
                      <w:color w:val="000000" w:themeColor="text1"/>
                      <w:kern w:val="0"/>
                      <w:sz w:val="21"/>
                      <w:szCs w:val="21"/>
                      <w:u w:val="none"/>
                      <w:vertAlign w:val="superscript"/>
                      <w:lang w:val="en-US" w:eastAsia="zh-CN" w:bidi="ar"/>
                      <w14:textFill>
                        <w14:solidFill>
                          <w14:schemeClr w14:val="tx1"/>
                        </w14:solidFill>
                      </w14:textFill>
                    </w:rPr>
                    <w:t>3</w:t>
                  </w:r>
                  <w:r>
                    <w:rPr>
                      <w:rFonts w:hint="eastAsia" w:cs="Times New Roman"/>
                      <w:i w:val="0"/>
                      <w:iCs w:val="0"/>
                      <w:color w:val="000000" w:themeColor="text1"/>
                      <w:kern w:val="0"/>
                      <w:sz w:val="21"/>
                      <w:szCs w:val="21"/>
                      <w:u w:val="none"/>
                      <w:vertAlign w:val="baseline"/>
                      <w:lang w:val="en-US" w:eastAsia="zh-CN" w:bidi="ar"/>
                      <w14:textFill>
                        <w14:solidFill>
                          <w14:schemeClr w14:val="tx1"/>
                        </w14:solidFill>
                      </w14:textFill>
                    </w:rPr>
                    <w:t>；本项目在</w:t>
                  </w:r>
                  <w:r>
                    <w:rPr>
                      <w:rFonts w:hint="eastAsia" w:cs="Times New Roman"/>
                      <w:i w:val="0"/>
                      <w:iCs w:val="0"/>
                      <w:color w:val="000000" w:themeColor="text1"/>
                      <w:kern w:val="0"/>
                      <w:sz w:val="21"/>
                      <w:szCs w:val="21"/>
                      <w:u w:val="none"/>
                      <w:lang w:val="en-US" w:eastAsia="zh-CN" w:bidi="ar"/>
                      <w14:textFill>
                        <w14:solidFill>
                          <w14:schemeClr w14:val="tx1"/>
                        </w14:solidFill>
                      </w14:textFill>
                    </w:rPr>
                    <w:t>盐水渍菜生产厂房（2</w:t>
                  </w:r>
                  <w:r>
                    <w:rPr>
                      <w:rFonts w:hint="eastAsia" w:cs="Times New Roman"/>
                      <w:i w:val="0"/>
                      <w:iCs w:val="0"/>
                      <w:color w:val="000000" w:themeColor="text1"/>
                      <w:kern w:val="0"/>
                      <w:sz w:val="21"/>
                      <w:szCs w:val="21"/>
                      <w:u w:val="none"/>
                      <w:vertAlign w:val="baseline"/>
                      <w:lang w:val="en-US" w:eastAsia="zh-CN" w:bidi="ar"/>
                      <w14:textFill>
                        <w14:solidFill>
                          <w14:schemeClr w14:val="tx1"/>
                        </w14:solidFill>
                      </w14:textFill>
                    </w:rPr>
                    <w:t>#、3#、4#厂房各设1个30m</w:t>
                  </w:r>
                  <w:r>
                    <w:rPr>
                      <w:rFonts w:hint="eastAsia" w:cs="Times New Roman"/>
                      <w:i w:val="0"/>
                      <w:iCs w:val="0"/>
                      <w:color w:val="000000" w:themeColor="text1"/>
                      <w:kern w:val="0"/>
                      <w:sz w:val="21"/>
                      <w:szCs w:val="21"/>
                      <w:u w:val="none"/>
                      <w:vertAlign w:val="superscript"/>
                      <w:lang w:val="en-US" w:eastAsia="zh-CN" w:bidi="ar"/>
                      <w14:textFill>
                        <w14:solidFill>
                          <w14:schemeClr w14:val="tx1"/>
                        </w14:solidFill>
                      </w14:textFill>
                    </w:rPr>
                    <w:t>3</w:t>
                  </w:r>
                  <w:r>
                    <w:rPr>
                      <w:rFonts w:hint="eastAsia" w:cs="Times New Roman"/>
                      <w:i w:val="0"/>
                      <w:iCs w:val="0"/>
                      <w:color w:val="000000" w:themeColor="text1"/>
                      <w:kern w:val="0"/>
                      <w:sz w:val="21"/>
                      <w:szCs w:val="21"/>
                      <w:u w:val="none"/>
                      <w:vertAlign w:val="baseline"/>
                      <w:lang w:val="en-US" w:eastAsia="zh-CN" w:bidi="ar"/>
                      <w14:textFill>
                        <w14:solidFill>
                          <w14:schemeClr w14:val="tx1"/>
                        </w14:solidFill>
                      </w14:textFill>
                    </w:rPr>
                    <w:t>废水储存桶（即可用于均化废水水质、同时可作为应急桶）</w:t>
                  </w:r>
                </w:p>
              </w:tc>
              <w:tc>
                <w:tcPr>
                  <w:tcW w:w="1574" w:type="dxa"/>
                  <w:shd w:val="clear" w:color="auto" w:fill="auto"/>
                  <w:noWrap/>
                  <w:vAlign w:val="center"/>
                </w:tcPr>
                <w:p w14:paraId="2C5BE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拟建</w:t>
                  </w:r>
                </w:p>
              </w:tc>
            </w:tr>
          </w:tbl>
          <w:p w14:paraId="69A324FC">
            <w:pPr>
              <w:pStyle w:val="42"/>
              <w:keepNext w:val="0"/>
              <w:keepLines w:val="0"/>
              <w:suppressLineNumbers w:val="0"/>
              <w:spacing w:before="0" w:beforeAutospacing="0" w:after="0" w:afterAutospacing="0"/>
              <w:ind w:left="0" w:right="0"/>
              <w:rPr>
                <w:rFonts w:hint="default" w:ascii="Times New Roman" w:cs="Times New Roman"/>
                <w:color w:val="auto"/>
                <w:highlight w:val="yellow"/>
                <w:lang w:val="en-US" w:eastAsia="zh-CN"/>
              </w:rPr>
            </w:pPr>
          </w:p>
          <w:p w14:paraId="143D8CAF">
            <w:pPr>
              <w:pStyle w:val="2"/>
              <w:keepLines w:val="0"/>
              <w:numPr>
                <w:ilvl w:val="0"/>
                <w:numId w:val="0"/>
              </w:numPr>
              <w:suppressLineNumbers w:val="0"/>
              <w:bidi w:val="0"/>
              <w:adjustRightInd w:val="0"/>
              <w:spacing w:before="0" w:beforeLines="0" w:beforeAutospacing="0" w:after="0" w:afterAutospacing="0"/>
              <w:ind w:leftChars="0" w:right="0"/>
              <w:rPr>
                <w:rFonts w:hint="default" w:cs="Times New Roman"/>
                <w:color w:val="auto"/>
                <w:highlight w:val="none"/>
                <w:u w:val="none"/>
                <w:lang w:val="en-US" w:eastAsia="zh-CN"/>
              </w:rPr>
            </w:pPr>
            <w:bookmarkStart w:id="11" w:name="_Toc21845"/>
            <w:r>
              <w:rPr>
                <w:rFonts w:hint="default" w:ascii="Times New Roman" w:hAnsi="Times New Roman" w:cs="Times New Roman"/>
                <w:color w:val="auto"/>
                <w:highlight w:val="none"/>
                <w:u w:val="none"/>
                <w:lang w:val="en-US" w:eastAsia="zh-CN"/>
              </w:rPr>
              <w:t>2</w:t>
            </w:r>
            <w:r>
              <w:rPr>
                <w:rFonts w:hint="default"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1</w:t>
            </w:r>
            <w:r>
              <w:rPr>
                <w:rFonts w:hint="default"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4</w:t>
            </w:r>
            <w:bookmarkEnd w:id="11"/>
            <w:r>
              <w:rPr>
                <w:rFonts w:hint="default" w:cs="Times New Roman"/>
                <w:color w:val="auto"/>
                <w:highlight w:val="none"/>
                <w:u w:val="none"/>
                <w:lang w:val="en-US" w:eastAsia="zh-CN"/>
              </w:rPr>
              <w:t>主要生产设备</w:t>
            </w:r>
          </w:p>
          <w:p w14:paraId="711308CC">
            <w:pPr>
              <w:keepNext w:val="0"/>
              <w:keepLines w:val="0"/>
              <w:suppressLineNumbers w:val="0"/>
              <w:spacing w:before="0" w:beforeAutospacing="0" w:after="0" w:afterAutospacing="0"/>
              <w:ind w:left="0" w:right="0" w:firstLine="480" w:firstLineChars="200"/>
              <w:rPr>
                <w:rFonts w:hint="default" w:cs="Times New Roman"/>
                <w:color w:val="auto"/>
                <w:highlight w:val="none"/>
                <w:u w:val="none"/>
                <w:lang w:val="en-US" w:eastAsia="zh-CN"/>
              </w:rPr>
            </w:pPr>
            <w:r>
              <w:rPr>
                <w:rFonts w:hint="default" w:cs="Times New Roman"/>
                <w:color w:val="auto"/>
                <w:highlight w:val="none"/>
                <w:u w:val="none"/>
                <w:lang w:val="en-US" w:eastAsia="zh-CN"/>
              </w:rPr>
              <w:t>项目主要设备详见下表。</w:t>
            </w:r>
          </w:p>
          <w:p w14:paraId="7987650E">
            <w:pPr>
              <w:pStyle w:val="36"/>
              <w:keepLines w:val="0"/>
              <w:numPr>
                <w:ilvl w:val="0"/>
                <w:numId w:val="0"/>
              </w:numPr>
              <w:suppressLineNumbers w:val="0"/>
              <w:bidi w:val="0"/>
              <w:spacing w:before="0" w:beforeAutospacing="0" w:after="0" w:afterAutospacing="0"/>
              <w:ind w:left="0" w:leftChars="0" w:right="0" w:rightChars="0" w:firstLine="0" w:firstLineChars="0"/>
              <w:jc w:val="center"/>
              <w:rPr>
                <w:rFonts w:hint="default" w:cs="Times New Roman"/>
                <w:color w:val="auto"/>
                <w:sz w:val="21"/>
                <w:szCs w:val="21"/>
                <w:highlight w:val="none"/>
                <w:u w:val="none"/>
                <w:lang w:val="en-US" w:eastAsia="zh-CN"/>
              </w:rPr>
            </w:pPr>
            <w:r>
              <w:rPr>
                <w:rFonts w:hint="default" w:ascii="Times New Roman" w:hAnsi="Times New Roman" w:eastAsia="宋体" w:cs="Times New Roman"/>
                <w:b/>
                <w:bCs/>
                <w:color w:val="auto"/>
                <w:sz w:val="21"/>
                <w:szCs w:val="21"/>
                <w:highlight w:val="none"/>
                <w:u w:val="none"/>
              </w:rPr>
              <w:t>表</w:t>
            </w:r>
            <w:r>
              <w:rPr>
                <w:rFonts w:hint="default" w:ascii="Times New Roman" w:hAnsi="Times New Roman" w:cs="Times New Roman"/>
                <w:b/>
                <w:bCs/>
                <w:color w:val="auto"/>
                <w:sz w:val="21"/>
                <w:szCs w:val="21"/>
                <w:highlight w:val="none"/>
                <w:u w:val="none"/>
                <w:lang w:val="en-US" w:eastAsia="zh-CN"/>
              </w:rPr>
              <w:t>2</w:t>
            </w:r>
            <w:r>
              <w:rPr>
                <w:rFonts w:hint="default" w:cs="Times New Roman"/>
                <w:b/>
                <w:bCs/>
                <w:color w:val="auto"/>
                <w:sz w:val="21"/>
                <w:szCs w:val="21"/>
                <w:highlight w:val="none"/>
                <w:u w:val="none"/>
                <w:lang w:val="en-US" w:eastAsia="zh-CN"/>
              </w:rPr>
              <w:t>.1</w:t>
            </w:r>
            <w:r>
              <w:rPr>
                <w:rFonts w:hint="default" w:ascii="Times New Roman" w:hAnsi="Times New Roman" w:eastAsia="宋体" w:cs="Times New Roman"/>
                <w:b/>
                <w:bCs/>
                <w:color w:val="auto"/>
                <w:sz w:val="21"/>
                <w:szCs w:val="21"/>
                <w:highlight w:val="none"/>
                <w:u w:val="none"/>
              </w:rPr>
              <w:t>-2 主要生产设备一览表</w:t>
            </w:r>
          </w:p>
          <w:tbl>
            <w:tblPr>
              <w:tblStyle w:val="28"/>
              <w:tblW w:w="8408" w:type="dxa"/>
              <w:tblInd w:w="-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7"/>
              <w:gridCol w:w="766"/>
              <w:gridCol w:w="1397"/>
              <w:gridCol w:w="2704"/>
              <w:gridCol w:w="720"/>
              <w:gridCol w:w="640"/>
              <w:gridCol w:w="1534"/>
            </w:tblGrid>
            <w:tr w14:paraId="323A6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00073A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序号</w:t>
                  </w:r>
                </w:p>
              </w:tc>
              <w:tc>
                <w:tcPr>
                  <w:tcW w:w="2163" w:type="dxa"/>
                  <w:gridSpan w:val="2"/>
                  <w:shd w:val="clear" w:color="auto" w:fill="auto"/>
                  <w:noWrap/>
                  <w:vAlign w:val="center"/>
                </w:tcPr>
                <w:p w14:paraId="590368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设备名称</w:t>
                  </w:r>
                </w:p>
              </w:tc>
              <w:tc>
                <w:tcPr>
                  <w:tcW w:w="2704" w:type="dxa"/>
                  <w:shd w:val="clear" w:color="auto" w:fill="auto"/>
                  <w:noWrap/>
                  <w:vAlign w:val="center"/>
                </w:tcPr>
                <w:p w14:paraId="55274E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型号</w:t>
                  </w:r>
                </w:p>
              </w:tc>
              <w:tc>
                <w:tcPr>
                  <w:tcW w:w="720" w:type="dxa"/>
                  <w:shd w:val="clear" w:color="auto" w:fill="auto"/>
                  <w:noWrap/>
                  <w:vAlign w:val="center"/>
                </w:tcPr>
                <w:p w14:paraId="2B7BB6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单位</w:t>
                  </w:r>
                </w:p>
              </w:tc>
              <w:tc>
                <w:tcPr>
                  <w:tcW w:w="640" w:type="dxa"/>
                  <w:shd w:val="clear" w:color="auto" w:fill="auto"/>
                  <w:noWrap/>
                  <w:vAlign w:val="center"/>
                </w:tcPr>
                <w:p w14:paraId="49B6EE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数量</w:t>
                  </w:r>
                </w:p>
              </w:tc>
              <w:tc>
                <w:tcPr>
                  <w:tcW w:w="1534" w:type="dxa"/>
                  <w:shd w:val="clear" w:color="auto" w:fill="auto"/>
                  <w:noWrap/>
                  <w:vAlign w:val="center"/>
                </w:tcPr>
                <w:p w14:paraId="154A7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Times New Roman" w:hAnsi="Times New Roman" w:eastAsia="宋体"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备注</w:t>
                  </w:r>
                </w:p>
              </w:tc>
            </w:tr>
            <w:tr w14:paraId="7B1CD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8408" w:type="dxa"/>
                  <w:gridSpan w:val="7"/>
                  <w:shd w:val="clear" w:color="auto" w:fill="auto"/>
                  <w:noWrap/>
                  <w:vAlign w:val="center"/>
                </w:tcPr>
                <w:p w14:paraId="2482E5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1#厂房</w:t>
                  </w:r>
                </w:p>
              </w:tc>
            </w:tr>
            <w:tr w14:paraId="08B95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779C0A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2163" w:type="dxa"/>
                  <w:gridSpan w:val="2"/>
                  <w:shd w:val="clear" w:color="auto" w:fill="auto"/>
                  <w:noWrap/>
                  <w:vAlign w:val="center"/>
                </w:tcPr>
                <w:p w14:paraId="4A980E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干菜处理加工</w:t>
                  </w:r>
                  <w:r>
                    <w:rPr>
                      <w:rFonts w:hint="eastAsia" w:cs="Times New Roman"/>
                      <w:i w:val="0"/>
                      <w:iCs w:val="0"/>
                      <w:color w:val="000000"/>
                      <w:kern w:val="0"/>
                      <w:sz w:val="21"/>
                      <w:szCs w:val="21"/>
                      <w:u w:val="none"/>
                      <w:lang w:val="en-US" w:eastAsia="zh-CN" w:bidi="ar"/>
                    </w:rPr>
                    <w:t>一体化设备</w:t>
                  </w:r>
                </w:p>
              </w:tc>
              <w:tc>
                <w:tcPr>
                  <w:tcW w:w="2704" w:type="dxa"/>
                  <w:shd w:val="clear" w:color="auto" w:fill="auto"/>
                  <w:noWrap/>
                  <w:vAlign w:val="center"/>
                </w:tcPr>
                <w:p w14:paraId="28240D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长71m、宽3米、高3.5米（高度以烘干区最高高度计）</w:t>
                  </w:r>
                </w:p>
              </w:tc>
              <w:tc>
                <w:tcPr>
                  <w:tcW w:w="720" w:type="dxa"/>
                  <w:shd w:val="clear" w:color="auto" w:fill="auto"/>
                  <w:noWrap/>
                  <w:vAlign w:val="center"/>
                </w:tcPr>
                <w:p w14:paraId="53A63F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套</w:t>
                  </w:r>
                </w:p>
              </w:tc>
              <w:tc>
                <w:tcPr>
                  <w:tcW w:w="640" w:type="dxa"/>
                  <w:shd w:val="clear" w:color="auto" w:fill="auto"/>
                  <w:noWrap/>
                  <w:vAlign w:val="center"/>
                </w:tcPr>
                <w:p w14:paraId="7F334F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534" w:type="dxa"/>
                  <w:shd w:val="clear" w:color="auto" w:fill="auto"/>
                  <w:noWrap/>
                  <w:vAlign w:val="center"/>
                </w:tcPr>
                <w:p w14:paraId="3BD998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包括清洗、杀青、烘干</w:t>
                  </w:r>
                </w:p>
              </w:tc>
            </w:tr>
            <w:tr w14:paraId="22FA7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628C37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2</w:t>
                  </w:r>
                </w:p>
              </w:tc>
              <w:tc>
                <w:tcPr>
                  <w:tcW w:w="766" w:type="dxa"/>
                  <w:vMerge w:val="restart"/>
                  <w:shd w:val="clear" w:color="auto" w:fill="auto"/>
                  <w:noWrap/>
                  <w:vAlign w:val="center"/>
                </w:tcPr>
                <w:p w14:paraId="318E93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即食黄花菜生产设备</w:t>
                  </w:r>
                </w:p>
              </w:tc>
              <w:tc>
                <w:tcPr>
                  <w:tcW w:w="1397" w:type="dxa"/>
                  <w:shd w:val="clear" w:color="auto" w:fill="auto"/>
                  <w:noWrap/>
                  <w:vAlign w:val="center"/>
                </w:tcPr>
                <w:p w14:paraId="77ADE3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浸泡清洗一体机</w:t>
                  </w:r>
                </w:p>
              </w:tc>
              <w:tc>
                <w:tcPr>
                  <w:tcW w:w="2704" w:type="dxa"/>
                  <w:shd w:val="clear" w:color="auto" w:fill="auto"/>
                  <w:noWrap/>
                  <w:vAlign w:val="center"/>
                </w:tcPr>
                <w:p w14:paraId="2734BD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JSN-UN1</w:t>
                  </w:r>
                </w:p>
              </w:tc>
              <w:tc>
                <w:tcPr>
                  <w:tcW w:w="720" w:type="dxa"/>
                  <w:shd w:val="clear" w:color="auto" w:fill="auto"/>
                  <w:noWrap/>
                  <w:vAlign w:val="center"/>
                </w:tcPr>
                <w:p w14:paraId="058C2F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台</w:t>
                  </w:r>
                </w:p>
              </w:tc>
              <w:tc>
                <w:tcPr>
                  <w:tcW w:w="640" w:type="dxa"/>
                  <w:shd w:val="clear" w:color="auto" w:fill="auto"/>
                  <w:noWrap/>
                  <w:vAlign w:val="center"/>
                </w:tcPr>
                <w:p w14:paraId="43CFAC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w:t>
                  </w:r>
                </w:p>
              </w:tc>
              <w:tc>
                <w:tcPr>
                  <w:tcW w:w="1534" w:type="dxa"/>
                  <w:shd w:val="clear" w:color="auto" w:fill="auto"/>
                  <w:noWrap/>
                  <w:vAlign w:val="center"/>
                </w:tcPr>
                <w:p w14:paraId="6CFB9A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用于干黄花菜浸泡清洗</w:t>
                  </w:r>
                </w:p>
              </w:tc>
            </w:tr>
            <w:tr w14:paraId="5844F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676419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3</w:t>
                  </w:r>
                </w:p>
              </w:tc>
              <w:tc>
                <w:tcPr>
                  <w:tcW w:w="766" w:type="dxa"/>
                  <w:vMerge w:val="continue"/>
                  <w:shd w:val="clear" w:color="auto" w:fill="auto"/>
                  <w:noWrap/>
                  <w:vAlign w:val="center"/>
                </w:tcPr>
                <w:p w14:paraId="046C1F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p>
              </w:tc>
              <w:tc>
                <w:tcPr>
                  <w:tcW w:w="1397" w:type="dxa"/>
                  <w:shd w:val="clear" w:color="auto" w:fill="auto"/>
                  <w:noWrap/>
                  <w:vAlign w:val="center"/>
                </w:tcPr>
                <w:p w14:paraId="454183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310不锈钢圆桶</w:t>
                  </w:r>
                </w:p>
              </w:tc>
              <w:tc>
                <w:tcPr>
                  <w:tcW w:w="2704" w:type="dxa"/>
                  <w:shd w:val="clear" w:color="auto" w:fill="auto"/>
                  <w:noWrap/>
                  <w:vAlign w:val="center"/>
                </w:tcPr>
                <w:p w14:paraId="11470A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直径60cm，高80cm</w:t>
                  </w:r>
                </w:p>
              </w:tc>
              <w:tc>
                <w:tcPr>
                  <w:tcW w:w="720" w:type="dxa"/>
                  <w:shd w:val="clear" w:color="auto" w:fill="auto"/>
                  <w:noWrap/>
                  <w:vAlign w:val="center"/>
                </w:tcPr>
                <w:p w14:paraId="416368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个</w:t>
                  </w:r>
                </w:p>
              </w:tc>
              <w:tc>
                <w:tcPr>
                  <w:tcW w:w="640" w:type="dxa"/>
                  <w:shd w:val="clear" w:color="auto" w:fill="auto"/>
                  <w:noWrap/>
                  <w:vAlign w:val="center"/>
                </w:tcPr>
                <w:p w14:paraId="7D943A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6</w:t>
                  </w:r>
                </w:p>
              </w:tc>
              <w:tc>
                <w:tcPr>
                  <w:tcW w:w="1534" w:type="dxa"/>
                  <w:shd w:val="clear" w:color="auto" w:fill="auto"/>
                  <w:noWrap/>
                  <w:vAlign w:val="center"/>
                </w:tcPr>
                <w:p w14:paraId="5CECD0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少批量生产时用于干黄花菜浸泡清洗</w:t>
                  </w:r>
                </w:p>
              </w:tc>
            </w:tr>
            <w:tr w14:paraId="28153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6A48FE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4</w:t>
                  </w:r>
                </w:p>
              </w:tc>
              <w:tc>
                <w:tcPr>
                  <w:tcW w:w="766" w:type="dxa"/>
                  <w:vMerge w:val="continue"/>
                  <w:shd w:val="clear" w:color="auto" w:fill="auto"/>
                  <w:noWrap/>
                  <w:vAlign w:val="center"/>
                </w:tcPr>
                <w:p w14:paraId="43CDE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6BA42A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烫煮锅</w:t>
                  </w:r>
                </w:p>
              </w:tc>
              <w:tc>
                <w:tcPr>
                  <w:tcW w:w="2704" w:type="dxa"/>
                  <w:shd w:val="clear" w:color="auto" w:fill="auto"/>
                  <w:noWrap/>
                  <w:vAlign w:val="center"/>
                </w:tcPr>
                <w:p w14:paraId="78D8B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DR-ZHC2015</w:t>
                  </w:r>
                </w:p>
              </w:tc>
              <w:tc>
                <w:tcPr>
                  <w:tcW w:w="720" w:type="dxa"/>
                  <w:shd w:val="clear" w:color="auto" w:fill="auto"/>
                  <w:noWrap/>
                  <w:vAlign w:val="center"/>
                </w:tcPr>
                <w:p w14:paraId="22B656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个</w:t>
                  </w:r>
                </w:p>
              </w:tc>
              <w:tc>
                <w:tcPr>
                  <w:tcW w:w="640" w:type="dxa"/>
                  <w:shd w:val="clear" w:color="auto" w:fill="auto"/>
                  <w:noWrap/>
                  <w:vAlign w:val="center"/>
                </w:tcPr>
                <w:p w14:paraId="4926F3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2</w:t>
                  </w:r>
                </w:p>
              </w:tc>
              <w:tc>
                <w:tcPr>
                  <w:tcW w:w="1534" w:type="dxa"/>
                  <w:shd w:val="clear" w:color="auto" w:fill="auto"/>
                  <w:noWrap/>
                  <w:vAlign w:val="center"/>
                </w:tcPr>
                <w:p w14:paraId="03481F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用于黄花菜</w:t>
                  </w:r>
                  <w:r>
                    <w:rPr>
                      <w:rFonts w:hint="eastAsia" w:cs="Times New Roman"/>
                      <w:i w:val="0"/>
                      <w:iCs w:val="0"/>
                      <w:color w:val="000000"/>
                      <w:kern w:val="0"/>
                      <w:sz w:val="21"/>
                      <w:szCs w:val="21"/>
                      <w:u w:val="none"/>
                      <w:lang w:val="en-US" w:eastAsia="zh-CN" w:bidi="ar"/>
                    </w:rPr>
                    <w:t>烫煮</w:t>
                  </w:r>
                </w:p>
              </w:tc>
            </w:tr>
            <w:tr w14:paraId="7648A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2F6146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5</w:t>
                  </w:r>
                </w:p>
              </w:tc>
              <w:tc>
                <w:tcPr>
                  <w:tcW w:w="766" w:type="dxa"/>
                  <w:vMerge w:val="continue"/>
                  <w:shd w:val="clear" w:color="auto" w:fill="auto"/>
                  <w:noWrap/>
                  <w:vAlign w:val="center"/>
                </w:tcPr>
                <w:p w14:paraId="740E79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09AF94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风淋室</w:t>
                  </w:r>
                </w:p>
              </w:tc>
              <w:tc>
                <w:tcPr>
                  <w:tcW w:w="2704" w:type="dxa"/>
                  <w:shd w:val="clear" w:color="auto" w:fill="auto"/>
                  <w:noWrap/>
                  <w:vAlign w:val="center"/>
                </w:tcPr>
                <w:p w14:paraId="1A1C49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长3米、宽2米、高3米</w:t>
                  </w:r>
                </w:p>
              </w:tc>
              <w:tc>
                <w:tcPr>
                  <w:tcW w:w="720" w:type="dxa"/>
                  <w:shd w:val="clear" w:color="auto" w:fill="auto"/>
                  <w:noWrap/>
                  <w:vAlign w:val="center"/>
                </w:tcPr>
                <w:p w14:paraId="1F5F7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个</w:t>
                  </w:r>
                </w:p>
              </w:tc>
              <w:tc>
                <w:tcPr>
                  <w:tcW w:w="640" w:type="dxa"/>
                  <w:shd w:val="clear" w:color="auto" w:fill="auto"/>
                  <w:noWrap/>
                  <w:vAlign w:val="center"/>
                </w:tcPr>
                <w:p w14:paraId="3B678E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w:t>
                  </w:r>
                </w:p>
              </w:tc>
              <w:tc>
                <w:tcPr>
                  <w:tcW w:w="1534" w:type="dxa"/>
                  <w:shd w:val="clear" w:color="auto" w:fill="auto"/>
                  <w:noWrap/>
                  <w:vAlign w:val="center"/>
                </w:tcPr>
                <w:p w14:paraId="36C2E2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用于黄花菜杀菌</w:t>
                  </w:r>
                </w:p>
              </w:tc>
            </w:tr>
            <w:tr w14:paraId="119A6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34B70A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6</w:t>
                  </w:r>
                </w:p>
              </w:tc>
              <w:tc>
                <w:tcPr>
                  <w:tcW w:w="766" w:type="dxa"/>
                  <w:vMerge w:val="continue"/>
                  <w:shd w:val="clear" w:color="auto" w:fill="auto"/>
                  <w:noWrap/>
                  <w:vAlign w:val="center"/>
                </w:tcPr>
                <w:p w14:paraId="7ABAB8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0BB848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臭氧发生器</w:t>
                  </w:r>
                </w:p>
              </w:tc>
              <w:tc>
                <w:tcPr>
                  <w:tcW w:w="2704" w:type="dxa"/>
                  <w:shd w:val="clear" w:color="auto" w:fill="auto"/>
                  <w:noWrap/>
                  <w:vAlign w:val="center"/>
                </w:tcPr>
                <w:p w14:paraId="62D4AC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SH-806，1000mg/h</w:t>
                  </w:r>
                </w:p>
              </w:tc>
              <w:tc>
                <w:tcPr>
                  <w:tcW w:w="720" w:type="dxa"/>
                  <w:shd w:val="clear" w:color="auto" w:fill="auto"/>
                  <w:noWrap/>
                  <w:vAlign w:val="center"/>
                </w:tcPr>
                <w:p w14:paraId="50EB24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台</w:t>
                  </w:r>
                </w:p>
              </w:tc>
              <w:tc>
                <w:tcPr>
                  <w:tcW w:w="640" w:type="dxa"/>
                  <w:shd w:val="clear" w:color="auto" w:fill="auto"/>
                  <w:noWrap/>
                  <w:vAlign w:val="center"/>
                </w:tcPr>
                <w:p w14:paraId="7E3A8E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w:t>
                  </w:r>
                </w:p>
              </w:tc>
              <w:tc>
                <w:tcPr>
                  <w:tcW w:w="1534" w:type="dxa"/>
                  <w:shd w:val="clear" w:color="auto" w:fill="auto"/>
                  <w:noWrap/>
                  <w:vAlign w:val="center"/>
                </w:tcPr>
                <w:p w14:paraId="408980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风淋室配套杀菌设备</w:t>
                  </w:r>
                </w:p>
              </w:tc>
            </w:tr>
            <w:tr w14:paraId="08FFD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16FC5D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7</w:t>
                  </w:r>
                </w:p>
              </w:tc>
              <w:tc>
                <w:tcPr>
                  <w:tcW w:w="766" w:type="dxa"/>
                  <w:vMerge w:val="continue"/>
                  <w:shd w:val="clear" w:color="auto" w:fill="auto"/>
                  <w:noWrap/>
                  <w:vAlign w:val="center"/>
                </w:tcPr>
                <w:p w14:paraId="3A4FE4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1442B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甩干机</w:t>
                  </w:r>
                </w:p>
              </w:tc>
              <w:tc>
                <w:tcPr>
                  <w:tcW w:w="2704" w:type="dxa"/>
                  <w:shd w:val="clear" w:color="auto" w:fill="auto"/>
                  <w:noWrap/>
                  <w:vAlign w:val="center"/>
                </w:tcPr>
                <w:p w14:paraId="142EA0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tll1150</w:t>
                  </w:r>
                </w:p>
              </w:tc>
              <w:tc>
                <w:tcPr>
                  <w:tcW w:w="720" w:type="dxa"/>
                  <w:shd w:val="clear" w:color="auto" w:fill="auto"/>
                  <w:noWrap/>
                  <w:vAlign w:val="center"/>
                </w:tcPr>
                <w:p w14:paraId="17E91C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台</w:t>
                  </w:r>
                </w:p>
              </w:tc>
              <w:tc>
                <w:tcPr>
                  <w:tcW w:w="640" w:type="dxa"/>
                  <w:shd w:val="clear" w:color="auto" w:fill="auto"/>
                  <w:noWrap/>
                  <w:vAlign w:val="center"/>
                </w:tcPr>
                <w:p w14:paraId="726F05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w:t>
                  </w:r>
                </w:p>
              </w:tc>
              <w:tc>
                <w:tcPr>
                  <w:tcW w:w="1534" w:type="dxa"/>
                  <w:shd w:val="clear" w:color="auto" w:fill="auto"/>
                  <w:noWrap/>
                  <w:vAlign w:val="center"/>
                </w:tcPr>
                <w:p w14:paraId="06DC65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589CF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01D994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8</w:t>
                  </w:r>
                </w:p>
              </w:tc>
              <w:tc>
                <w:tcPr>
                  <w:tcW w:w="766" w:type="dxa"/>
                  <w:vMerge w:val="continue"/>
                  <w:shd w:val="clear" w:color="auto" w:fill="auto"/>
                  <w:noWrap/>
                  <w:vAlign w:val="center"/>
                </w:tcPr>
                <w:p w14:paraId="147006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234228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搅拌机</w:t>
                  </w:r>
                </w:p>
              </w:tc>
              <w:tc>
                <w:tcPr>
                  <w:tcW w:w="2704" w:type="dxa"/>
                  <w:shd w:val="clear" w:color="auto" w:fill="auto"/>
                  <w:noWrap/>
                  <w:vAlign w:val="center"/>
                </w:tcPr>
                <w:p w14:paraId="4B308F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XL-5029</w:t>
                  </w:r>
                </w:p>
              </w:tc>
              <w:tc>
                <w:tcPr>
                  <w:tcW w:w="720" w:type="dxa"/>
                  <w:shd w:val="clear" w:color="auto" w:fill="auto"/>
                  <w:noWrap/>
                  <w:vAlign w:val="center"/>
                </w:tcPr>
                <w:p w14:paraId="47DF6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台</w:t>
                  </w:r>
                </w:p>
              </w:tc>
              <w:tc>
                <w:tcPr>
                  <w:tcW w:w="640" w:type="dxa"/>
                  <w:shd w:val="clear" w:color="auto" w:fill="auto"/>
                  <w:noWrap/>
                  <w:vAlign w:val="center"/>
                </w:tcPr>
                <w:p w14:paraId="467A12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w:t>
                  </w:r>
                </w:p>
              </w:tc>
              <w:tc>
                <w:tcPr>
                  <w:tcW w:w="1534" w:type="dxa"/>
                  <w:shd w:val="clear" w:color="auto" w:fill="auto"/>
                  <w:noWrap/>
                  <w:vAlign w:val="center"/>
                </w:tcPr>
                <w:p w14:paraId="058C21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5456E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3E336E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9</w:t>
                  </w:r>
                </w:p>
              </w:tc>
              <w:tc>
                <w:tcPr>
                  <w:tcW w:w="766" w:type="dxa"/>
                  <w:vMerge w:val="continue"/>
                  <w:shd w:val="clear" w:color="auto" w:fill="auto"/>
                  <w:noWrap/>
                  <w:vAlign w:val="center"/>
                </w:tcPr>
                <w:p w14:paraId="5F307A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16632B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自动真空包装机</w:t>
                  </w:r>
                </w:p>
              </w:tc>
              <w:tc>
                <w:tcPr>
                  <w:tcW w:w="2704" w:type="dxa"/>
                  <w:shd w:val="clear" w:color="auto" w:fill="auto"/>
                  <w:noWrap/>
                  <w:vAlign w:val="center"/>
                </w:tcPr>
                <w:p w14:paraId="099539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DZ-980</w:t>
                  </w:r>
                </w:p>
              </w:tc>
              <w:tc>
                <w:tcPr>
                  <w:tcW w:w="720" w:type="dxa"/>
                  <w:shd w:val="clear" w:color="auto" w:fill="auto"/>
                  <w:noWrap/>
                  <w:vAlign w:val="center"/>
                </w:tcPr>
                <w:p w14:paraId="71F8D9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台</w:t>
                  </w:r>
                </w:p>
              </w:tc>
              <w:tc>
                <w:tcPr>
                  <w:tcW w:w="640" w:type="dxa"/>
                  <w:shd w:val="clear" w:color="auto" w:fill="auto"/>
                  <w:noWrap/>
                  <w:vAlign w:val="center"/>
                </w:tcPr>
                <w:p w14:paraId="6D9569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w:t>
                  </w:r>
                </w:p>
              </w:tc>
              <w:tc>
                <w:tcPr>
                  <w:tcW w:w="1534" w:type="dxa"/>
                  <w:shd w:val="clear" w:color="auto" w:fill="auto"/>
                  <w:noWrap/>
                  <w:vAlign w:val="center"/>
                </w:tcPr>
                <w:p w14:paraId="680503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用于即食黄花菜小袋包装</w:t>
                  </w:r>
                </w:p>
              </w:tc>
            </w:tr>
            <w:tr w14:paraId="1A13C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0C429E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10</w:t>
                  </w:r>
                </w:p>
              </w:tc>
              <w:tc>
                <w:tcPr>
                  <w:tcW w:w="766" w:type="dxa"/>
                  <w:vMerge w:val="continue"/>
                  <w:shd w:val="clear" w:color="auto" w:fill="auto"/>
                  <w:noWrap/>
                  <w:vAlign w:val="center"/>
                </w:tcPr>
                <w:p w14:paraId="679222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06FDA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空压机</w:t>
                  </w:r>
                </w:p>
              </w:tc>
              <w:tc>
                <w:tcPr>
                  <w:tcW w:w="2704" w:type="dxa"/>
                  <w:shd w:val="clear" w:color="auto" w:fill="auto"/>
                  <w:noWrap/>
                  <w:vAlign w:val="center"/>
                </w:tcPr>
                <w:p w14:paraId="72E26D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w:t>
                  </w:r>
                </w:p>
              </w:tc>
              <w:tc>
                <w:tcPr>
                  <w:tcW w:w="720" w:type="dxa"/>
                  <w:shd w:val="clear" w:color="auto" w:fill="auto"/>
                  <w:noWrap/>
                  <w:vAlign w:val="center"/>
                </w:tcPr>
                <w:p w14:paraId="27B35F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台</w:t>
                  </w:r>
                </w:p>
              </w:tc>
              <w:tc>
                <w:tcPr>
                  <w:tcW w:w="640" w:type="dxa"/>
                  <w:shd w:val="clear" w:color="auto" w:fill="auto"/>
                  <w:noWrap/>
                  <w:vAlign w:val="center"/>
                </w:tcPr>
                <w:p w14:paraId="2E204B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534" w:type="dxa"/>
                  <w:shd w:val="clear" w:color="auto" w:fill="auto"/>
                  <w:noWrap/>
                  <w:vAlign w:val="center"/>
                </w:tcPr>
                <w:p w14:paraId="358596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p>
              </w:tc>
            </w:tr>
            <w:tr w14:paraId="522CE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4B87B8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11</w:t>
                  </w:r>
                </w:p>
              </w:tc>
              <w:tc>
                <w:tcPr>
                  <w:tcW w:w="766" w:type="dxa"/>
                  <w:vMerge w:val="continue"/>
                  <w:shd w:val="clear" w:color="auto" w:fill="auto"/>
                  <w:noWrap/>
                  <w:vAlign w:val="center"/>
                </w:tcPr>
                <w:p w14:paraId="045769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2F1234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消毒杀菌干燥一体化设备</w:t>
                  </w:r>
                </w:p>
              </w:tc>
              <w:tc>
                <w:tcPr>
                  <w:tcW w:w="2704" w:type="dxa"/>
                  <w:shd w:val="clear" w:color="auto" w:fill="auto"/>
                  <w:noWrap/>
                  <w:vAlign w:val="center"/>
                </w:tcPr>
                <w:p w14:paraId="53200A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JH-1000，包括巴氏杀菌、浮力选包（分拣包装不严品）、高温杀菌（蒸汽供热）、气泡冷却、风干</w:t>
                  </w:r>
                </w:p>
              </w:tc>
              <w:tc>
                <w:tcPr>
                  <w:tcW w:w="720" w:type="dxa"/>
                  <w:shd w:val="clear" w:color="auto" w:fill="auto"/>
                  <w:noWrap/>
                  <w:vAlign w:val="center"/>
                </w:tcPr>
                <w:p w14:paraId="6DAED5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套</w:t>
                  </w:r>
                </w:p>
              </w:tc>
              <w:tc>
                <w:tcPr>
                  <w:tcW w:w="640" w:type="dxa"/>
                  <w:shd w:val="clear" w:color="auto" w:fill="auto"/>
                  <w:noWrap/>
                  <w:vAlign w:val="center"/>
                </w:tcPr>
                <w:p w14:paraId="4AA233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534" w:type="dxa"/>
                  <w:shd w:val="clear" w:color="auto" w:fill="auto"/>
                  <w:noWrap/>
                  <w:vAlign w:val="center"/>
                </w:tcPr>
                <w:p w14:paraId="629C2B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04559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8408" w:type="dxa"/>
                  <w:gridSpan w:val="7"/>
                  <w:shd w:val="clear" w:color="auto" w:fill="auto"/>
                  <w:noWrap/>
                  <w:vAlign w:val="center"/>
                </w:tcPr>
                <w:p w14:paraId="6DA4E1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2#厂房</w:t>
                  </w:r>
                </w:p>
              </w:tc>
            </w:tr>
            <w:tr w14:paraId="39335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044055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12</w:t>
                  </w:r>
                </w:p>
              </w:tc>
              <w:tc>
                <w:tcPr>
                  <w:tcW w:w="766" w:type="dxa"/>
                  <w:vMerge w:val="restart"/>
                  <w:shd w:val="clear" w:color="auto" w:fill="auto"/>
                  <w:noWrap/>
                  <w:vAlign w:val="center"/>
                </w:tcPr>
                <w:p w14:paraId="4E978B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盐水渍菜生产设备</w:t>
                  </w:r>
                </w:p>
              </w:tc>
              <w:tc>
                <w:tcPr>
                  <w:tcW w:w="1397" w:type="dxa"/>
                  <w:shd w:val="clear" w:color="auto" w:fill="auto"/>
                  <w:noWrap/>
                  <w:vAlign w:val="center"/>
                </w:tcPr>
                <w:p w14:paraId="593CF9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1#自动清洗一体化设备</w:t>
                  </w:r>
                </w:p>
              </w:tc>
              <w:tc>
                <w:tcPr>
                  <w:tcW w:w="2704" w:type="dxa"/>
                  <w:shd w:val="clear" w:color="auto" w:fill="auto"/>
                  <w:noWrap/>
                  <w:vAlign w:val="center"/>
                </w:tcPr>
                <w:p w14:paraId="532CC8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包括4m挑选输送机、6m气泡清洗机、2m整平机、8m气泡清洗机、3m挑选输送机、6m气泡清洗机、4m挑选输送机</w:t>
                  </w:r>
                </w:p>
              </w:tc>
              <w:tc>
                <w:tcPr>
                  <w:tcW w:w="720" w:type="dxa"/>
                  <w:shd w:val="clear" w:color="auto" w:fill="auto"/>
                  <w:noWrap/>
                  <w:vAlign w:val="center"/>
                </w:tcPr>
                <w:p w14:paraId="57D769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套</w:t>
                  </w:r>
                </w:p>
              </w:tc>
              <w:tc>
                <w:tcPr>
                  <w:tcW w:w="640" w:type="dxa"/>
                  <w:shd w:val="clear" w:color="auto" w:fill="auto"/>
                  <w:noWrap/>
                  <w:vAlign w:val="center"/>
                </w:tcPr>
                <w:p w14:paraId="591D96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534" w:type="dxa"/>
                  <w:shd w:val="clear" w:color="auto" w:fill="auto"/>
                  <w:noWrap/>
                  <w:vAlign w:val="center"/>
                </w:tcPr>
                <w:p w14:paraId="1DB88B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74245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465D8C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13</w:t>
                  </w:r>
                </w:p>
              </w:tc>
              <w:tc>
                <w:tcPr>
                  <w:tcW w:w="766" w:type="dxa"/>
                  <w:vMerge w:val="continue"/>
                  <w:shd w:val="clear" w:color="auto" w:fill="auto"/>
                  <w:noWrap/>
                  <w:vAlign w:val="center"/>
                </w:tcPr>
                <w:p w14:paraId="4E136B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0A7040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2#自动清洗一体化设备</w:t>
                  </w:r>
                </w:p>
              </w:tc>
              <w:tc>
                <w:tcPr>
                  <w:tcW w:w="2704" w:type="dxa"/>
                  <w:shd w:val="clear" w:color="auto" w:fill="auto"/>
                  <w:noWrap/>
                  <w:vAlign w:val="center"/>
                </w:tcPr>
                <w:p w14:paraId="1EC3E8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包括4m输送机、10m气泡清洗机、3m输送机、6m气泡清洗机、2m挑选输送机</w:t>
                  </w:r>
                </w:p>
              </w:tc>
              <w:tc>
                <w:tcPr>
                  <w:tcW w:w="720" w:type="dxa"/>
                  <w:shd w:val="clear" w:color="auto" w:fill="auto"/>
                  <w:noWrap/>
                  <w:vAlign w:val="center"/>
                </w:tcPr>
                <w:p w14:paraId="1CE6FB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套</w:t>
                  </w:r>
                </w:p>
              </w:tc>
              <w:tc>
                <w:tcPr>
                  <w:tcW w:w="640" w:type="dxa"/>
                  <w:shd w:val="clear" w:color="auto" w:fill="auto"/>
                  <w:noWrap/>
                  <w:vAlign w:val="center"/>
                </w:tcPr>
                <w:p w14:paraId="402B81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534" w:type="dxa"/>
                  <w:shd w:val="clear" w:color="auto" w:fill="auto"/>
                  <w:noWrap/>
                  <w:vAlign w:val="center"/>
                </w:tcPr>
                <w:p w14:paraId="670A29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2A846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10C95F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14</w:t>
                  </w:r>
                </w:p>
              </w:tc>
              <w:tc>
                <w:tcPr>
                  <w:tcW w:w="766" w:type="dxa"/>
                  <w:vMerge w:val="continue"/>
                  <w:shd w:val="clear" w:color="auto" w:fill="auto"/>
                  <w:noWrap/>
                  <w:vAlign w:val="center"/>
                </w:tcPr>
                <w:p w14:paraId="7E954D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27ADA7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2人工生产线</w:t>
                  </w:r>
                </w:p>
              </w:tc>
              <w:tc>
                <w:tcPr>
                  <w:tcW w:w="2704" w:type="dxa"/>
                  <w:shd w:val="clear" w:color="auto" w:fill="auto"/>
                  <w:noWrap/>
                  <w:vAlign w:val="center"/>
                </w:tcPr>
                <w:p w14:paraId="7E1F03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直径1.6m，高1.1m清洗桶</w:t>
                  </w:r>
                </w:p>
              </w:tc>
              <w:tc>
                <w:tcPr>
                  <w:tcW w:w="720" w:type="dxa"/>
                  <w:shd w:val="clear" w:color="auto" w:fill="auto"/>
                  <w:noWrap/>
                  <w:vAlign w:val="center"/>
                </w:tcPr>
                <w:p w14:paraId="0FF166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个</w:t>
                  </w:r>
                </w:p>
              </w:tc>
              <w:tc>
                <w:tcPr>
                  <w:tcW w:w="640" w:type="dxa"/>
                  <w:shd w:val="clear" w:color="auto" w:fill="auto"/>
                  <w:noWrap/>
                  <w:vAlign w:val="center"/>
                </w:tcPr>
                <w:p w14:paraId="58B0EB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6</w:t>
                  </w:r>
                </w:p>
              </w:tc>
              <w:tc>
                <w:tcPr>
                  <w:tcW w:w="1534" w:type="dxa"/>
                  <w:shd w:val="clear" w:color="auto" w:fill="auto"/>
                  <w:noWrap/>
                  <w:vAlign w:val="center"/>
                </w:tcPr>
                <w:p w14:paraId="2F00C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3个清洗桶组成1条生产线</w:t>
                  </w:r>
                </w:p>
              </w:tc>
            </w:tr>
            <w:tr w14:paraId="03B9E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5187D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15</w:t>
                  </w:r>
                </w:p>
              </w:tc>
              <w:tc>
                <w:tcPr>
                  <w:tcW w:w="766" w:type="dxa"/>
                  <w:vMerge w:val="continue"/>
                  <w:shd w:val="clear" w:color="auto" w:fill="auto"/>
                  <w:noWrap/>
                  <w:vAlign w:val="center"/>
                </w:tcPr>
                <w:p w14:paraId="19CF96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3C877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盐水配制桶</w:t>
                  </w:r>
                </w:p>
              </w:tc>
              <w:tc>
                <w:tcPr>
                  <w:tcW w:w="2704" w:type="dxa"/>
                  <w:shd w:val="clear" w:color="auto" w:fill="auto"/>
                  <w:noWrap/>
                  <w:vAlign w:val="center"/>
                </w:tcPr>
                <w:p w14:paraId="750363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直径1.6m，高1.1m</w:t>
                  </w:r>
                </w:p>
              </w:tc>
              <w:tc>
                <w:tcPr>
                  <w:tcW w:w="720" w:type="dxa"/>
                  <w:shd w:val="clear" w:color="auto" w:fill="auto"/>
                  <w:noWrap/>
                  <w:vAlign w:val="center"/>
                </w:tcPr>
                <w:p w14:paraId="433F62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个</w:t>
                  </w:r>
                </w:p>
              </w:tc>
              <w:tc>
                <w:tcPr>
                  <w:tcW w:w="640" w:type="dxa"/>
                  <w:shd w:val="clear" w:color="auto" w:fill="auto"/>
                  <w:noWrap/>
                  <w:vAlign w:val="center"/>
                </w:tcPr>
                <w:p w14:paraId="4D4C6E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4</w:t>
                  </w:r>
                </w:p>
              </w:tc>
              <w:tc>
                <w:tcPr>
                  <w:tcW w:w="1534" w:type="dxa"/>
                  <w:shd w:val="clear" w:color="auto" w:fill="auto"/>
                  <w:noWrap/>
                  <w:vAlign w:val="center"/>
                </w:tcPr>
                <w:p w14:paraId="0262E4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60884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74CBA2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16</w:t>
                  </w:r>
                </w:p>
              </w:tc>
              <w:tc>
                <w:tcPr>
                  <w:tcW w:w="766" w:type="dxa"/>
                  <w:vMerge w:val="continue"/>
                  <w:shd w:val="clear" w:color="auto" w:fill="auto"/>
                  <w:noWrap/>
                  <w:vAlign w:val="center"/>
                </w:tcPr>
                <w:p w14:paraId="285B60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97" w:type="dxa"/>
                  <w:shd w:val="clear" w:color="auto" w:fill="auto"/>
                  <w:noWrap/>
                  <w:vAlign w:val="center"/>
                </w:tcPr>
                <w:p w14:paraId="586D2E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真空包装机</w:t>
                  </w:r>
                </w:p>
              </w:tc>
              <w:tc>
                <w:tcPr>
                  <w:tcW w:w="2704" w:type="dxa"/>
                  <w:shd w:val="clear" w:color="auto" w:fill="auto"/>
                  <w:noWrap/>
                  <w:vAlign w:val="center"/>
                </w:tcPr>
                <w:p w14:paraId="6E36B3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MRZK-260A</w:t>
                  </w:r>
                </w:p>
              </w:tc>
              <w:tc>
                <w:tcPr>
                  <w:tcW w:w="720" w:type="dxa"/>
                  <w:shd w:val="clear" w:color="auto" w:fill="auto"/>
                  <w:noWrap/>
                  <w:vAlign w:val="center"/>
                </w:tcPr>
                <w:p w14:paraId="11CC73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台</w:t>
                  </w:r>
                </w:p>
              </w:tc>
              <w:tc>
                <w:tcPr>
                  <w:tcW w:w="640" w:type="dxa"/>
                  <w:shd w:val="clear" w:color="auto" w:fill="auto"/>
                  <w:noWrap/>
                  <w:vAlign w:val="center"/>
                </w:tcPr>
                <w:p w14:paraId="344086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2</w:t>
                  </w:r>
                </w:p>
              </w:tc>
              <w:tc>
                <w:tcPr>
                  <w:tcW w:w="1534" w:type="dxa"/>
                  <w:shd w:val="clear" w:color="auto" w:fill="auto"/>
                  <w:noWrap/>
                  <w:vAlign w:val="center"/>
                </w:tcPr>
                <w:p w14:paraId="3B3CB8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52FEE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8408" w:type="dxa"/>
                  <w:gridSpan w:val="7"/>
                  <w:shd w:val="clear" w:color="auto" w:fill="auto"/>
                  <w:noWrap/>
                  <w:vAlign w:val="center"/>
                </w:tcPr>
                <w:p w14:paraId="69EF6C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3#厂房</w:t>
                  </w:r>
                </w:p>
              </w:tc>
            </w:tr>
            <w:tr w14:paraId="4D06C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1499A4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15</w:t>
                  </w:r>
                </w:p>
              </w:tc>
              <w:tc>
                <w:tcPr>
                  <w:tcW w:w="766" w:type="dxa"/>
                  <w:vMerge w:val="restart"/>
                  <w:shd w:val="clear" w:color="auto" w:fill="auto"/>
                  <w:noWrap/>
                  <w:vAlign w:val="center"/>
                </w:tcPr>
                <w:p w14:paraId="048FA3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盐水渍菜生产设备</w:t>
                  </w:r>
                </w:p>
              </w:tc>
              <w:tc>
                <w:tcPr>
                  <w:tcW w:w="1397" w:type="dxa"/>
                  <w:shd w:val="clear" w:color="auto" w:fill="auto"/>
                  <w:noWrap/>
                  <w:vAlign w:val="center"/>
                </w:tcPr>
                <w:p w14:paraId="58FD70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4条人工生产线</w:t>
                  </w:r>
                </w:p>
              </w:tc>
              <w:tc>
                <w:tcPr>
                  <w:tcW w:w="2704" w:type="dxa"/>
                  <w:shd w:val="clear" w:color="auto" w:fill="auto"/>
                  <w:noWrap/>
                  <w:vAlign w:val="center"/>
                </w:tcPr>
                <w:p w14:paraId="7CAEC6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直径1.6m，高1.1m清洗桶</w:t>
                  </w:r>
                </w:p>
              </w:tc>
              <w:tc>
                <w:tcPr>
                  <w:tcW w:w="720" w:type="dxa"/>
                  <w:shd w:val="clear" w:color="auto" w:fill="auto"/>
                  <w:noWrap/>
                  <w:vAlign w:val="center"/>
                </w:tcPr>
                <w:p w14:paraId="52B4D5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个</w:t>
                  </w:r>
                </w:p>
              </w:tc>
              <w:tc>
                <w:tcPr>
                  <w:tcW w:w="640" w:type="dxa"/>
                  <w:shd w:val="clear" w:color="auto" w:fill="auto"/>
                  <w:noWrap/>
                  <w:vAlign w:val="center"/>
                </w:tcPr>
                <w:p w14:paraId="5A4CC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12</w:t>
                  </w:r>
                </w:p>
              </w:tc>
              <w:tc>
                <w:tcPr>
                  <w:tcW w:w="1534" w:type="dxa"/>
                  <w:shd w:val="clear" w:color="auto" w:fill="auto"/>
                  <w:noWrap/>
                  <w:vAlign w:val="center"/>
                </w:tcPr>
                <w:p w14:paraId="1FCED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3个清洗桶组成1条生产线</w:t>
                  </w:r>
                </w:p>
              </w:tc>
            </w:tr>
            <w:tr w14:paraId="0F39D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210F6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16</w:t>
                  </w:r>
                </w:p>
              </w:tc>
              <w:tc>
                <w:tcPr>
                  <w:tcW w:w="766" w:type="dxa"/>
                  <w:vMerge w:val="continue"/>
                  <w:shd w:val="clear" w:color="auto" w:fill="auto"/>
                  <w:noWrap/>
                  <w:vAlign w:val="center"/>
                </w:tcPr>
                <w:p w14:paraId="056D92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p>
              </w:tc>
              <w:tc>
                <w:tcPr>
                  <w:tcW w:w="1397" w:type="dxa"/>
                  <w:shd w:val="clear" w:color="auto" w:fill="auto"/>
                  <w:noWrap/>
                  <w:vAlign w:val="center"/>
                </w:tcPr>
                <w:p w14:paraId="6D7FE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盐水配制桶</w:t>
                  </w:r>
                </w:p>
              </w:tc>
              <w:tc>
                <w:tcPr>
                  <w:tcW w:w="2704" w:type="dxa"/>
                  <w:shd w:val="clear" w:color="auto" w:fill="auto"/>
                  <w:noWrap/>
                  <w:vAlign w:val="center"/>
                </w:tcPr>
                <w:p w14:paraId="511DDE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直径1.6m，高1.1m</w:t>
                  </w:r>
                </w:p>
              </w:tc>
              <w:tc>
                <w:tcPr>
                  <w:tcW w:w="720" w:type="dxa"/>
                  <w:shd w:val="clear" w:color="auto" w:fill="auto"/>
                  <w:noWrap/>
                  <w:vAlign w:val="center"/>
                </w:tcPr>
                <w:p w14:paraId="0CB464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个</w:t>
                  </w:r>
                </w:p>
              </w:tc>
              <w:tc>
                <w:tcPr>
                  <w:tcW w:w="640" w:type="dxa"/>
                  <w:shd w:val="clear" w:color="auto" w:fill="auto"/>
                  <w:noWrap/>
                  <w:vAlign w:val="center"/>
                </w:tcPr>
                <w:p w14:paraId="35936B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4</w:t>
                  </w:r>
                </w:p>
              </w:tc>
              <w:tc>
                <w:tcPr>
                  <w:tcW w:w="1534" w:type="dxa"/>
                  <w:shd w:val="clear" w:color="auto" w:fill="auto"/>
                  <w:noWrap/>
                  <w:vAlign w:val="center"/>
                </w:tcPr>
                <w:p w14:paraId="4F5C42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45837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1F284E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17</w:t>
                  </w:r>
                </w:p>
              </w:tc>
              <w:tc>
                <w:tcPr>
                  <w:tcW w:w="766" w:type="dxa"/>
                  <w:vMerge w:val="continue"/>
                  <w:shd w:val="clear" w:color="auto" w:fill="auto"/>
                  <w:noWrap/>
                  <w:vAlign w:val="center"/>
                </w:tcPr>
                <w:p w14:paraId="483D8D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p>
              </w:tc>
              <w:tc>
                <w:tcPr>
                  <w:tcW w:w="1397" w:type="dxa"/>
                  <w:shd w:val="clear" w:color="auto" w:fill="auto"/>
                  <w:noWrap/>
                  <w:vAlign w:val="center"/>
                </w:tcPr>
                <w:p w14:paraId="0D06B6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真空包装机</w:t>
                  </w:r>
                </w:p>
              </w:tc>
              <w:tc>
                <w:tcPr>
                  <w:tcW w:w="2704" w:type="dxa"/>
                  <w:shd w:val="clear" w:color="auto" w:fill="auto"/>
                  <w:noWrap/>
                  <w:vAlign w:val="center"/>
                </w:tcPr>
                <w:p w14:paraId="683886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MRZK-260A</w:t>
                  </w:r>
                </w:p>
              </w:tc>
              <w:tc>
                <w:tcPr>
                  <w:tcW w:w="720" w:type="dxa"/>
                  <w:shd w:val="clear" w:color="auto" w:fill="auto"/>
                  <w:noWrap/>
                  <w:vAlign w:val="center"/>
                </w:tcPr>
                <w:p w14:paraId="769D39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台</w:t>
                  </w:r>
                </w:p>
              </w:tc>
              <w:tc>
                <w:tcPr>
                  <w:tcW w:w="640" w:type="dxa"/>
                  <w:shd w:val="clear" w:color="auto" w:fill="auto"/>
                  <w:noWrap/>
                  <w:vAlign w:val="center"/>
                </w:tcPr>
                <w:p w14:paraId="3BEEE9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2</w:t>
                  </w:r>
                </w:p>
              </w:tc>
              <w:tc>
                <w:tcPr>
                  <w:tcW w:w="1534" w:type="dxa"/>
                  <w:shd w:val="clear" w:color="auto" w:fill="auto"/>
                  <w:noWrap/>
                  <w:vAlign w:val="center"/>
                </w:tcPr>
                <w:p w14:paraId="7298CE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23B7B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8408" w:type="dxa"/>
                  <w:gridSpan w:val="7"/>
                  <w:shd w:val="clear" w:color="auto" w:fill="auto"/>
                  <w:noWrap/>
                  <w:vAlign w:val="center"/>
                </w:tcPr>
                <w:p w14:paraId="037C74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4#厂房</w:t>
                  </w:r>
                </w:p>
              </w:tc>
            </w:tr>
            <w:tr w14:paraId="48A89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17FC98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18</w:t>
                  </w:r>
                </w:p>
              </w:tc>
              <w:tc>
                <w:tcPr>
                  <w:tcW w:w="766" w:type="dxa"/>
                  <w:vMerge w:val="restart"/>
                  <w:shd w:val="clear" w:color="auto" w:fill="auto"/>
                  <w:noWrap/>
                  <w:vAlign w:val="center"/>
                </w:tcPr>
                <w:p w14:paraId="38F910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盐水渍菜生产设备</w:t>
                  </w:r>
                </w:p>
              </w:tc>
              <w:tc>
                <w:tcPr>
                  <w:tcW w:w="1397" w:type="dxa"/>
                  <w:shd w:val="clear" w:color="auto" w:fill="auto"/>
                  <w:noWrap/>
                  <w:vAlign w:val="center"/>
                </w:tcPr>
                <w:p w14:paraId="0CBB3B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2条人工生产线</w:t>
                  </w:r>
                </w:p>
              </w:tc>
              <w:tc>
                <w:tcPr>
                  <w:tcW w:w="2704" w:type="dxa"/>
                  <w:shd w:val="clear" w:color="auto" w:fill="auto"/>
                  <w:noWrap/>
                  <w:vAlign w:val="center"/>
                </w:tcPr>
                <w:p w14:paraId="51D1A4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直径1.6m，高1.1m清洗桶</w:t>
                  </w:r>
                </w:p>
              </w:tc>
              <w:tc>
                <w:tcPr>
                  <w:tcW w:w="720" w:type="dxa"/>
                  <w:shd w:val="clear" w:color="auto" w:fill="auto"/>
                  <w:noWrap/>
                  <w:vAlign w:val="center"/>
                </w:tcPr>
                <w:p w14:paraId="1B43A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个</w:t>
                  </w:r>
                </w:p>
              </w:tc>
              <w:tc>
                <w:tcPr>
                  <w:tcW w:w="640" w:type="dxa"/>
                  <w:shd w:val="clear" w:color="auto" w:fill="auto"/>
                  <w:noWrap/>
                  <w:vAlign w:val="center"/>
                </w:tcPr>
                <w:p w14:paraId="41359F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6</w:t>
                  </w:r>
                </w:p>
              </w:tc>
              <w:tc>
                <w:tcPr>
                  <w:tcW w:w="1534" w:type="dxa"/>
                  <w:shd w:val="clear" w:color="auto" w:fill="auto"/>
                  <w:noWrap/>
                  <w:vAlign w:val="center"/>
                </w:tcPr>
                <w:p w14:paraId="782269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3个清洗桶组成1条生产线</w:t>
                  </w:r>
                </w:p>
              </w:tc>
            </w:tr>
            <w:tr w14:paraId="7DB4A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221D50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19</w:t>
                  </w:r>
                </w:p>
              </w:tc>
              <w:tc>
                <w:tcPr>
                  <w:tcW w:w="766" w:type="dxa"/>
                  <w:vMerge w:val="continue"/>
                  <w:shd w:val="clear" w:color="auto" w:fill="auto"/>
                  <w:noWrap/>
                  <w:vAlign w:val="center"/>
                </w:tcPr>
                <w:p w14:paraId="12ACF0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p>
              </w:tc>
              <w:tc>
                <w:tcPr>
                  <w:tcW w:w="1397" w:type="dxa"/>
                  <w:shd w:val="clear" w:color="auto" w:fill="auto"/>
                  <w:noWrap/>
                  <w:vAlign w:val="center"/>
                </w:tcPr>
                <w:p w14:paraId="469A53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盐水配制桶</w:t>
                  </w:r>
                </w:p>
              </w:tc>
              <w:tc>
                <w:tcPr>
                  <w:tcW w:w="2704" w:type="dxa"/>
                  <w:shd w:val="clear" w:color="auto" w:fill="auto"/>
                  <w:noWrap/>
                  <w:vAlign w:val="center"/>
                </w:tcPr>
                <w:p w14:paraId="36DF2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直径1.6m，高1.1m</w:t>
                  </w:r>
                </w:p>
              </w:tc>
              <w:tc>
                <w:tcPr>
                  <w:tcW w:w="720" w:type="dxa"/>
                  <w:shd w:val="clear" w:color="auto" w:fill="auto"/>
                  <w:noWrap/>
                  <w:vAlign w:val="center"/>
                </w:tcPr>
                <w:p w14:paraId="639484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个</w:t>
                  </w:r>
                </w:p>
              </w:tc>
              <w:tc>
                <w:tcPr>
                  <w:tcW w:w="640" w:type="dxa"/>
                  <w:shd w:val="clear" w:color="auto" w:fill="auto"/>
                  <w:noWrap/>
                  <w:vAlign w:val="center"/>
                </w:tcPr>
                <w:p w14:paraId="0BE109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2</w:t>
                  </w:r>
                </w:p>
              </w:tc>
              <w:tc>
                <w:tcPr>
                  <w:tcW w:w="1534" w:type="dxa"/>
                  <w:shd w:val="clear" w:color="auto" w:fill="auto"/>
                  <w:noWrap/>
                  <w:vAlign w:val="center"/>
                </w:tcPr>
                <w:p w14:paraId="76918B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43158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7A8A36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20</w:t>
                  </w:r>
                </w:p>
              </w:tc>
              <w:tc>
                <w:tcPr>
                  <w:tcW w:w="766" w:type="dxa"/>
                  <w:vMerge w:val="continue"/>
                  <w:shd w:val="clear" w:color="auto" w:fill="auto"/>
                  <w:noWrap/>
                  <w:vAlign w:val="center"/>
                </w:tcPr>
                <w:p w14:paraId="2FD361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000000"/>
                      <w:kern w:val="0"/>
                      <w:sz w:val="21"/>
                      <w:szCs w:val="21"/>
                      <w:u w:val="none"/>
                      <w:lang w:val="en-US" w:eastAsia="zh-CN" w:bidi="ar"/>
                    </w:rPr>
                  </w:pPr>
                </w:p>
              </w:tc>
              <w:tc>
                <w:tcPr>
                  <w:tcW w:w="1397" w:type="dxa"/>
                  <w:shd w:val="clear" w:color="auto" w:fill="auto"/>
                  <w:noWrap/>
                  <w:vAlign w:val="center"/>
                </w:tcPr>
                <w:p w14:paraId="3B7CC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真空包装机</w:t>
                  </w:r>
                </w:p>
              </w:tc>
              <w:tc>
                <w:tcPr>
                  <w:tcW w:w="2704" w:type="dxa"/>
                  <w:shd w:val="clear" w:color="auto" w:fill="auto"/>
                  <w:noWrap/>
                  <w:vAlign w:val="center"/>
                </w:tcPr>
                <w:p w14:paraId="1ABA8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MRZK-260A</w:t>
                  </w:r>
                </w:p>
              </w:tc>
              <w:tc>
                <w:tcPr>
                  <w:tcW w:w="720" w:type="dxa"/>
                  <w:shd w:val="clear" w:color="auto" w:fill="auto"/>
                  <w:noWrap/>
                  <w:vAlign w:val="center"/>
                </w:tcPr>
                <w:p w14:paraId="01783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台</w:t>
                  </w:r>
                </w:p>
              </w:tc>
              <w:tc>
                <w:tcPr>
                  <w:tcW w:w="640" w:type="dxa"/>
                  <w:shd w:val="clear" w:color="auto" w:fill="auto"/>
                  <w:noWrap/>
                  <w:vAlign w:val="center"/>
                </w:tcPr>
                <w:p w14:paraId="0369A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w:t>
                  </w:r>
                </w:p>
              </w:tc>
              <w:tc>
                <w:tcPr>
                  <w:tcW w:w="1534" w:type="dxa"/>
                  <w:shd w:val="clear" w:color="auto" w:fill="auto"/>
                  <w:noWrap/>
                  <w:vAlign w:val="center"/>
                </w:tcPr>
                <w:p w14:paraId="6E6405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p>
              </w:tc>
            </w:tr>
            <w:tr w14:paraId="2EF5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234889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21</w:t>
                  </w:r>
                </w:p>
              </w:tc>
              <w:tc>
                <w:tcPr>
                  <w:tcW w:w="2163" w:type="dxa"/>
                  <w:gridSpan w:val="2"/>
                  <w:shd w:val="clear" w:color="auto" w:fill="auto"/>
                  <w:noWrap/>
                  <w:vAlign w:val="center"/>
                </w:tcPr>
                <w:p w14:paraId="1C3960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3t/h生物质锅炉</w:t>
                  </w:r>
                </w:p>
              </w:tc>
              <w:tc>
                <w:tcPr>
                  <w:tcW w:w="2704" w:type="dxa"/>
                  <w:shd w:val="clear" w:color="auto" w:fill="auto"/>
                  <w:noWrap/>
                  <w:vAlign w:val="center"/>
                </w:tcPr>
                <w:p w14:paraId="717052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720" w:type="dxa"/>
                  <w:shd w:val="clear" w:color="auto" w:fill="auto"/>
                  <w:noWrap/>
                  <w:vAlign w:val="center"/>
                </w:tcPr>
                <w:p w14:paraId="031239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台</w:t>
                  </w:r>
                </w:p>
              </w:tc>
              <w:tc>
                <w:tcPr>
                  <w:tcW w:w="640" w:type="dxa"/>
                  <w:shd w:val="clear" w:color="auto" w:fill="auto"/>
                  <w:noWrap/>
                  <w:vAlign w:val="center"/>
                </w:tcPr>
                <w:p w14:paraId="0184FF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534" w:type="dxa"/>
                  <w:shd w:val="clear" w:color="auto" w:fill="auto"/>
                  <w:noWrap/>
                  <w:vAlign w:val="center"/>
                </w:tcPr>
                <w:p w14:paraId="1CBDA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eastAsia" w:cs="Times New Roman"/>
                      <w:i w:val="0"/>
                      <w:iCs w:val="0"/>
                      <w:color w:val="000000"/>
                      <w:kern w:val="0"/>
                      <w:sz w:val="21"/>
                      <w:szCs w:val="21"/>
                      <w:u w:val="none"/>
                      <w:lang w:val="en-US" w:eastAsia="zh-CN" w:bidi="ar"/>
                    </w:rPr>
                    <w:t>设计热效率83.2%</w:t>
                  </w:r>
                </w:p>
              </w:tc>
            </w:tr>
            <w:tr w14:paraId="031DA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47" w:type="dxa"/>
                  <w:shd w:val="clear" w:color="auto" w:fill="auto"/>
                  <w:noWrap/>
                  <w:vAlign w:val="center"/>
                </w:tcPr>
                <w:p w14:paraId="4A7CF6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22</w:t>
                  </w:r>
                </w:p>
              </w:tc>
              <w:tc>
                <w:tcPr>
                  <w:tcW w:w="2163" w:type="dxa"/>
                  <w:gridSpan w:val="2"/>
                  <w:shd w:val="clear" w:color="auto" w:fill="auto"/>
                  <w:noWrap/>
                  <w:vAlign w:val="center"/>
                </w:tcPr>
                <w:p w14:paraId="4877C4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纯水制备</w:t>
                  </w:r>
                </w:p>
              </w:tc>
              <w:tc>
                <w:tcPr>
                  <w:tcW w:w="2704" w:type="dxa"/>
                  <w:shd w:val="clear" w:color="auto" w:fill="auto"/>
                  <w:noWrap/>
                  <w:vAlign w:val="center"/>
                </w:tcPr>
                <w:p w14:paraId="52E974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720" w:type="dxa"/>
                  <w:shd w:val="clear" w:color="auto" w:fill="auto"/>
                  <w:noWrap/>
                  <w:vAlign w:val="center"/>
                </w:tcPr>
                <w:p w14:paraId="58D97B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套</w:t>
                  </w:r>
                </w:p>
              </w:tc>
              <w:tc>
                <w:tcPr>
                  <w:tcW w:w="640" w:type="dxa"/>
                  <w:shd w:val="clear" w:color="auto" w:fill="auto"/>
                  <w:noWrap/>
                  <w:vAlign w:val="center"/>
                </w:tcPr>
                <w:p w14:paraId="60464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cs="Times New Roman"/>
                      <w:i w:val="0"/>
                      <w:iCs w:val="0"/>
                      <w:color w:val="000000"/>
                      <w:kern w:val="0"/>
                      <w:sz w:val="21"/>
                      <w:szCs w:val="21"/>
                      <w:u w:val="none"/>
                      <w:lang w:val="en-US" w:eastAsia="zh-CN" w:bidi="ar"/>
                    </w:rPr>
                    <w:t>1</w:t>
                  </w:r>
                </w:p>
              </w:tc>
              <w:tc>
                <w:tcPr>
                  <w:tcW w:w="1534" w:type="dxa"/>
                  <w:shd w:val="clear" w:color="auto" w:fill="auto"/>
                  <w:noWrap/>
                  <w:vAlign w:val="center"/>
                </w:tcPr>
                <w:p w14:paraId="7C900D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供锅炉使用</w:t>
                  </w:r>
                </w:p>
              </w:tc>
            </w:tr>
          </w:tbl>
          <w:p w14:paraId="2D3333A7">
            <w:pPr>
              <w:pStyle w:val="2"/>
              <w:keepLines w:val="0"/>
              <w:numPr>
                <w:ilvl w:val="0"/>
                <w:numId w:val="0"/>
              </w:numPr>
              <w:suppressLineNumbers w:val="0"/>
              <w:bidi w:val="0"/>
              <w:adjustRightInd w:val="0"/>
              <w:spacing w:before="0" w:beforeLines="0" w:beforeAutospacing="0" w:after="0" w:afterAutospacing="0"/>
              <w:ind w:leftChars="0" w:right="0"/>
              <w:rPr>
                <w:rFonts w:hint="default" w:cs="Times New Roman"/>
                <w:color w:val="auto"/>
                <w:highlight w:val="none"/>
                <w:u w:val="none"/>
                <w:lang w:val="en-US" w:eastAsia="zh-CN"/>
              </w:rPr>
            </w:pPr>
            <w:r>
              <w:rPr>
                <w:rFonts w:hint="default" w:ascii="Times New Roman" w:hAnsi="Times New Roman" w:cs="Times New Roman"/>
                <w:color w:val="auto"/>
                <w:highlight w:val="none"/>
                <w:u w:val="none"/>
                <w:lang w:val="en-US" w:eastAsia="zh-CN"/>
              </w:rPr>
              <w:t>2</w:t>
            </w:r>
            <w:r>
              <w:rPr>
                <w:rFonts w:hint="default"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1</w:t>
            </w:r>
            <w:r>
              <w:rPr>
                <w:rFonts w:hint="default"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5</w:t>
            </w:r>
            <w:r>
              <w:rPr>
                <w:rFonts w:hint="default" w:cs="Times New Roman"/>
                <w:color w:val="auto"/>
                <w:highlight w:val="none"/>
                <w:u w:val="none"/>
                <w:lang w:val="en-US" w:eastAsia="zh-CN"/>
              </w:rPr>
              <w:t>主要原辅材料及能源消耗</w:t>
            </w:r>
          </w:p>
          <w:p w14:paraId="49192A93">
            <w:pPr>
              <w:keepNext w:val="0"/>
              <w:keepLines w:val="0"/>
              <w:suppressLineNumbers w:val="0"/>
              <w:spacing w:before="0" w:beforeAutospacing="0" w:after="0" w:afterAutospacing="0"/>
              <w:ind w:left="0" w:right="0" w:firstLine="480" w:firstLineChars="200"/>
              <w:rPr>
                <w:rFonts w:hint="default" w:ascii="Times New Roman" w:hAnsi="Times New Roman" w:eastAsia="宋体" w:cs="Times New Roman"/>
                <w:color w:val="auto"/>
                <w:highlight w:val="none"/>
                <w:u w:val="none"/>
                <w:lang w:val="en-US" w:eastAsia="zh-CN"/>
              </w:rPr>
            </w:pPr>
            <w:r>
              <w:rPr>
                <w:rFonts w:hint="default" w:cs="Times New Roman"/>
                <w:color w:val="auto"/>
                <w:highlight w:val="none"/>
                <w:u w:val="none"/>
                <w:lang w:val="en-US" w:eastAsia="zh-CN"/>
              </w:rPr>
              <w:t>本项目</w:t>
            </w:r>
            <w:r>
              <w:rPr>
                <w:rFonts w:hint="default" w:ascii="Times New Roman" w:hAnsi="Times New Roman" w:eastAsia="宋体" w:cs="Times New Roman"/>
                <w:color w:val="auto"/>
                <w:highlight w:val="none"/>
                <w:u w:val="none"/>
                <w:lang w:val="en-US" w:eastAsia="zh-CN"/>
              </w:rPr>
              <w:t>主要原辅材料及能源消耗情况见下表。</w:t>
            </w:r>
          </w:p>
          <w:p w14:paraId="313D0405">
            <w:pPr>
              <w:keepNext w:val="0"/>
              <w:keepLines w:val="0"/>
              <w:suppressLineNumbers w:val="0"/>
              <w:spacing w:before="0" w:beforeAutospacing="0" w:after="0" w:afterAutospacing="0" w:line="240" w:lineRule="auto"/>
              <w:ind w:left="0" w:right="0" w:firstLine="422" w:firstLineChars="200"/>
              <w:jc w:val="center"/>
              <w:rPr>
                <w:rFonts w:hint="default" w:ascii="Times New Roman" w:hAnsi="Times New Roman" w:eastAsia="宋体" w:cs="Times New Roman"/>
                <w:b/>
                <w:color w:val="auto"/>
                <w:sz w:val="21"/>
                <w:szCs w:val="21"/>
                <w:highlight w:val="none"/>
                <w:u w:val="none"/>
              </w:rPr>
            </w:pPr>
            <w:r>
              <w:rPr>
                <w:rFonts w:hint="default" w:ascii="Times New Roman" w:hAnsi="Times New Roman" w:eastAsia="宋体" w:cs="Times New Roman"/>
                <w:b/>
                <w:color w:val="auto"/>
                <w:sz w:val="21"/>
                <w:szCs w:val="21"/>
                <w:highlight w:val="none"/>
                <w:u w:val="none"/>
              </w:rPr>
              <w:t>表</w:t>
            </w:r>
            <w:r>
              <w:rPr>
                <w:rFonts w:hint="default" w:ascii="Times New Roman" w:hAnsi="Times New Roman" w:cs="Times New Roman"/>
                <w:b/>
                <w:color w:val="auto"/>
                <w:sz w:val="21"/>
                <w:szCs w:val="21"/>
                <w:highlight w:val="none"/>
                <w:u w:val="none"/>
                <w:lang w:val="en-US" w:eastAsia="zh-CN"/>
              </w:rPr>
              <w:t>2</w:t>
            </w:r>
            <w:r>
              <w:rPr>
                <w:rFonts w:hint="default" w:cs="Times New Roman"/>
                <w:b/>
                <w:color w:val="auto"/>
                <w:sz w:val="21"/>
                <w:szCs w:val="21"/>
                <w:highlight w:val="none"/>
                <w:u w:val="none"/>
                <w:lang w:val="en-US" w:eastAsia="zh-CN"/>
              </w:rPr>
              <w:t>.1</w:t>
            </w:r>
            <w:r>
              <w:rPr>
                <w:rFonts w:hint="default" w:ascii="Times New Roman" w:hAnsi="Times New Roman" w:eastAsia="宋体" w:cs="Times New Roman"/>
                <w:b/>
                <w:color w:val="auto"/>
                <w:sz w:val="21"/>
                <w:szCs w:val="21"/>
                <w:highlight w:val="none"/>
                <w:u w:val="none"/>
              </w:rPr>
              <w:t>-3  项目原辅材料及能源消耗一览表</w:t>
            </w:r>
          </w:p>
          <w:tbl>
            <w:tblPr>
              <w:tblStyle w:val="28"/>
              <w:tblW w:w="8325" w:type="dxa"/>
              <w:tblInd w:w="-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80"/>
              <w:gridCol w:w="1004"/>
              <w:gridCol w:w="1177"/>
              <w:gridCol w:w="1042"/>
              <w:gridCol w:w="1463"/>
              <w:gridCol w:w="2959"/>
            </w:tblGrid>
            <w:tr w14:paraId="54E2B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7F7F59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序号</w:t>
                  </w:r>
                </w:p>
              </w:tc>
              <w:tc>
                <w:tcPr>
                  <w:tcW w:w="1004" w:type="dxa"/>
                  <w:shd w:val="clear" w:color="auto" w:fill="auto"/>
                  <w:noWrap/>
                  <w:vAlign w:val="center"/>
                </w:tcPr>
                <w:p w14:paraId="6706ED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名称</w:t>
                  </w:r>
                </w:p>
              </w:tc>
              <w:tc>
                <w:tcPr>
                  <w:tcW w:w="1177" w:type="dxa"/>
                  <w:shd w:val="clear" w:color="auto" w:fill="auto"/>
                  <w:noWrap/>
                  <w:vAlign w:val="center"/>
                </w:tcPr>
                <w:p w14:paraId="105E9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年用量（</w:t>
                  </w:r>
                  <w:r>
                    <w:rPr>
                      <w:rFonts w:hint="default" w:ascii="Times New Roman" w:hAnsi="Times New Roman" w:eastAsia="宋体" w:cs="Times New Roman"/>
                      <w:i w:val="0"/>
                      <w:iCs w:val="0"/>
                      <w:color w:val="000000"/>
                      <w:kern w:val="0"/>
                      <w:sz w:val="21"/>
                      <w:szCs w:val="21"/>
                      <w:u w:val="none"/>
                      <w:lang w:val="en-US" w:eastAsia="zh-CN" w:bidi="ar"/>
                    </w:rPr>
                    <w:t>t</w:t>
                  </w:r>
                  <w:r>
                    <w:rPr>
                      <w:rFonts w:hint="eastAsia" w:ascii="宋体" w:hAnsi="宋体" w:eastAsia="宋体" w:cs="宋体"/>
                      <w:i w:val="0"/>
                      <w:iCs w:val="0"/>
                      <w:color w:val="000000"/>
                      <w:kern w:val="0"/>
                      <w:sz w:val="21"/>
                      <w:szCs w:val="21"/>
                      <w:u w:val="none"/>
                      <w:lang w:val="en-US" w:eastAsia="zh-CN" w:bidi="ar"/>
                    </w:rPr>
                    <w:t>）</w:t>
                  </w:r>
                </w:p>
              </w:tc>
              <w:tc>
                <w:tcPr>
                  <w:tcW w:w="1042" w:type="dxa"/>
                  <w:shd w:val="clear" w:color="auto" w:fill="auto"/>
                  <w:noWrap/>
                  <w:vAlign w:val="center"/>
                </w:tcPr>
                <w:p w14:paraId="177C26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最大储存量（</w:t>
                  </w:r>
                  <w:r>
                    <w:rPr>
                      <w:rFonts w:hint="default" w:ascii="Times New Roman" w:hAnsi="Times New Roman" w:eastAsia="宋体" w:cs="Times New Roman"/>
                      <w:i w:val="0"/>
                      <w:iCs w:val="0"/>
                      <w:color w:val="000000"/>
                      <w:kern w:val="0"/>
                      <w:sz w:val="21"/>
                      <w:szCs w:val="21"/>
                      <w:u w:val="none"/>
                      <w:lang w:val="en-US" w:eastAsia="zh-CN" w:bidi="ar"/>
                    </w:rPr>
                    <w:t>t</w:t>
                  </w:r>
                  <w:r>
                    <w:rPr>
                      <w:rFonts w:hint="eastAsia" w:ascii="宋体" w:hAnsi="宋体" w:eastAsia="宋体" w:cs="宋体"/>
                      <w:i w:val="0"/>
                      <w:iCs w:val="0"/>
                      <w:color w:val="000000"/>
                      <w:kern w:val="0"/>
                      <w:sz w:val="21"/>
                      <w:szCs w:val="21"/>
                      <w:u w:val="none"/>
                      <w:lang w:val="en-US" w:eastAsia="zh-CN" w:bidi="ar"/>
                    </w:rPr>
                    <w:t>）</w:t>
                  </w:r>
                </w:p>
              </w:tc>
              <w:tc>
                <w:tcPr>
                  <w:tcW w:w="1463" w:type="dxa"/>
                  <w:shd w:val="clear" w:color="auto" w:fill="auto"/>
                  <w:noWrap/>
                  <w:vAlign w:val="center"/>
                </w:tcPr>
                <w:p w14:paraId="124529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包装储存方式</w:t>
                  </w:r>
                </w:p>
              </w:tc>
              <w:tc>
                <w:tcPr>
                  <w:tcW w:w="2959" w:type="dxa"/>
                  <w:shd w:val="clear" w:color="auto" w:fill="auto"/>
                  <w:noWrap/>
                  <w:vAlign w:val="center"/>
                </w:tcPr>
                <w:p w14:paraId="26530D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备注</w:t>
                  </w:r>
                </w:p>
              </w:tc>
            </w:tr>
            <w:tr w14:paraId="56F10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4C2C3C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一</w:t>
                  </w:r>
                </w:p>
              </w:tc>
              <w:tc>
                <w:tcPr>
                  <w:tcW w:w="7645" w:type="dxa"/>
                  <w:gridSpan w:val="5"/>
                  <w:shd w:val="clear" w:color="auto" w:fill="auto"/>
                  <w:noWrap/>
                  <w:vAlign w:val="center"/>
                </w:tcPr>
                <w:p w14:paraId="49996E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原辅材料</w:t>
                  </w:r>
                </w:p>
              </w:tc>
            </w:tr>
            <w:tr w14:paraId="05857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3A22ADF4">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both"/>
                    <w:textAlignment w:val="center"/>
                    <w:rPr>
                      <w:rFonts w:hint="default" w:ascii="Times New Roman" w:hAnsi="Times New Roman" w:eastAsia="宋体" w:cs="Times New Roman"/>
                      <w:i w:val="0"/>
                      <w:iCs w:val="0"/>
                      <w:color w:val="000000"/>
                      <w:sz w:val="21"/>
                      <w:szCs w:val="21"/>
                      <w:u w:val="none"/>
                    </w:rPr>
                  </w:pPr>
                </w:p>
              </w:tc>
              <w:tc>
                <w:tcPr>
                  <w:tcW w:w="1004" w:type="dxa"/>
                  <w:shd w:val="clear" w:color="auto" w:fill="auto"/>
                  <w:noWrap/>
                  <w:vAlign w:val="center"/>
                </w:tcPr>
                <w:p w14:paraId="50DCBA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鲜黄花菜</w:t>
                  </w:r>
                </w:p>
              </w:tc>
              <w:tc>
                <w:tcPr>
                  <w:tcW w:w="1177" w:type="dxa"/>
                  <w:shd w:val="clear" w:color="auto" w:fill="auto"/>
                  <w:noWrap/>
                  <w:vAlign w:val="center"/>
                </w:tcPr>
                <w:p w14:paraId="694E12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8000</w:t>
                  </w:r>
                </w:p>
              </w:tc>
              <w:tc>
                <w:tcPr>
                  <w:tcW w:w="1042" w:type="dxa"/>
                  <w:shd w:val="clear" w:color="auto" w:fill="auto"/>
                  <w:noWrap/>
                  <w:vAlign w:val="center"/>
                </w:tcPr>
                <w:p w14:paraId="054695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1463" w:type="dxa"/>
                  <w:shd w:val="clear" w:color="auto" w:fill="auto"/>
                  <w:noWrap/>
                  <w:vAlign w:val="center"/>
                </w:tcPr>
                <w:p w14:paraId="5CFE45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编织筐内冷库暂存</w:t>
                  </w:r>
                </w:p>
              </w:tc>
              <w:tc>
                <w:tcPr>
                  <w:tcW w:w="2959" w:type="dxa"/>
                  <w:shd w:val="clear" w:color="auto" w:fill="auto"/>
                  <w:noWrap/>
                  <w:vAlign w:val="center"/>
                </w:tcPr>
                <w:p w14:paraId="7E9169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r>
            <w:tr w14:paraId="42811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65BBDF39">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sz w:val="21"/>
                      <w:szCs w:val="21"/>
                      <w:u w:val="none"/>
                    </w:rPr>
                  </w:pPr>
                </w:p>
              </w:tc>
              <w:tc>
                <w:tcPr>
                  <w:tcW w:w="1004" w:type="dxa"/>
                  <w:shd w:val="clear" w:color="auto" w:fill="auto"/>
                  <w:noWrap/>
                  <w:vAlign w:val="center"/>
                </w:tcPr>
                <w:p w14:paraId="7FB9B7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食品添加剂</w:t>
                  </w:r>
                </w:p>
              </w:tc>
              <w:tc>
                <w:tcPr>
                  <w:tcW w:w="1177" w:type="dxa"/>
                  <w:shd w:val="clear" w:color="auto" w:fill="auto"/>
                  <w:noWrap/>
                  <w:vAlign w:val="center"/>
                </w:tcPr>
                <w:p w14:paraId="6F2B51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491</w:t>
                  </w:r>
                </w:p>
              </w:tc>
              <w:tc>
                <w:tcPr>
                  <w:tcW w:w="1042" w:type="dxa"/>
                  <w:shd w:val="clear" w:color="auto" w:fill="auto"/>
                  <w:noWrap/>
                  <w:vAlign w:val="center"/>
                </w:tcPr>
                <w:p w14:paraId="7C3405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eastAsia" w:cs="Times New Roman"/>
                      <w:i w:val="0"/>
                      <w:iCs w:val="0"/>
                      <w:color w:val="000000"/>
                      <w:kern w:val="0"/>
                      <w:sz w:val="21"/>
                      <w:szCs w:val="21"/>
                      <w:u w:val="none"/>
                      <w:lang w:val="en-US" w:eastAsia="zh-CN" w:bidi="ar"/>
                    </w:rPr>
                    <w:t>5</w:t>
                  </w:r>
                </w:p>
              </w:tc>
              <w:tc>
                <w:tcPr>
                  <w:tcW w:w="1463" w:type="dxa"/>
                  <w:shd w:val="clear" w:color="auto" w:fill="auto"/>
                  <w:noWrap/>
                  <w:vAlign w:val="center"/>
                </w:tcPr>
                <w:p w14:paraId="12BCC4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袋装，</w:t>
                  </w:r>
                  <w:r>
                    <w:rPr>
                      <w:rFonts w:hint="default" w:ascii="Times New Roman" w:hAnsi="Times New Roman" w:eastAsia="宋体" w:cs="Times New Roman"/>
                      <w:i w:val="0"/>
                      <w:iCs w:val="0"/>
                      <w:color w:val="000000"/>
                      <w:kern w:val="0"/>
                      <w:sz w:val="21"/>
                      <w:szCs w:val="21"/>
                      <w:u w:val="none"/>
                      <w:lang w:val="en-US" w:eastAsia="zh-CN" w:bidi="ar"/>
                    </w:rPr>
                    <w:t>25kg/</w:t>
                  </w:r>
                  <w:r>
                    <w:rPr>
                      <w:rFonts w:hint="eastAsia" w:ascii="宋体" w:hAnsi="宋体" w:eastAsia="宋体" w:cs="宋体"/>
                      <w:i w:val="0"/>
                      <w:iCs w:val="0"/>
                      <w:color w:val="000000"/>
                      <w:kern w:val="0"/>
                      <w:sz w:val="21"/>
                      <w:szCs w:val="21"/>
                      <w:u w:val="none"/>
                      <w:lang w:val="en-US" w:eastAsia="zh-CN" w:bidi="ar"/>
                    </w:rPr>
                    <w:t>袋</w:t>
                  </w:r>
                </w:p>
              </w:tc>
              <w:tc>
                <w:tcPr>
                  <w:tcW w:w="2959" w:type="dxa"/>
                  <w:shd w:val="clear" w:color="auto" w:fill="auto"/>
                  <w:vAlign w:val="center"/>
                </w:tcPr>
                <w:p w14:paraId="57F88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用于</w:t>
                  </w:r>
                  <w:r>
                    <w:rPr>
                      <w:rFonts w:hint="eastAsia" w:ascii="宋体" w:hAnsi="宋体" w:cs="宋体"/>
                      <w:i w:val="0"/>
                      <w:iCs w:val="0"/>
                      <w:color w:val="000000"/>
                      <w:kern w:val="0"/>
                      <w:sz w:val="21"/>
                      <w:szCs w:val="21"/>
                      <w:u w:val="none"/>
                      <w:lang w:val="en-US" w:eastAsia="zh-CN" w:bidi="ar"/>
                    </w:rPr>
                    <w:t>盐水渍菜</w:t>
                  </w:r>
                  <w:r>
                    <w:rPr>
                      <w:rFonts w:hint="eastAsia" w:ascii="宋体" w:hAnsi="宋体" w:eastAsia="宋体" w:cs="宋体"/>
                      <w:i w:val="0"/>
                      <w:iCs w:val="0"/>
                      <w:color w:val="000000"/>
                      <w:kern w:val="0"/>
                      <w:sz w:val="21"/>
                      <w:szCs w:val="21"/>
                      <w:u w:val="none"/>
                      <w:lang w:val="en-US" w:eastAsia="zh-CN" w:bidi="ar"/>
                    </w:rPr>
                    <w:t>生产</w:t>
                  </w:r>
                  <w:r>
                    <w:rPr>
                      <w:rFonts w:hint="eastAsia" w:ascii="宋体" w:hAnsi="宋体" w:cs="宋体"/>
                      <w:i w:val="0"/>
                      <w:iCs w:val="0"/>
                      <w:color w:val="000000"/>
                      <w:kern w:val="0"/>
                      <w:sz w:val="21"/>
                      <w:szCs w:val="21"/>
                      <w:u w:val="none"/>
                      <w:lang w:val="en-US" w:eastAsia="zh-CN" w:bidi="ar"/>
                    </w:rPr>
                    <w:t>（包括黄花菜保鲜、带盐水包装）</w:t>
                  </w:r>
                  <w:r>
                    <w:rPr>
                      <w:rFonts w:hint="eastAsia" w:ascii="宋体" w:hAnsi="宋体" w:eastAsia="宋体" w:cs="宋体"/>
                      <w:i w:val="0"/>
                      <w:iCs w:val="0"/>
                      <w:color w:val="000000"/>
                      <w:kern w:val="0"/>
                      <w:sz w:val="21"/>
                      <w:szCs w:val="21"/>
                      <w:u w:val="none"/>
                      <w:lang w:val="en-US" w:eastAsia="zh-CN" w:bidi="ar"/>
                    </w:rPr>
                    <w:t>，主要成分为焦亚硫酸钠</w:t>
                  </w:r>
                </w:p>
              </w:tc>
            </w:tr>
            <w:tr w14:paraId="7FAC9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37878905">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004" w:type="dxa"/>
                  <w:shd w:val="clear" w:color="auto" w:fill="auto"/>
                  <w:noWrap/>
                  <w:vAlign w:val="center"/>
                </w:tcPr>
                <w:p w14:paraId="4BAB37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eastAsia" w:cs="Times New Roman"/>
                      <w:i w:val="0"/>
                      <w:iCs w:val="0"/>
                      <w:color w:val="000000"/>
                      <w:kern w:val="0"/>
                      <w:sz w:val="22"/>
                      <w:szCs w:val="22"/>
                      <w:u w:val="none"/>
                      <w:lang w:val="en-US" w:eastAsia="zh-CN" w:bidi="ar"/>
                    </w:rPr>
                    <w:t>食盐</w:t>
                  </w:r>
                  <w:r>
                    <w:rPr>
                      <w:rFonts w:hint="default" w:ascii="Times New Roman" w:hAnsi="Times New Roman" w:eastAsia="宋体" w:cs="Times New Roman"/>
                      <w:i w:val="0"/>
                      <w:iCs w:val="0"/>
                      <w:color w:val="000000"/>
                      <w:kern w:val="0"/>
                      <w:sz w:val="22"/>
                      <w:szCs w:val="22"/>
                      <w:u w:val="none"/>
                      <w:lang w:val="en-US" w:eastAsia="zh-CN" w:bidi="ar"/>
                    </w:rPr>
                    <w:t>盐</w:t>
                  </w:r>
                </w:p>
              </w:tc>
              <w:tc>
                <w:tcPr>
                  <w:tcW w:w="1177" w:type="dxa"/>
                  <w:shd w:val="clear" w:color="auto" w:fill="auto"/>
                  <w:noWrap/>
                  <w:vAlign w:val="center"/>
                </w:tcPr>
                <w:p w14:paraId="6D4140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3</w:t>
                  </w:r>
                </w:p>
              </w:tc>
              <w:tc>
                <w:tcPr>
                  <w:tcW w:w="1042" w:type="dxa"/>
                  <w:shd w:val="clear" w:color="auto" w:fill="auto"/>
                  <w:noWrap/>
                  <w:vAlign w:val="center"/>
                </w:tcPr>
                <w:p w14:paraId="55BBEE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0.04</w:t>
                  </w:r>
                </w:p>
              </w:tc>
              <w:tc>
                <w:tcPr>
                  <w:tcW w:w="1463" w:type="dxa"/>
                  <w:shd w:val="clear" w:color="auto" w:fill="auto"/>
                  <w:noWrap/>
                  <w:vAlign w:val="center"/>
                </w:tcPr>
                <w:p w14:paraId="1D4107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20</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restart"/>
                  <w:shd w:val="clear" w:color="auto" w:fill="auto"/>
                  <w:vAlign w:val="center"/>
                </w:tcPr>
                <w:p w14:paraId="02ABDB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调味品、防腐剂等，用于即食黄花菜生产</w:t>
                  </w:r>
                </w:p>
              </w:tc>
            </w:tr>
            <w:tr w14:paraId="74691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5F1516A8">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rightChars="0" w:hanging="425" w:firstLine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p>
              </w:tc>
              <w:tc>
                <w:tcPr>
                  <w:tcW w:w="1004" w:type="dxa"/>
                  <w:shd w:val="clear" w:color="auto" w:fill="auto"/>
                  <w:noWrap/>
                  <w:vAlign w:val="center"/>
                </w:tcPr>
                <w:p w14:paraId="7CA26E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白糖</w:t>
                  </w:r>
                </w:p>
              </w:tc>
              <w:tc>
                <w:tcPr>
                  <w:tcW w:w="1177" w:type="dxa"/>
                  <w:shd w:val="clear" w:color="auto" w:fill="auto"/>
                  <w:noWrap/>
                  <w:vAlign w:val="center"/>
                </w:tcPr>
                <w:p w14:paraId="1C2C6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1.5</w:t>
                  </w:r>
                </w:p>
              </w:tc>
              <w:tc>
                <w:tcPr>
                  <w:tcW w:w="1042" w:type="dxa"/>
                  <w:shd w:val="clear" w:color="auto" w:fill="auto"/>
                  <w:noWrap/>
                  <w:vAlign w:val="center"/>
                </w:tcPr>
                <w:p w14:paraId="490D9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0.05</w:t>
                  </w:r>
                </w:p>
              </w:tc>
              <w:tc>
                <w:tcPr>
                  <w:tcW w:w="1463" w:type="dxa"/>
                  <w:shd w:val="clear" w:color="auto" w:fill="auto"/>
                  <w:noWrap/>
                  <w:vAlign w:val="center"/>
                </w:tcPr>
                <w:p w14:paraId="3874D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50</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continue"/>
                  <w:shd w:val="clear" w:color="auto" w:fill="auto"/>
                  <w:vAlign w:val="center"/>
                </w:tcPr>
                <w:p w14:paraId="7E2362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14B7F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47A60D92">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rightChars="0" w:hanging="425" w:firstLine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p>
              </w:tc>
              <w:tc>
                <w:tcPr>
                  <w:tcW w:w="1004" w:type="dxa"/>
                  <w:shd w:val="clear" w:color="auto" w:fill="auto"/>
                  <w:noWrap/>
                  <w:vAlign w:val="center"/>
                </w:tcPr>
                <w:p w14:paraId="0ECAB8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味精</w:t>
                  </w:r>
                </w:p>
              </w:tc>
              <w:tc>
                <w:tcPr>
                  <w:tcW w:w="1177" w:type="dxa"/>
                  <w:shd w:val="clear" w:color="auto" w:fill="auto"/>
                  <w:noWrap/>
                  <w:vAlign w:val="center"/>
                </w:tcPr>
                <w:p w14:paraId="3CF90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2.1</w:t>
                  </w:r>
                </w:p>
              </w:tc>
              <w:tc>
                <w:tcPr>
                  <w:tcW w:w="1042" w:type="dxa"/>
                  <w:shd w:val="clear" w:color="auto" w:fill="auto"/>
                  <w:noWrap/>
                  <w:vAlign w:val="center"/>
                </w:tcPr>
                <w:p w14:paraId="781937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0.02</w:t>
                  </w:r>
                </w:p>
              </w:tc>
              <w:tc>
                <w:tcPr>
                  <w:tcW w:w="1463" w:type="dxa"/>
                  <w:shd w:val="clear" w:color="auto" w:fill="auto"/>
                  <w:noWrap/>
                  <w:vAlign w:val="center"/>
                </w:tcPr>
                <w:p w14:paraId="3D85A6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continue"/>
                  <w:shd w:val="clear" w:color="auto" w:fill="auto"/>
                  <w:vAlign w:val="center"/>
                </w:tcPr>
                <w:p w14:paraId="592450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45096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4734CD77">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rightChars="0" w:hanging="425"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p>
              </w:tc>
              <w:tc>
                <w:tcPr>
                  <w:tcW w:w="1004" w:type="dxa"/>
                  <w:shd w:val="clear" w:color="auto" w:fill="auto"/>
                  <w:noWrap/>
                  <w:vAlign w:val="center"/>
                </w:tcPr>
                <w:p w14:paraId="619DD6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5-呈味核苷酸二钠</w:t>
                  </w:r>
                </w:p>
              </w:tc>
              <w:tc>
                <w:tcPr>
                  <w:tcW w:w="1177" w:type="dxa"/>
                  <w:shd w:val="clear" w:color="auto" w:fill="auto"/>
                  <w:noWrap/>
                  <w:vAlign w:val="center"/>
                </w:tcPr>
                <w:p w14:paraId="1735E1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0.105</w:t>
                  </w:r>
                </w:p>
              </w:tc>
              <w:tc>
                <w:tcPr>
                  <w:tcW w:w="1042" w:type="dxa"/>
                  <w:shd w:val="clear" w:color="auto" w:fill="auto"/>
                  <w:noWrap/>
                  <w:vAlign w:val="center"/>
                </w:tcPr>
                <w:p w14:paraId="78EB14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0.005</w:t>
                  </w:r>
                </w:p>
              </w:tc>
              <w:tc>
                <w:tcPr>
                  <w:tcW w:w="1463" w:type="dxa"/>
                  <w:shd w:val="clear" w:color="auto" w:fill="auto"/>
                  <w:noWrap/>
                  <w:vAlign w:val="center"/>
                </w:tcPr>
                <w:p w14:paraId="7A394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1</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continue"/>
                  <w:shd w:val="clear" w:color="auto" w:fill="auto"/>
                  <w:vAlign w:val="center"/>
                </w:tcPr>
                <w:p w14:paraId="31594C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18398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6290A60F">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rightChars="0" w:hanging="425"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p>
              </w:tc>
              <w:tc>
                <w:tcPr>
                  <w:tcW w:w="1004" w:type="dxa"/>
                  <w:shd w:val="clear" w:color="auto" w:fill="auto"/>
                  <w:noWrap/>
                  <w:vAlign w:val="center"/>
                </w:tcPr>
                <w:p w14:paraId="22CCA8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鲜味宝</w:t>
                  </w:r>
                </w:p>
              </w:tc>
              <w:tc>
                <w:tcPr>
                  <w:tcW w:w="1177" w:type="dxa"/>
                  <w:shd w:val="clear" w:color="auto" w:fill="auto"/>
                  <w:noWrap/>
                  <w:vAlign w:val="center"/>
                </w:tcPr>
                <w:p w14:paraId="311AA4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0.3</w:t>
                  </w:r>
                </w:p>
              </w:tc>
              <w:tc>
                <w:tcPr>
                  <w:tcW w:w="1042" w:type="dxa"/>
                  <w:shd w:val="clear" w:color="auto" w:fill="auto"/>
                  <w:noWrap/>
                  <w:vAlign w:val="center"/>
                </w:tcPr>
                <w:p w14:paraId="75ACF4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0.005</w:t>
                  </w:r>
                </w:p>
              </w:tc>
              <w:tc>
                <w:tcPr>
                  <w:tcW w:w="1463" w:type="dxa"/>
                  <w:shd w:val="clear" w:color="auto" w:fill="auto"/>
                  <w:noWrap/>
                  <w:vAlign w:val="center"/>
                </w:tcPr>
                <w:p w14:paraId="3A2D2A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1</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continue"/>
                  <w:shd w:val="clear" w:color="auto" w:fill="auto"/>
                  <w:vAlign w:val="center"/>
                </w:tcPr>
                <w:p w14:paraId="391C08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78E4F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2DC79374">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004" w:type="dxa"/>
                  <w:shd w:val="clear" w:color="auto" w:fill="auto"/>
                  <w:noWrap/>
                  <w:vAlign w:val="center"/>
                </w:tcPr>
                <w:p w14:paraId="0EF88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安赛蜜</w:t>
                  </w:r>
                </w:p>
              </w:tc>
              <w:tc>
                <w:tcPr>
                  <w:tcW w:w="1177" w:type="dxa"/>
                  <w:shd w:val="clear" w:color="auto" w:fill="auto"/>
                  <w:noWrap/>
                  <w:vAlign w:val="center"/>
                </w:tcPr>
                <w:p w14:paraId="35BE35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0.015</w:t>
                  </w:r>
                </w:p>
              </w:tc>
              <w:tc>
                <w:tcPr>
                  <w:tcW w:w="1042" w:type="dxa"/>
                  <w:shd w:val="clear" w:color="auto" w:fill="auto"/>
                  <w:noWrap/>
                  <w:vAlign w:val="center"/>
                </w:tcPr>
                <w:p w14:paraId="6C1C33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0.005</w:t>
                  </w:r>
                </w:p>
              </w:tc>
              <w:tc>
                <w:tcPr>
                  <w:tcW w:w="1463" w:type="dxa"/>
                  <w:shd w:val="clear" w:color="auto" w:fill="auto"/>
                  <w:noWrap/>
                  <w:vAlign w:val="center"/>
                </w:tcPr>
                <w:p w14:paraId="22A334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0.5</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continue"/>
                  <w:shd w:val="clear" w:color="auto" w:fill="auto"/>
                  <w:vAlign w:val="center"/>
                </w:tcPr>
                <w:p w14:paraId="10E6B0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49183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6DDD3E2D">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004" w:type="dxa"/>
                  <w:shd w:val="clear" w:color="auto" w:fill="auto"/>
                  <w:noWrap/>
                  <w:vAlign w:val="center"/>
                </w:tcPr>
                <w:p w14:paraId="104D9E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乙基麦芽酚</w:t>
                  </w:r>
                </w:p>
              </w:tc>
              <w:tc>
                <w:tcPr>
                  <w:tcW w:w="1177" w:type="dxa"/>
                  <w:shd w:val="clear" w:color="auto" w:fill="auto"/>
                  <w:noWrap/>
                  <w:vAlign w:val="center"/>
                </w:tcPr>
                <w:p w14:paraId="5A1BFC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0.03</w:t>
                  </w:r>
                </w:p>
              </w:tc>
              <w:tc>
                <w:tcPr>
                  <w:tcW w:w="1042" w:type="dxa"/>
                  <w:shd w:val="clear" w:color="auto" w:fill="auto"/>
                  <w:noWrap/>
                  <w:vAlign w:val="center"/>
                </w:tcPr>
                <w:p w14:paraId="5D4592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0.005</w:t>
                  </w:r>
                </w:p>
              </w:tc>
              <w:tc>
                <w:tcPr>
                  <w:tcW w:w="1463" w:type="dxa"/>
                  <w:shd w:val="clear" w:color="auto" w:fill="auto"/>
                  <w:noWrap/>
                  <w:vAlign w:val="center"/>
                </w:tcPr>
                <w:p w14:paraId="2B1D08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both"/>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1</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continue"/>
                  <w:shd w:val="clear" w:color="auto" w:fill="auto"/>
                  <w:vAlign w:val="center"/>
                </w:tcPr>
                <w:p w14:paraId="1F3680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30395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1AFD3B3A">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004" w:type="dxa"/>
                  <w:shd w:val="clear" w:color="auto" w:fill="auto"/>
                  <w:noWrap/>
                  <w:vAlign w:val="center"/>
                </w:tcPr>
                <w:p w14:paraId="2215FA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山梨酸钾</w:t>
                  </w:r>
                </w:p>
              </w:tc>
              <w:tc>
                <w:tcPr>
                  <w:tcW w:w="1177" w:type="dxa"/>
                  <w:shd w:val="clear" w:color="auto" w:fill="auto"/>
                  <w:noWrap/>
                  <w:vAlign w:val="center"/>
                </w:tcPr>
                <w:p w14:paraId="30E0CD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0.09</w:t>
                  </w:r>
                </w:p>
              </w:tc>
              <w:tc>
                <w:tcPr>
                  <w:tcW w:w="1042" w:type="dxa"/>
                  <w:shd w:val="clear" w:color="auto" w:fill="auto"/>
                  <w:noWrap/>
                  <w:vAlign w:val="center"/>
                </w:tcPr>
                <w:p w14:paraId="36F5F5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0.025</w:t>
                  </w:r>
                </w:p>
              </w:tc>
              <w:tc>
                <w:tcPr>
                  <w:tcW w:w="1463" w:type="dxa"/>
                  <w:shd w:val="clear" w:color="auto" w:fill="auto"/>
                  <w:noWrap/>
                  <w:vAlign w:val="center"/>
                </w:tcPr>
                <w:p w14:paraId="7B004D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2.5</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continue"/>
                  <w:shd w:val="clear" w:color="auto" w:fill="auto"/>
                  <w:vAlign w:val="center"/>
                </w:tcPr>
                <w:p w14:paraId="043FA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both"/>
                    <w:textAlignment w:val="center"/>
                    <w:rPr>
                      <w:rFonts w:hint="eastAsia" w:ascii="Times New Roman" w:hAnsi="Times New Roman" w:eastAsia="宋体" w:cs="Times New Roman"/>
                      <w:i w:val="0"/>
                      <w:iCs w:val="0"/>
                      <w:color w:val="000000"/>
                      <w:kern w:val="0"/>
                      <w:sz w:val="21"/>
                      <w:szCs w:val="21"/>
                      <w:u w:val="none"/>
                      <w:lang w:val="en-US" w:eastAsia="zh-CN" w:bidi="ar"/>
                    </w:rPr>
                  </w:pPr>
                </w:p>
              </w:tc>
            </w:tr>
            <w:tr w14:paraId="289B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75E3ED48">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004" w:type="dxa"/>
                  <w:shd w:val="clear" w:color="auto" w:fill="auto"/>
                  <w:noWrap/>
                  <w:vAlign w:val="center"/>
                </w:tcPr>
                <w:p w14:paraId="34F5E9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柠檬酸</w:t>
                  </w:r>
                </w:p>
              </w:tc>
              <w:tc>
                <w:tcPr>
                  <w:tcW w:w="1177" w:type="dxa"/>
                  <w:shd w:val="clear" w:color="auto" w:fill="auto"/>
                  <w:noWrap/>
                  <w:vAlign w:val="center"/>
                </w:tcPr>
                <w:p w14:paraId="7DF9F2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0.15</w:t>
                  </w:r>
                </w:p>
              </w:tc>
              <w:tc>
                <w:tcPr>
                  <w:tcW w:w="1042" w:type="dxa"/>
                  <w:shd w:val="clear" w:color="auto" w:fill="auto"/>
                  <w:noWrap/>
                  <w:vAlign w:val="center"/>
                </w:tcPr>
                <w:p w14:paraId="4E98B7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0.005</w:t>
                  </w:r>
                </w:p>
              </w:tc>
              <w:tc>
                <w:tcPr>
                  <w:tcW w:w="1463" w:type="dxa"/>
                  <w:shd w:val="clear" w:color="auto" w:fill="auto"/>
                  <w:noWrap/>
                  <w:vAlign w:val="center"/>
                </w:tcPr>
                <w:p w14:paraId="5B8CE8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5</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continue"/>
                  <w:shd w:val="clear" w:color="auto" w:fill="auto"/>
                  <w:vAlign w:val="center"/>
                </w:tcPr>
                <w:p w14:paraId="559CBE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3819F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4F760828">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004" w:type="dxa"/>
                  <w:shd w:val="clear" w:color="auto" w:fill="auto"/>
                  <w:noWrap/>
                  <w:vAlign w:val="center"/>
                </w:tcPr>
                <w:p w14:paraId="1F501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yellow"/>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D-异抗坏血酸钠</w:t>
                  </w:r>
                </w:p>
              </w:tc>
              <w:tc>
                <w:tcPr>
                  <w:tcW w:w="1177" w:type="dxa"/>
                  <w:shd w:val="clear" w:color="auto" w:fill="auto"/>
                  <w:noWrap/>
                  <w:vAlign w:val="center"/>
                </w:tcPr>
                <w:p w14:paraId="344D0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0.15</w:t>
                  </w:r>
                </w:p>
              </w:tc>
              <w:tc>
                <w:tcPr>
                  <w:tcW w:w="1042" w:type="dxa"/>
                  <w:shd w:val="clear" w:color="auto" w:fill="auto"/>
                  <w:noWrap/>
                  <w:vAlign w:val="center"/>
                </w:tcPr>
                <w:p w14:paraId="7AE1CB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0.03</w:t>
                  </w:r>
                </w:p>
              </w:tc>
              <w:tc>
                <w:tcPr>
                  <w:tcW w:w="1463" w:type="dxa"/>
                  <w:shd w:val="clear" w:color="auto" w:fill="auto"/>
                  <w:noWrap/>
                  <w:vAlign w:val="center"/>
                </w:tcPr>
                <w:p w14:paraId="5907E6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袋装，</w:t>
                  </w:r>
                  <w:r>
                    <w:rPr>
                      <w:rFonts w:hint="eastAsia" w:cs="Times New Roman"/>
                      <w:i w:val="0"/>
                      <w:iCs w:val="0"/>
                      <w:color w:val="000000"/>
                      <w:kern w:val="0"/>
                      <w:sz w:val="21"/>
                      <w:szCs w:val="21"/>
                      <w:u w:val="none"/>
                      <w:lang w:val="en-US" w:eastAsia="zh-CN" w:bidi="ar"/>
                    </w:rPr>
                    <w:t>3</w:t>
                  </w:r>
                  <w:r>
                    <w:rPr>
                      <w:rFonts w:hint="default" w:ascii="Times New Roman" w:hAnsi="Times New Roman" w:eastAsia="宋体" w:cs="Times New Roman"/>
                      <w:i w:val="0"/>
                      <w:iCs w:val="0"/>
                      <w:color w:val="000000"/>
                      <w:kern w:val="0"/>
                      <w:sz w:val="21"/>
                      <w:szCs w:val="21"/>
                      <w:u w:val="none"/>
                      <w:lang w:val="en-US" w:eastAsia="zh-CN" w:bidi="ar"/>
                    </w:rPr>
                    <w:t>kg/</w:t>
                  </w:r>
                  <w:r>
                    <w:rPr>
                      <w:rFonts w:hint="eastAsia" w:ascii="宋体" w:hAnsi="宋体" w:eastAsia="宋体" w:cs="宋体"/>
                      <w:i w:val="0"/>
                      <w:iCs w:val="0"/>
                      <w:color w:val="000000"/>
                      <w:kern w:val="0"/>
                      <w:sz w:val="21"/>
                      <w:szCs w:val="21"/>
                      <w:u w:val="none"/>
                      <w:lang w:val="en-US" w:eastAsia="zh-CN" w:bidi="ar"/>
                    </w:rPr>
                    <w:t>袋</w:t>
                  </w:r>
                </w:p>
              </w:tc>
              <w:tc>
                <w:tcPr>
                  <w:tcW w:w="2959" w:type="dxa"/>
                  <w:vMerge w:val="continue"/>
                  <w:shd w:val="clear" w:color="auto" w:fill="auto"/>
                  <w:vAlign w:val="center"/>
                </w:tcPr>
                <w:p w14:paraId="05C731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4DC47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198D04F4">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004" w:type="dxa"/>
                  <w:shd w:val="clear" w:color="auto" w:fill="auto"/>
                  <w:noWrap/>
                  <w:vAlign w:val="center"/>
                </w:tcPr>
                <w:p w14:paraId="439459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熟香辣椒油</w:t>
                  </w:r>
                </w:p>
              </w:tc>
              <w:tc>
                <w:tcPr>
                  <w:tcW w:w="1177" w:type="dxa"/>
                  <w:shd w:val="clear" w:color="auto" w:fill="auto"/>
                  <w:noWrap/>
                  <w:vAlign w:val="center"/>
                </w:tcPr>
                <w:p w14:paraId="25D266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0.45</w:t>
                  </w:r>
                </w:p>
              </w:tc>
              <w:tc>
                <w:tcPr>
                  <w:tcW w:w="1042" w:type="dxa"/>
                  <w:shd w:val="clear" w:color="auto" w:fill="auto"/>
                  <w:noWrap/>
                  <w:vAlign w:val="center"/>
                </w:tcPr>
                <w:p w14:paraId="4D6074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0.01</w:t>
                  </w:r>
                </w:p>
              </w:tc>
              <w:tc>
                <w:tcPr>
                  <w:tcW w:w="1463" w:type="dxa"/>
                  <w:shd w:val="clear" w:color="auto" w:fill="auto"/>
                  <w:noWrap/>
                  <w:vAlign w:val="center"/>
                </w:tcPr>
                <w:p w14:paraId="4FCBBF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桶装，5kg/桶</w:t>
                  </w:r>
                </w:p>
              </w:tc>
              <w:tc>
                <w:tcPr>
                  <w:tcW w:w="2959" w:type="dxa"/>
                  <w:vMerge w:val="continue"/>
                  <w:shd w:val="clear" w:color="auto" w:fill="auto"/>
                  <w:vAlign w:val="center"/>
                </w:tcPr>
                <w:p w14:paraId="719F96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6C6A6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02880438">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004" w:type="dxa"/>
                  <w:shd w:val="clear" w:color="auto" w:fill="auto"/>
                  <w:noWrap/>
                  <w:vAlign w:val="center"/>
                </w:tcPr>
                <w:p w14:paraId="3497BC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花椒油</w:t>
                  </w:r>
                </w:p>
              </w:tc>
              <w:tc>
                <w:tcPr>
                  <w:tcW w:w="1177" w:type="dxa"/>
                  <w:shd w:val="clear" w:color="auto" w:fill="auto"/>
                  <w:noWrap/>
                  <w:vAlign w:val="center"/>
                </w:tcPr>
                <w:p w14:paraId="528316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0.6</w:t>
                  </w:r>
                </w:p>
              </w:tc>
              <w:tc>
                <w:tcPr>
                  <w:tcW w:w="1042" w:type="dxa"/>
                  <w:shd w:val="clear" w:color="auto" w:fill="auto"/>
                  <w:noWrap/>
                  <w:vAlign w:val="center"/>
                </w:tcPr>
                <w:p w14:paraId="0EB0E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0.004</w:t>
                  </w:r>
                </w:p>
              </w:tc>
              <w:tc>
                <w:tcPr>
                  <w:tcW w:w="1463" w:type="dxa"/>
                  <w:shd w:val="clear" w:color="auto" w:fill="auto"/>
                  <w:noWrap/>
                  <w:vAlign w:val="center"/>
                </w:tcPr>
                <w:p w14:paraId="7C0845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桶装，2kg/桶</w:t>
                  </w:r>
                </w:p>
              </w:tc>
              <w:tc>
                <w:tcPr>
                  <w:tcW w:w="2959" w:type="dxa"/>
                  <w:vMerge w:val="continue"/>
                  <w:shd w:val="clear" w:color="auto" w:fill="auto"/>
                  <w:vAlign w:val="center"/>
                </w:tcPr>
                <w:p w14:paraId="5B512C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r w14:paraId="602BF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129D5E4D">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sz w:val="21"/>
                      <w:szCs w:val="21"/>
                      <w:u w:val="none"/>
                    </w:rPr>
                  </w:pPr>
                </w:p>
              </w:tc>
              <w:tc>
                <w:tcPr>
                  <w:tcW w:w="1004" w:type="dxa"/>
                  <w:shd w:val="clear" w:color="auto" w:fill="auto"/>
                  <w:noWrap/>
                  <w:vAlign w:val="center"/>
                </w:tcPr>
                <w:p w14:paraId="45E643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液氨</w:t>
                  </w:r>
                </w:p>
              </w:tc>
              <w:tc>
                <w:tcPr>
                  <w:tcW w:w="1177" w:type="dxa"/>
                  <w:shd w:val="clear" w:color="auto" w:fill="auto"/>
                  <w:noWrap/>
                  <w:vAlign w:val="center"/>
                </w:tcPr>
                <w:p w14:paraId="4346D5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0.015</w:t>
                  </w:r>
                </w:p>
              </w:tc>
              <w:tc>
                <w:tcPr>
                  <w:tcW w:w="1042" w:type="dxa"/>
                  <w:shd w:val="clear" w:color="auto" w:fill="auto"/>
                  <w:noWrap/>
                  <w:vAlign w:val="center"/>
                </w:tcPr>
                <w:p w14:paraId="5B4839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0.04</w:t>
                  </w:r>
                  <w:r>
                    <w:rPr>
                      <w:rFonts w:hint="eastAsia" w:ascii="宋体" w:hAnsi="宋体" w:eastAsia="宋体" w:cs="宋体"/>
                      <w:i w:val="0"/>
                      <w:iCs w:val="0"/>
                      <w:color w:val="000000"/>
                      <w:kern w:val="0"/>
                      <w:sz w:val="21"/>
                      <w:szCs w:val="21"/>
                      <w:u w:val="none"/>
                      <w:lang w:val="en-US" w:eastAsia="zh-CN" w:bidi="ar"/>
                    </w:rPr>
                    <w:t>（在线量）</w:t>
                  </w:r>
                </w:p>
              </w:tc>
              <w:tc>
                <w:tcPr>
                  <w:tcW w:w="1463" w:type="dxa"/>
                  <w:shd w:val="clear" w:color="auto" w:fill="auto"/>
                  <w:noWrap/>
                  <w:vAlign w:val="center"/>
                </w:tcPr>
                <w:p w14:paraId="564C18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w:t>
                  </w:r>
                </w:p>
              </w:tc>
              <w:tc>
                <w:tcPr>
                  <w:tcW w:w="2959" w:type="dxa"/>
                  <w:shd w:val="clear" w:color="auto" w:fill="auto"/>
                  <w:noWrap/>
                  <w:vAlign w:val="center"/>
                </w:tcPr>
                <w:p w14:paraId="6FC913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冷库制冷设备制冷剂，仅需定期补充</w:t>
                  </w:r>
                </w:p>
              </w:tc>
            </w:tr>
            <w:tr w14:paraId="5D9BF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7EE81B91">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sz w:val="21"/>
                      <w:szCs w:val="21"/>
                      <w:u w:val="none"/>
                    </w:rPr>
                  </w:pPr>
                </w:p>
              </w:tc>
              <w:tc>
                <w:tcPr>
                  <w:tcW w:w="1004" w:type="dxa"/>
                  <w:shd w:val="clear" w:color="auto" w:fill="auto"/>
                  <w:noWrap/>
                  <w:vAlign w:val="center"/>
                </w:tcPr>
                <w:p w14:paraId="63CF7B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片碱</w:t>
                  </w:r>
                </w:p>
              </w:tc>
              <w:tc>
                <w:tcPr>
                  <w:tcW w:w="1177" w:type="dxa"/>
                  <w:shd w:val="clear" w:color="auto" w:fill="auto"/>
                  <w:noWrap/>
                  <w:vAlign w:val="center"/>
                </w:tcPr>
                <w:p w14:paraId="77D393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20</w:t>
                  </w:r>
                </w:p>
              </w:tc>
              <w:tc>
                <w:tcPr>
                  <w:tcW w:w="1042" w:type="dxa"/>
                  <w:shd w:val="clear" w:color="auto" w:fill="auto"/>
                  <w:noWrap/>
                  <w:vAlign w:val="center"/>
                </w:tcPr>
                <w:p w14:paraId="550714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463" w:type="dxa"/>
                  <w:shd w:val="clear" w:color="auto" w:fill="auto"/>
                  <w:noWrap/>
                  <w:vAlign w:val="center"/>
                </w:tcPr>
                <w:p w14:paraId="696E74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袋装，</w:t>
                  </w:r>
                  <w:r>
                    <w:rPr>
                      <w:rFonts w:hint="default" w:ascii="Times New Roman" w:hAnsi="Times New Roman" w:eastAsia="宋体" w:cs="Times New Roman"/>
                      <w:i w:val="0"/>
                      <w:iCs w:val="0"/>
                      <w:color w:val="000000"/>
                      <w:kern w:val="0"/>
                      <w:sz w:val="21"/>
                      <w:szCs w:val="21"/>
                      <w:u w:val="none"/>
                      <w:lang w:val="en-US" w:eastAsia="zh-CN" w:bidi="ar"/>
                    </w:rPr>
                    <w:t>25kg/</w:t>
                  </w:r>
                  <w:r>
                    <w:rPr>
                      <w:rFonts w:hint="eastAsia" w:ascii="宋体" w:hAnsi="宋体" w:eastAsia="宋体" w:cs="宋体"/>
                      <w:i w:val="0"/>
                      <w:iCs w:val="0"/>
                      <w:color w:val="000000"/>
                      <w:kern w:val="0"/>
                      <w:sz w:val="21"/>
                      <w:szCs w:val="21"/>
                      <w:u w:val="none"/>
                      <w:lang w:val="en-US" w:eastAsia="zh-CN" w:bidi="ar"/>
                    </w:rPr>
                    <w:t>袋</w:t>
                  </w:r>
                </w:p>
              </w:tc>
              <w:tc>
                <w:tcPr>
                  <w:tcW w:w="2959" w:type="dxa"/>
                  <w:shd w:val="clear" w:color="auto" w:fill="auto"/>
                  <w:vAlign w:val="center"/>
                </w:tcPr>
                <w:p w14:paraId="150F2A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污水处理</w:t>
                  </w:r>
                </w:p>
              </w:tc>
            </w:tr>
            <w:tr w14:paraId="1A683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31687876">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p>
              </w:tc>
              <w:tc>
                <w:tcPr>
                  <w:tcW w:w="1004" w:type="dxa"/>
                  <w:shd w:val="clear" w:color="auto" w:fill="auto"/>
                  <w:noWrap/>
                  <w:vAlign w:val="center"/>
                </w:tcPr>
                <w:p w14:paraId="4632B738">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PAC</w:t>
                  </w:r>
                </w:p>
              </w:tc>
              <w:tc>
                <w:tcPr>
                  <w:tcW w:w="1177" w:type="dxa"/>
                  <w:shd w:val="clear" w:color="auto" w:fill="auto"/>
                  <w:noWrap/>
                  <w:vAlign w:val="center"/>
                </w:tcPr>
                <w:p w14:paraId="2500B38D">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3</w:t>
                  </w:r>
                </w:p>
              </w:tc>
              <w:tc>
                <w:tcPr>
                  <w:tcW w:w="1042" w:type="dxa"/>
                  <w:shd w:val="clear" w:color="auto" w:fill="auto"/>
                  <w:noWrap/>
                  <w:vAlign w:val="center"/>
                </w:tcPr>
                <w:p w14:paraId="26C5407E">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0.5</w:t>
                  </w:r>
                </w:p>
              </w:tc>
              <w:tc>
                <w:tcPr>
                  <w:tcW w:w="1463" w:type="dxa"/>
                  <w:shd w:val="clear" w:color="auto" w:fill="auto"/>
                  <w:noWrap/>
                  <w:vAlign w:val="center"/>
                </w:tcPr>
                <w:p w14:paraId="2195B92B">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袋装，25kg/袋</w:t>
                  </w:r>
                </w:p>
              </w:tc>
              <w:tc>
                <w:tcPr>
                  <w:tcW w:w="2959" w:type="dxa"/>
                  <w:shd w:val="clear" w:color="auto" w:fill="auto"/>
                  <w:vAlign w:val="center"/>
                </w:tcPr>
                <w:p w14:paraId="2609D2F6">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污水处理</w:t>
                  </w:r>
                </w:p>
              </w:tc>
            </w:tr>
            <w:tr w14:paraId="11391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340D09BB">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p>
              </w:tc>
              <w:tc>
                <w:tcPr>
                  <w:tcW w:w="1004" w:type="dxa"/>
                  <w:shd w:val="clear" w:color="auto" w:fill="auto"/>
                  <w:noWrap/>
                  <w:vAlign w:val="center"/>
                </w:tcPr>
                <w:p w14:paraId="763AAC5F">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PAM</w:t>
                  </w:r>
                </w:p>
              </w:tc>
              <w:tc>
                <w:tcPr>
                  <w:tcW w:w="1177" w:type="dxa"/>
                  <w:shd w:val="clear" w:color="auto" w:fill="auto"/>
                  <w:noWrap/>
                  <w:vAlign w:val="center"/>
                </w:tcPr>
                <w:p w14:paraId="156A2C19">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0.4</w:t>
                  </w:r>
                </w:p>
              </w:tc>
              <w:tc>
                <w:tcPr>
                  <w:tcW w:w="1042" w:type="dxa"/>
                  <w:shd w:val="clear" w:color="auto" w:fill="auto"/>
                  <w:noWrap/>
                  <w:vAlign w:val="center"/>
                </w:tcPr>
                <w:p w14:paraId="4DC33B82">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0.1</w:t>
                  </w:r>
                </w:p>
              </w:tc>
              <w:tc>
                <w:tcPr>
                  <w:tcW w:w="1463" w:type="dxa"/>
                  <w:shd w:val="clear" w:color="auto" w:fill="auto"/>
                  <w:noWrap/>
                  <w:vAlign w:val="center"/>
                </w:tcPr>
                <w:p w14:paraId="5D834D93">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袋装，25kg/袋</w:t>
                  </w:r>
                </w:p>
              </w:tc>
              <w:tc>
                <w:tcPr>
                  <w:tcW w:w="2959" w:type="dxa"/>
                  <w:shd w:val="clear" w:color="auto" w:fill="auto"/>
                  <w:vAlign w:val="center"/>
                </w:tcPr>
                <w:p w14:paraId="3F85D6DF">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污水处理</w:t>
                  </w:r>
                </w:p>
              </w:tc>
            </w:tr>
            <w:tr w14:paraId="4419B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713A03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二</w:t>
                  </w:r>
                </w:p>
              </w:tc>
              <w:tc>
                <w:tcPr>
                  <w:tcW w:w="7645" w:type="dxa"/>
                  <w:gridSpan w:val="5"/>
                  <w:shd w:val="clear" w:color="auto" w:fill="auto"/>
                  <w:noWrap/>
                  <w:vAlign w:val="center"/>
                </w:tcPr>
                <w:p w14:paraId="66860C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能源</w:t>
                  </w:r>
                </w:p>
              </w:tc>
            </w:tr>
            <w:tr w14:paraId="0E9C1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3A8E38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w:t>
                  </w:r>
                </w:p>
              </w:tc>
              <w:tc>
                <w:tcPr>
                  <w:tcW w:w="1004" w:type="dxa"/>
                  <w:shd w:val="clear" w:color="auto" w:fill="auto"/>
                  <w:noWrap/>
                  <w:vAlign w:val="center"/>
                </w:tcPr>
                <w:p w14:paraId="4A1027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生物质</w:t>
                  </w:r>
                </w:p>
              </w:tc>
              <w:tc>
                <w:tcPr>
                  <w:tcW w:w="1177" w:type="dxa"/>
                  <w:shd w:val="clear" w:color="auto" w:fill="auto"/>
                  <w:noWrap/>
                  <w:vAlign w:val="center"/>
                </w:tcPr>
                <w:p w14:paraId="4D904E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eastAsia" w:cs="Times New Roman"/>
                      <w:i w:val="0"/>
                      <w:iCs w:val="0"/>
                      <w:color w:val="000000"/>
                      <w:kern w:val="0"/>
                      <w:sz w:val="21"/>
                      <w:szCs w:val="21"/>
                      <w:highlight w:val="none"/>
                      <w:u w:val="none"/>
                      <w:lang w:val="en-US" w:eastAsia="zh-CN" w:bidi="ar"/>
                    </w:rPr>
                    <w:t>160</w:t>
                  </w:r>
                </w:p>
              </w:tc>
              <w:tc>
                <w:tcPr>
                  <w:tcW w:w="1042" w:type="dxa"/>
                  <w:shd w:val="clear" w:color="auto" w:fill="auto"/>
                  <w:noWrap/>
                  <w:vAlign w:val="center"/>
                </w:tcPr>
                <w:p w14:paraId="32AF88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eastAsia" w:cs="Times New Roman"/>
                      <w:i w:val="0"/>
                      <w:iCs w:val="0"/>
                      <w:color w:val="000000"/>
                      <w:kern w:val="0"/>
                      <w:sz w:val="21"/>
                      <w:szCs w:val="21"/>
                      <w:u w:val="none"/>
                      <w:lang w:val="en-US" w:eastAsia="zh-CN" w:bidi="ar"/>
                    </w:rPr>
                    <w:t>10</w:t>
                  </w:r>
                </w:p>
              </w:tc>
              <w:tc>
                <w:tcPr>
                  <w:tcW w:w="1463" w:type="dxa"/>
                  <w:shd w:val="clear" w:color="auto" w:fill="auto"/>
                  <w:noWrap/>
                  <w:vAlign w:val="center"/>
                </w:tcPr>
                <w:p w14:paraId="4BE97B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袋装，</w:t>
                  </w:r>
                  <w:r>
                    <w:rPr>
                      <w:rFonts w:hint="default" w:ascii="Times New Roman" w:hAnsi="Times New Roman" w:eastAsia="宋体" w:cs="Times New Roman"/>
                      <w:i w:val="0"/>
                      <w:iCs w:val="0"/>
                      <w:color w:val="000000"/>
                      <w:kern w:val="0"/>
                      <w:sz w:val="21"/>
                      <w:szCs w:val="21"/>
                      <w:u w:val="none"/>
                      <w:lang w:val="en-US" w:eastAsia="zh-CN" w:bidi="ar"/>
                    </w:rPr>
                    <w:t>1t/</w:t>
                  </w:r>
                  <w:r>
                    <w:rPr>
                      <w:rFonts w:hint="eastAsia" w:ascii="宋体" w:hAnsi="宋体" w:eastAsia="宋体" w:cs="宋体"/>
                      <w:i w:val="0"/>
                      <w:iCs w:val="0"/>
                      <w:color w:val="000000"/>
                      <w:kern w:val="0"/>
                      <w:sz w:val="21"/>
                      <w:szCs w:val="21"/>
                      <w:u w:val="none"/>
                      <w:lang w:val="en-US" w:eastAsia="zh-CN" w:bidi="ar"/>
                    </w:rPr>
                    <w:t>袋</w:t>
                  </w:r>
                </w:p>
              </w:tc>
              <w:tc>
                <w:tcPr>
                  <w:tcW w:w="2959" w:type="dxa"/>
                  <w:shd w:val="clear" w:color="auto" w:fill="auto"/>
                  <w:noWrap/>
                  <w:vAlign w:val="center"/>
                </w:tcPr>
                <w:p w14:paraId="138884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宋体" w:hAnsi="宋体" w:eastAsia="宋体" w:cs="宋体"/>
                      <w:i w:val="0"/>
                      <w:iCs w:val="0"/>
                      <w:color w:val="000000"/>
                      <w:kern w:val="2"/>
                      <w:sz w:val="21"/>
                      <w:szCs w:val="21"/>
                      <w:u w:val="none"/>
                      <w:lang w:val="en-US" w:eastAsia="zh-CN" w:bidi="ar-SA"/>
                    </w:rPr>
                  </w:pPr>
                  <w:r>
                    <w:rPr>
                      <w:rFonts w:hint="eastAsia" w:ascii="宋体" w:hAnsi="宋体" w:cs="宋体"/>
                      <w:i w:val="0"/>
                      <w:iCs w:val="0"/>
                      <w:color w:val="000000"/>
                      <w:kern w:val="0"/>
                      <w:sz w:val="21"/>
                      <w:szCs w:val="21"/>
                      <w:u w:val="none"/>
                      <w:lang w:val="en-US" w:eastAsia="zh-CN" w:bidi="ar"/>
                    </w:rPr>
                    <w:t>生物质</w:t>
                  </w:r>
                  <w:r>
                    <w:rPr>
                      <w:rFonts w:hint="eastAsia" w:ascii="宋体" w:hAnsi="宋体" w:eastAsia="宋体" w:cs="宋体"/>
                      <w:i w:val="0"/>
                      <w:iCs w:val="0"/>
                      <w:color w:val="000000"/>
                      <w:kern w:val="0"/>
                      <w:sz w:val="21"/>
                      <w:szCs w:val="21"/>
                      <w:u w:val="none"/>
                      <w:lang w:val="en-US" w:eastAsia="zh-CN" w:bidi="ar"/>
                    </w:rPr>
                    <w:t>锅炉</w:t>
                  </w:r>
                  <w:r>
                    <w:rPr>
                      <w:rFonts w:hint="eastAsia" w:ascii="宋体" w:hAnsi="宋体" w:cs="宋体"/>
                      <w:i w:val="0"/>
                      <w:iCs w:val="0"/>
                      <w:color w:val="000000"/>
                      <w:kern w:val="0"/>
                      <w:sz w:val="21"/>
                      <w:szCs w:val="21"/>
                      <w:u w:val="none"/>
                      <w:lang w:val="en-US" w:eastAsia="zh-CN" w:bidi="ar"/>
                    </w:rPr>
                    <w:t>燃料</w:t>
                  </w:r>
                </w:p>
              </w:tc>
            </w:tr>
            <w:tr w14:paraId="474BD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680" w:type="dxa"/>
                  <w:shd w:val="clear" w:color="auto" w:fill="auto"/>
                  <w:noWrap/>
                  <w:vAlign w:val="center"/>
                </w:tcPr>
                <w:p w14:paraId="46AC24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2</w:t>
                  </w:r>
                </w:p>
              </w:tc>
              <w:tc>
                <w:tcPr>
                  <w:tcW w:w="1004" w:type="dxa"/>
                  <w:shd w:val="clear" w:color="auto" w:fill="auto"/>
                  <w:noWrap/>
                  <w:vAlign w:val="center"/>
                </w:tcPr>
                <w:p w14:paraId="0630B6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电</w:t>
                  </w:r>
                </w:p>
              </w:tc>
              <w:tc>
                <w:tcPr>
                  <w:tcW w:w="1177" w:type="dxa"/>
                  <w:shd w:val="clear" w:color="auto" w:fill="auto"/>
                  <w:noWrap/>
                  <w:vAlign w:val="center"/>
                </w:tcPr>
                <w:p w14:paraId="6ECEE5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36万kw·h</w:t>
                  </w:r>
                </w:p>
              </w:tc>
              <w:tc>
                <w:tcPr>
                  <w:tcW w:w="1042" w:type="dxa"/>
                  <w:shd w:val="clear" w:color="auto" w:fill="auto"/>
                  <w:noWrap/>
                  <w:vAlign w:val="center"/>
                </w:tcPr>
                <w:p w14:paraId="256D20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w:t>
                  </w:r>
                </w:p>
              </w:tc>
              <w:tc>
                <w:tcPr>
                  <w:tcW w:w="1463" w:type="dxa"/>
                  <w:shd w:val="clear" w:color="auto" w:fill="auto"/>
                  <w:noWrap/>
                  <w:vAlign w:val="center"/>
                </w:tcPr>
                <w:p w14:paraId="667A8B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c>
                <w:tcPr>
                  <w:tcW w:w="2959" w:type="dxa"/>
                  <w:shd w:val="clear" w:color="auto" w:fill="auto"/>
                  <w:noWrap/>
                  <w:vAlign w:val="center"/>
                </w:tcPr>
                <w:p w14:paraId="1529DF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p>
              </w:tc>
            </w:tr>
          </w:tbl>
          <w:p w14:paraId="39E5EBA7">
            <w:pPr>
              <w:keepNext w:val="0"/>
              <w:keepLines w:val="0"/>
              <w:suppressLineNumbers w:val="0"/>
              <w:spacing w:before="0" w:beforeAutospacing="0" w:after="0" w:afterAutospacing="0" w:line="240" w:lineRule="auto"/>
              <w:ind w:left="0" w:right="0" w:firstLine="422" w:firstLineChars="200"/>
              <w:jc w:val="center"/>
              <w:rPr>
                <w:rFonts w:hint="default" w:ascii="Times New Roman" w:hAnsi="Times New Roman" w:eastAsia="宋体" w:cs="Times New Roman"/>
                <w:b/>
                <w:color w:val="auto"/>
                <w:sz w:val="21"/>
                <w:szCs w:val="21"/>
                <w:highlight w:val="yellow"/>
                <w:u w:val="single"/>
              </w:rPr>
            </w:pPr>
          </w:p>
          <w:p w14:paraId="49A309C3">
            <w:pPr>
              <w:keepNext w:val="0"/>
              <w:keepLines w:val="0"/>
              <w:suppressLineNumbers w:val="0"/>
              <w:spacing w:before="0" w:beforeAutospacing="0" w:after="0" w:afterAutospacing="0"/>
              <w:ind w:left="0" w:right="0" w:firstLine="480" w:firstLineChars="200"/>
              <w:rPr>
                <w:rFonts w:hint="default" w:cs="Times New Roman"/>
                <w:color w:val="auto"/>
                <w:highlight w:val="none"/>
                <w:u w:val="none"/>
                <w:lang w:val="en-US" w:eastAsia="zh-CN"/>
              </w:rPr>
            </w:pPr>
            <w:r>
              <w:rPr>
                <w:rFonts w:hint="default" w:cs="Times New Roman"/>
                <w:color w:val="auto"/>
                <w:highlight w:val="none"/>
                <w:u w:val="none"/>
                <w:lang w:val="en-US" w:eastAsia="zh-CN"/>
              </w:rPr>
              <w:t>项目相关原辅料的主要理化性质具体见下表。</w:t>
            </w:r>
          </w:p>
          <w:p w14:paraId="2C7E0745">
            <w:pPr>
              <w:pStyle w:val="36"/>
              <w:keepLines w:val="0"/>
              <w:numPr>
                <w:ilvl w:val="0"/>
                <w:numId w:val="0"/>
              </w:numPr>
              <w:suppressLineNumbers w:val="0"/>
              <w:bidi w:val="0"/>
              <w:spacing w:before="0" w:beforeAutospacing="0" w:after="0" w:afterAutospacing="0"/>
              <w:ind w:left="0" w:leftChars="0" w:right="0" w:rightChars="0" w:firstLine="0" w:firstLineChars="0"/>
              <w:jc w:val="center"/>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表2</w:t>
            </w:r>
            <w:r>
              <w:rPr>
                <w:rFonts w:hint="default" w:cs="Times New Roman"/>
                <w:b/>
                <w:bCs/>
                <w:color w:val="auto"/>
                <w:sz w:val="21"/>
                <w:szCs w:val="21"/>
                <w:highlight w:val="none"/>
                <w:lang w:val="en-US" w:eastAsia="zh-CN"/>
              </w:rPr>
              <w:t>.1</w:t>
            </w:r>
            <w:r>
              <w:rPr>
                <w:rFonts w:hint="default" w:ascii="Times New Roman" w:hAnsi="Times New Roman" w:eastAsia="宋体" w:cs="Times New Roman"/>
                <w:b/>
                <w:bCs/>
                <w:color w:val="auto"/>
                <w:sz w:val="21"/>
                <w:szCs w:val="21"/>
                <w:highlight w:val="none"/>
                <w:lang w:val="en-US" w:eastAsia="zh-CN"/>
              </w:rPr>
              <w:t>-</w:t>
            </w:r>
            <w:r>
              <w:rPr>
                <w:rFonts w:hint="default" w:cs="Times New Roman"/>
                <w:b/>
                <w:bCs/>
                <w:color w:val="auto"/>
                <w:sz w:val="21"/>
                <w:szCs w:val="21"/>
                <w:highlight w:val="none"/>
                <w:lang w:val="en-US" w:eastAsia="zh-CN"/>
              </w:rPr>
              <w:t>4</w:t>
            </w:r>
            <w:r>
              <w:rPr>
                <w:rFonts w:hint="default" w:ascii="Times New Roman" w:hAnsi="Times New Roman" w:eastAsia="宋体" w:cs="Times New Roman"/>
                <w:b/>
                <w:bCs/>
                <w:color w:val="auto"/>
                <w:sz w:val="21"/>
                <w:szCs w:val="21"/>
                <w:highlight w:val="none"/>
                <w:lang w:val="en-US" w:eastAsia="zh-CN"/>
              </w:rPr>
              <w:t xml:space="preserve">  主要原辅材料理化性质</w:t>
            </w:r>
          </w:p>
          <w:tbl>
            <w:tblPr>
              <w:tblStyle w:val="29"/>
              <w:tblW w:w="841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8"/>
              <w:gridCol w:w="906"/>
              <w:gridCol w:w="6954"/>
            </w:tblGrid>
            <w:tr w14:paraId="3D963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4" w:type="dxa"/>
                  <w:gridSpan w:val="2"/>
                  <w:vAlign w:val="center"/>
                </w:tcPr>
                <w:p w14:paraId="424B8AA9">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物质名称</w:t>
                  </w:r>
                </w:p>
              </w:tc>
              <w:tc>
                <w:tcPr>
                  <w:tcW w:w="6954" w:type="dxa"/>
                  <w:vAlign w:val="center"/>
                </w:tcPr>
                <w:p w14:paraId="512BD179">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理化性质</w:t>
                  </w:r>
                </w:p>
              </w:tc>
            </w:tr>
            <w:tr w14:paraId="46782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 w:type="dxa"/>
                  <w:vMerge w:val="restart"/>
                  <w:vAlign w:val="center"/>
                </w:tcPr>
                <w:p w14:paraId="11CD4E42">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eastAsia" w:ascii="Times New Roman" w:cs="Times New Roman"/>
                      <w:b w:val="0"/>
                      <w:bCs w:val="0"/>
                      <w:color w:val="auto"/>
                      <w:sz w:val="21"/>
                      <w:szCs w:val="21"/>
                      <w:highlight w:val="none"/>
                      <w:vertAlign w:val="baseline"/>
                      <w:lang w:val="en-US" w:eastAsia="zh-CN"/>
                    </w:rPr>
                    <w:t>食品添加剂</w:t>
                  </w:r>
                </w:p>
              </w:tc>
              <w:tc>
                <w:tcPr>
                  <w:tcW w:w="906" w:type="dxa"/>
                  <w:vAlign w:val="center"/>
                </w:tcPr>
                <w:p w14:paraId="4423A348">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柠檬酸</w:t>
                  </w:r>
                </w:p>
              </w:tc>
              <w:tc>
                <w:tcPr>
                  <w:tcW w:w="6954" w:type="dxa"/>
                  <w:vAlign w:val="center"/>
                </w:tcPr>
                <w:p w14:paraId="515FE2C8">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柠檬酸（CA），又名</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fldChar w:fldCharType="begin"/>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instrText xml:space="preserve"> HYPERLINK "https://baike.baidu.com/item/%E6%9E%B8%E6%A9%BC%E9%85%B8/1188933?fromModule=lemma_inlink" \t "https://baike.baidu.com/item/%E6%9F%A0%E6%AA%AC%E9%85%B8/_blank" </w:instrTex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fldChar w:fldCharType="separate"/>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枸橼酸</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fldChar w:fldCharType="end"/>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，分子式为C₆H₈O₇，</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分子量192，</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是一种重要的有机弱酸，</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白色结晶粉末</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，无臭，易溶于水，溶液显酸性。柠檬酸被广泛用作酸度调节剂、调味剂和</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fldChar w:fldCharType="begin"/>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instrText xml:space="preserve"> HYPERLINK "https://baike.baidu.com/item/%E8%9E%AF%E5%90%88%E5%89%82/10776165?fromModule=lemma_inlink" \t "https://baike.baidu.com/item/%E6%9F%A0%E6%AA%AC%E9%85%B8/_blank" </w:instrTex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fldChar w:fldCharType="separate"/>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螯合剂</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fldChar w:fldCharType="end"/>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w:t>
                  </w:r>
                </w:p>
              </w:tc>
            </w:tr>
            <w:tr w14:paraId="2C1EB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 w:type="dxa"/>
                  <w:vMerge w:val="continue"/>
                  <w:vAlign w:val="center"/>
                </w:tcPr>
                <w:p w14:paraId="2868261B">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hAnsi="Times New Roman" w:eastAsia="宋体" w:cs="Times New Roman"/>
                      <w:b/>
                      <w:bCs/>
                      <w:color w:val="auto"/>
                      <w:sz w:val="21"/>
                      <w:szCs w:val="21"/>
                      <w:highlight w:val="none"/>
                      <w:vertAlign w:val="baseline"/>
                      <w:lang w:val="en-US" w:eastAsia="zh-CN"/>
                    </w:rPr>
                  </w:pPr>
                </w:p>
              </w:tc>
              <w:tc>
                <w:tcPr>
                  <w:tcW w:w="906" w:type="dxa"/>
                  <w:vAlign w:val="center"/>
                </w:tcPr>
                <w:p w14:paraId="1B3E2C8D">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氯化钙</w:t>
                  </w:r>
                </w:p>
              </w:tc>
              <w:tc>
                <w:tcPr>
                  <w:tcW w:w="6954" w:type="dxa"/>
                  <w:vAlign w:val="center"/>
                </w:tcPr>
                <w:p w14:paraId="1C501BE3">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氯化钙（化学式：CaCl</w:t>
                  </w:r>
                  <w:r>
                    <w:rPr>
                      <w:rFonts w:hint="default" w:ascii="Times New Roman" w:hAnsi="Times New Roman" w:eastAsia="宋体" w:cs="Times New Roman"/>
                      <w:b w:val="0"/>
                      <w:bCs w:val="0"/>
                      <w:color w:val="000000" w:themeColor="text1"/>
                      <w:sz w:val="21"/>
                      <w:szCs w:val="21"/>
                      <w:highlight w:val="none"/>
                      <w:vertAlign w:val="subscript"/>
                      <w:lang w:val="en-US" w:eastAsia="zh-CN"/>
                      <w14:textFill>
                        <w14:solidFill>
                          <w14:schemeClr w14:val="tx1"/>
                        </w14:solidFill>
                      </w14:textFill>
                    </w:rPr>
                    <w:t>2</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）是一种白色或略带黄色的固体无机化合物，属于盐类，</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分子量110.984，易溶于水，是一种多功能的食品添加剂，在食品工业中用作钙质强化剂、固化剂、螯合剂和干燥剂。</w:t>
                  </w:r>
                </w:p>
              </w:tc>
            </w:tr>
            <w:tr w14:paraId="69B4C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 w:type="dxa"/>
                  <w:vMerge w:val="continue"/>
                  <w:vAlign w:val="center"/>
                </w:tcPr>
                <w:p w14:paraId="61F253BF">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hAnsi="Times New Roman" w:eastAsia="宋体" w:cs="Times New Roman"/>
                      <w:b/>
                      <w:bCs/>
                      <w:color w:val="auto"/>
                      <w:sz w:val="21"/>
                      <w:szCs w:val="21"/>
                      <w:highlight w:val="none"/>
                      <w:vertAlign w:val="baseline"/>
                      <w:lang w:val="en-US" w:eastAsia="zh-CN"/>
                    </w:rPr>
                  </w:pPr>
                </w:p>
              </w:tc>
              <w:tc>
                <w:tcPr>
                  <w:tcW w:w="906" w:type="dxa"/>
                  <w:vAlign w:val="center"/>
                </w:tcPr>
                <w:p w14:paraId="69ABDA0F">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甜蜜素</w:t>
                  </w:r>
                </w:p>
              </w:tc>
              <w:tc>
                <w:tcPr>
                  <w:tcW w:w="6954" w:type="dxa"/>
                  <w:vAlign w:val="center"/>
                </w:tcPr>
                <w:p w14:paraId="0EBA9B55">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甜蜜素，化学名称为环己烷氨基磺酸钠，是一种有机化合物，化学式为C</w:t>
                  </w:r>
                  <w:r>
                    <w:rPr>
                      <w:rFonts w:hint="default" w:ascii="Times New Roman" w:hAnsi="Times New Roman" w:eastAsia="宋体" w:cs="Times New Roman"/>
                      <w:b w:val="0"/>
                      <w:bCs w:val="0"/>
                      <w:color w:val="000000" w:themeColor="text1"/>
                      <w:sz w:val="21"/>
                      <w:szCs w:val="21"/>
                      <w:highlight w:val="none"/>
                      <w:vertAlign w:val="subscript"/>
                      <w:lang w:val="en-US" w:eastAsia="zh-CN"/>
                      <w14:textFill>
                        <w14:solidFill>
                          <w14:schemeClr w14:val="tx1"/>
                        </w14:solidFill>
                      </w14:textFill>
                    </w:rPr>
                    <w:t>6</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H</w:t>
                  </w:r>
                  <w:r>
                    <w:rPr>
                      <w:rFonts w:hint="default" w:ascii="Times New Roman" w:hAnsi="Times New Roman" w:eastAsia="宋体" w:cs="Times New Roman"/>
                      <w:b w:val="0"/>
                      <w:bCs w:val="0"/>
                      <w:color w:val="000000" w:themeColor="text1"/>
                      <w:sz w:val="21"/>
                      <w:szCs w:val="21"/>
                      <w:highlight w:val="none"/>
                      <w:vertAlign w:val="subscript"/>
                      <w:lang w:val="en-US" w:eastAsia="zh-CN"/>
                      <w14:textFill>
                        <w14:solidFill>
                          <w14:schemeClr w14:val="tx1"/>
                        </w14:solidFill>
                      </w14:textFill>
                    </w:rPr>
                    <w:t>12</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NNaO</w:t>
                  </w:r>
                  <w:r>
                    <w:rPr>
                      <w:rFonts w:hint="default" w:ascii="Times New Roman" w:hAnsi="Times New Roman" w:eastAsia="宋体" w:cs="Times New Roman"/>
                      <w:b w:val="0"/>
                      <w:bCs w:val="0"/>
                      <w:color w:val="000000" w:themeColor="text1"/>
                      <w:sz w:val="21"/>
                      <w:szCs w:val="21"/>
                      <w:highlight w:val="none"/>
                      <w:vertAlign w:val="sub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S，</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分子量201.219，白色粉末，密度1.32g/cm</w:t>
                  </w:r>
                  <w:r>
                    <w:rPr>
                      <w:rFonts w:hint="eastAsia" w:ascii="Times New Roman" w:cs="Times New Roman"/>
                      <w:b w:val="0"/>
                      <w:bCs w:val="0"/>
                      <w:color w:val="000000" w:themeColor="text1"/>
                      <w:sz w:val="21"/>
                      <w:szCs w:val="21"/>
                      <w:highlight w:val="none"/>
                      <w:vertAlign w:val="superscript"/>
                      <w:lang w:val="en-US" w:eastAsia="zh-CN"/>
                      <w14:textFill>
                        <w14:solidFill>
                          <w14:schemeClr w14:val="tx1"/>
                        </w14:solidFill>
                      </w14:textFill>
                    </w:rPr>
                    <w:t>3</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是一种常用的甜味剂，甜度是蔗糖的30～40倍</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；甜蜜素是一种无营养甜味剂，过量食用可能对人体的肝脏和神经系统造成危害。</w:t>
                  </w:r>
                </w:p>
              </w:tc>
            </w:tr>
            <w:tr w14:paraId="4E7AF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 w:type="dxa"/>
                  <w:vMerge w:val="continue"/>
                  <w:vAlign w:val="center"/>
                </w:tcPr>
                <w:p w14:paraId="605A80F8">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hAnsi="Times New Roman" w:eastAsia="宋体" w:cs="Times New Roman"/>
                      <w:b/>
                      <w:bCs/>
                      <w:color w:val="auto"/>
                      <w:sz w:val="21"/>
                      <w:szCs w:val="21"/>
                      <w:highlight w:val="none"/>
                      <w:vertAlign w:val="baseline"/>
                      <w:lang w:val="en-US" w:eastAsia="zh-CN"/>
                    </w:rPr>
                  </w:pPr>
                </w:p>
              </w:tc>
              <w:tc>
                <w:tcPr>
                  <w:tcW w:w="906" w:type="dxa"/>
                  <w:vAlign w:val="center"/>
                </w:tcPr>
                <w:p w14:paraId="01E3820D">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D-异抗坏血酸钠</w:t>
                  </w:r>
                </w:p>
              </w:tc>
              <w:tc>
                <w:tcPr>
                  <w:tcW w:w="6954" w:type="dxa"/>
                  <w:vAlign w:val="center"/>
                </w:tcPr>
                <w:p w14:paraId="380FE6E0">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Helvetica" w:hAnsi="Helvetica" w:eastAsia="Helvetica" w:cs="Helvetica"/>
                      <w:i w:val="0"/>
                      <w:iCs w:val="0"/>
                      <w:caps w:val="0"/>
                      <w:color w:val="000000" w:themeColor="text1"/>
                      <w:spacing w:val="0"/>
                      <w:sz w:val="21"/>
                      <w:szCs w:val="21"/>
                      <w:shd w:val="clear" w:fill="FFFFFF"/>
                      <w14:textFill>
                        <w14:solidFill>
                          <w14:schemeClr w14:val="tx1"/>
                        </w14:solidFill>
                      </w14:textFill>
                    </w:rPr>
                    <w:t>又名赤藻糖酸钠，是一种新型生物型食品抗氧防腐保鲜助色剂。</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分子式：C</w:t>
                  </w:r>
                  <w:r>
                    <w:rPr>
                      <w:rFonts w:hint="default" w:ascii="Times New Roman" w:hAnsi="Times New Roman" w:eastAsia="宋体" w:cs="Times New Roman"/>
                      <w:b w:val="0"/>
                      <w:bCs w:val="0"/>
                      <w:color w:val="000000" w:themeColor="text1"/>
                      <w:sz w:val="21"/>
                      <w:szCs w:val="21"/>
                      <w:highlight w:val="none"/>
                      <w:vertAlign w:val="subscript"/>
                      <w:lang w:val="en-US" w:eastAsia="zh-CN"/>
                      <w14:textFill>
                        <w14:solidFill>
                          <w14:schemeClr w14:val="tx1"/>
                        </w14:solidFill>
                      </w14:textFill>
                    </w:rPr>
                    <w:t>6</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H</w:t>
                  </w:r>
                  <w:r>
                    <w:rPr>
                      <w:rFonts w:hint="default" w:ascii="Times New Roman" w:hAnsi="Times New Roman" w:eastAsia="宋体" w:cs="Times New Roman"/>
                      <w:b w:val="0"/>
                      <w:bCs w:val="0"/>
                      <w:color w:val="000000" w:themeColor="text1"/>
                      <w:sz w:val="21"/>
                      <w:szCs w:val="21"/>
                      <w:highlight w:val="none"/>
                      <w:vertAlign w:val="subscript"/>
                      <w:lang w:val="en-US" w:eastAsia="zh-CN"/>
                      <w14:textFill>
                        <w14:solidFill>
                          <w14:schemeClr w14:val="tx1"/>
                        </w14:solidFill>
                      </w14:textFill>
                    </w:rPr>
                    <w:t>7</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NaO</w:t>
                  </w:r>
                  <w:r>
                    <w:rPr>
                      <w:rFonts w:hint="default" w:ascii="Times New Roman" w:hAnsi="Times New Roman" w:eastAsia="宋体" w:cs="Times New Roman"/>
                      <w:b w:val="0"/>
                      <w:bCs w:val="0"/>
                      <w:color w:val="000000" w:themeColor="text1"/>
                      <w:sz w:val="21"/>
                      <w:szCs w:val="21"/>
                      <w:highlight w:val="none"/>
                      <w:vertAlign w:val="subscript"/>
                      <w:lang w:val="en-US" w:eastAsia="zh-CN"/>
                      <w14:textFill>
                        <w14:solidFill>
                          <w14:schemeClr w14:val="tx1"/>
                        </w14:solidFill>
                      </w14:textFill>
                    </w:rPr>
                    <w:t>6</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。分子量：198.11</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白色或稍带黄色的结晶颗粒或粉末，无臭，稍有咸味，易溶于水</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约7mL水能溶1g</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，溶点200℃以上分解。干燥状态在空气中稳定，呈水溶液时遇空气、微量金属、热和光易变质。但在水溶液中与空气、金属、热、光则发生氧化</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几乎不溶于乙醇，1%水溶液的</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fldChar w:fldCharType="begin"/>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instrText xml:space="preserve"> HYPERLINK "https://baike.baidu.com/item/PH%E5%80%BC/0?fromModule=lemma_inlink" \t "https://baike.baidu.com/item/D-%E5%BC%82%E6%8A%97%E5%9D%8F%E8%A1%80%E9%85%B8%E9%92%A0/_blank" </w:instrTex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fldChar w:fldCharType="separate"/>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PH值</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fldChar w:fldCharType="end"/>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为6.5-8.0。</w:t>
                  </w:r>
                  <w:r>
                    <w:rPr>
                      <w:rFonts w:hint="eastAsia" w:ascii="Times New Roman" w:cs="Times New Roman"/>
                      <w:b w:val="0"/>
                      <w:bCs w:val="0"/>
                      <w:color w:val="000000" w:themeColor="text1"/>
                      <w:sz w:val="21"/>
                      <w:szCs w:val="21"/>
                      <w:highlight w:val="none"/>
                      <w:vertAlign w:val="baseline"/>
                      <w:lang w:val="en-US" w:eastAsia="zh-CN"/>
                      <w14:textFill>
                        <w14:solidFill>
                          <w14:schemeClr w14:val="tx1"/>
                        </w14:solidFill>
                      </w14:textFill>
                    </w:rPr>
                    <w:t>广泛用于肉类、鱼类、蔬菜、水果、酒类、饮料及罐头食品的防腐保鲜助色。</w:t>
                  </w:r>
                </w:p>
              </w:tc>
            </w:tr>
            <w:tr w14:paraId="1DFBC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 w:type="dxa"/>
                  <w:vMerge w:val="continue"/>
                  <w:vAlign w:val="center"/>
                </w:tcPr>
                <w:p w14:paraId="4F5F6146">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06" w:type="dxa"/>
                  <w:shd w:val="clear" w:color="auto" w:fill="auto"/>
                  <w:vAlign w:val="center"/>
                </w:tcPr>
                <w:p w14:paraId="187A74FC">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cs="Times New Roman"/>
                      <w:b w:val="0"/>
                      <w:bCs w:val="0"/>
                      <w:color w:val="auto"/>
                      <w:sz w:val="21"/>
                      <w:szCs w:val="21"/>
                      <w:highlight w:val="none"/>
                      <w:vertAlign w:val="baseline"/>
                      <w:lang w:val="en-US" w:eastAsia="zh-CN"/>
                    </w:rPr>
                    <w:t>焦亚硫酸钠</w:t>
                  </w:r>
                </w:p>
              </w:tc>
              <w:tc>
                <w:tcPr>
                  <w:tcW w:w="6954" w:type="dxa"/>
                  <w:shd w:val="clear" w:color="auto" w:fill="auto"/>
                  <w:vAlign w:val="center"/>
                </w:tcPr>
                <w:p w14:paraId="2EB12EA4">
                  <w:pPr>
                    <w:pStyle w:val="42"/>
                    <w:keepNext w:val="0"/>
                    <w:keepLines w:val="0"/>
                    <w:suppressLineNumbers w:val="0"/>
                    <w:tabs>
                      <w:tab w:val="left" w:pos="1191"/>
                    </w:tabs>
                    <w:spacing w:before="0" w:beforeAutospacing="0" w:after="0" w:afterAutospacing="0" w:line="240" w:lineRule="auto"/>
                    <w:ind w:left="0" w:leftChars="0" w:right="0" w:rightChars="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sz w:val="21"/>
                      <w:szCs w:val="21"/>
                      <w:highlight w:val="none"/>
                      <w:vertAlign w:val="baseline"/>
                      <w:lang w:val="en-US" w:eastAsia="zh-CN"/>
                    </w:rPr>
                    <w:t>亦称偏重亚硫酸钠、二硫五氧酸钠、重硫氧，是一种无机盐类化合物，化学式Na</w:t>
                  </w:r>
                  <w:r>
                    <w:rPr>
                      <w:rFonts w:hint="default" w:ascii="Times New Roman" w:hAnsi="Times New Roman" w:eastAsia="宋体" w:cs="Times New Roman"/>
                      <w:b w:val="0"/>
                      <w:bCs w:val="0"/>
                      <w:color w:val="auto"/>
                      <w:sz w:val="21"/>
                      <w:szCs w:val="21"/>
                      <w:highlight w:val="none"/>
                      <w:vertAlign w:val="subscript"/>
                      <w:lang w:val="en-US" w:eastAsia="zh-CN"/>
                    </w:rPr>
                    <w:t>2</w:t>
                  </w:r>
                  <w:r>
                    <w:rPr>
                      <w:rFonts w:hint="default" w:ascii="Times New Roman" w:hAnsi="Times New Roman" w:eastAsia="宋体" w:cs="Times New Roman"/>
                      <w:b w:val="0"/>
                      <w:bCs w:val="0"/>
                      <w:color w:val="auto"/>
                      <w:sz w:val="21"/>
                      <w:szCs w:val="21"/>
                      <w:highlight w:val="none"/>
                      <w:vertAlign w:val="baseline"/>
                      <w:lang w:val="en-US" w:eastAsia="zh-CN"/>
                    </w:rPr>
                    <w:t>S</w:t>
                  </w:r>
                  <w:r>
                    <w:rPr>
                      <w:rFonts w:hint="default" w:ascii="Times New Roman" w:hAnsi="Times New Roman" w:eastAsia="宋体" w:cs="Times New Roman"/>
                      <w:b w:val="0"/>
                      <w:bCs w:val="0"/>
                      <w:color w:val="auto"/>
                      <w:sz w:val="21"/>
                      <w:szCs w:val="21"/>
                      <w:highlight w:val="none"/>
                      <w:vertAlign w:val="subscript"/>
                      <w:lang w:val="en-US" w:eastAsia="zh-CN"/>
                    </w:rPr>
                    <w:t>2</w:t>
                  </w:r>
                  <w:r>
                    <w:rPr>
                      <w:rFonts w:hint="default" w:ascii="Times New Roman" w:hAnsi="Times New Roman" w:eastAsia="宋体" w:cs="Times New Roman"/>
                      <w:b w:val="0"/>
                      <w:bCs w:val="0"/>
                      <w:color w:val="auto"/>
                      <w:sz w:val="21"/>
                      <w:szCs w:val="21"/>
                      <w:highlight w:val="none"/>
                      <w:vertAlign w:val="baseline"/>
                      <w:lang w:val="en-US" w:eastAsia="zh-CN"/>
                    </w:rPr>
                    <w:t>O</w:t>
                  </w:r>
                  <w:r>
                    <w:rPr>
                      <w:rFonts w:hint="default" w:ascii="Times New Roman" w:hAnsi="Times New Roman" w:eastAsia="宋体" w:cs="Times New Roman"/>
                      <w:b w:val="0"/>
                      <w:bCs w:val="0"/>
                      <w:color w:val="auto"/>
                      <w:sz w:val="21"/>
                      <w:szCs w:val="21"/>
                      <w:highlight w:val="none"/>
                      <w:vertAlign w:val="subscript"/>
                      <w:lang w:val="en-US" w:eastAsia="zh-CN"/>
                    </w:rPr>
                    <w:t>5</w:t>
                  </w:r>
                  <w:r>
                    <w:rPr>
                      <w:rFonts w:hint="default" w:ascii="Times New Roman" w:hAnsi="Times New Roman" w:eastAsia="宋体" w:cs="Times New Roman"/>
                      <w:b w:val="0"/>
                      <w:bCs w:val="0"/>
                      <w:color w:val="auto"/>
                      <w:sz w:val="21"/>
                      <w:szCs w:val="21"/>
                      <w:highlight w:val="none"/>
                      <w:vertAlign w:val="baseline"/>
                      <w:lang w:val="en-US" w:eastAsia="zh-CN"/>
                    </w:rPr>
                    <w:t>，分子量190.10。外观为白色或微黄色结晶粉末或小结晶，带有强烈的二氧化硫气味。密度1.4g/cm</w:t>
                  </w:r>
                  <w:r>
                    <w:rPr>
                      <w:rFonts w:hint="default" w:ascii="Times New Roman" w:hAnsi="Times New Roman" w:eastAsia="宋体" w:cs="Times New Roman"/>
                      <w:b w:val="0"/>
                      <w:bCs w:val="0"/>
                      <w:color w:val="auto"/>
                      <w:sz w:val="21"/>
                      <w:szCs w:val="21"/>
                      <w:highlight w:val="none"/>
                      <w:vertAlign w:val="superscript"/>
                      <w:lang w:val="en-US" w:eastAsia="zh-CN"/>
                    </w:rPr>
                    <w:t>3</w:t>
                  </w:r>
                  <w:r>
                    <w:rPr>
                      <w:rFonts w:hint="default" w:ascii="Times New Roman" w:hAnsi="Times New Roman" w:eastAsia="宋体" w:cs="Times New Roman"/>
                      <w:b w:val="0"/>
                      <w:bCs w:val="0"/>
                      <w:color w:val="auto"/>
                      <w:sz w:val="21"/>
                      <w:szCs w:val="21"/>
                      <w:highlight w:val="none"/>
                      <w:vertAlign w:val="baseline"/>
                      <w:lang w:val="en-US" w:eastAsia="zh-CN"/>
                    </w:rPr>
                    <w:t>，溶于水和甘油，微溶于醇，在水中的溶解度随温度升高而增大。焦亚硫酸钠溶于水后，生成稳定的亚硫酸氢钠，水溶液显酸性。主要用于生产亚硫酸，在食品工业中，可用于加入麦面粉以降低面筋的韧性，使饼干松脆，还用于蔬菜脱水保持养分和水果等的保鲜，制造糖果和饮料中的杀菌、酿造工业的防腐剂，食用香料工业用于生产香草醛等。焦亚硫酸钠不燃，有毒，大鼠经口LD</w:t>
                  </w:r>
                  <w:r>
                    <w:rPr>
                      <w:rFonts w:hint="default" w:ascii="Times New Roman" w:hAnsi="Times New Roman" w:eastAsia="宋体" w:cs="Times New Roman"/>
                      <w:b w:val="0"/>
                      <w:bCs w:val="0"/>
                      <w:color w:val="auto"/>
                      <w:sz w:val="21"/>
                      <w:szCs w:val="21"/>
                      <w:highlight w:val="none"/>
                      <w:vertAlign w:val="subscript"/>
                      <w:lang w:val="en-US" w:eastAsia="zh-CN"/>
                    </w:rPr>
                    <w:t>50</w:t>
                  </w:r>
                  <w:r>
                    <w:rPr>
                      <w:rFonts w:hint="default" w:ascii="Times New Roman" w:hAnsi="Times New Roman" w:eastAsia="宋体" w:cs="Times New Roman"/>
                      <w:b w:val="0"/>
                      <w:bCs w:val="0"/>
                      <w:color w:val="auto"/>
                      <w:sz w:val="21"/>
                      <w:szCs w:val="21"/>
                      <w:highlight w:val="none"/>
                      <w:vertAlign w:val="baseline"/>
                      <w:lang w:val="en-US" w:eastAsia="zh-CN"/>
                    </w:rPr>
                    <w:t>为1131mg/kg 。焦亚硫酸钠对皮肤、黏膜有明显的刺激作用，可引起结膜、支气管炎症状，有过敏体质或哮喘的人，对此非常敏感。皮肤直接接触可引起灼伤</w:t>
                  </w:r>
                  <w:r>
                    <w:rPr>
                      <w:rFonts w:hint="eastAsia" w:ascii="Times New Roman" w:cs="Times New Roman"/>
                      <w:b w:val="0"/>
                      <w:bCs w:val="0"/>
                      <w:color w:val="auto"/>
                      <w:sz w:val="21"/>
                      <w:szCs w:val="21"/>
                      <w:highlight w:val="none"/>
                      <w:vertAlign w:val="baseline"/>
                      <w:lang w:val="en-US" w:eastAsia="zh-CN"/>
                    </w:rPr>
                    <w:t>。</w:t>
                  </w:r>
                </w:p>
              </w:tc>
            </w:tr>
            <w:tr w14:paraId="23232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4" w:type="dxa"/>
                  <w:gridSpan w:val="2"/>
                  <w:vAlign w:val="center"/>
                </w:tcPr>
                <w:p w14:paraId="17DAAF1C">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cs="Times New Roman"/>
                      <w:color w:val="auto"/>
                      <w:sz w:val="21"/>
                      <w:szCs w:val="21"/>
                      <w:highlight w:val="none"/>
                      <w:vertAlign w:val="baseline"/>
                      <w:lang w:val="en-US" w:eastAsia="zh-CN"/>
                    </w:rPr>
                    <w:t>液氨</w:t>
                  </w:r>
                </w:p>
              </w:tc>
              <w:tc>
                <w:tcPr>
                  <w:tcW w:w="6954" w:type="dxa"/>
                  <w:vAlign w:val="center"/>
                </w:tcPr>
                <w:p w14:paraId="2F9A2581">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液氨是一种</w:t>
                  </w:r>
                  <w:r>
                    <w:rPr>
                      <w:rFonts w:hint="default" w:ascii="Times New Roman" w:hAnsi="Times New Roman" w:eastAsia="宋体" w:cs="Times New Roman"/>
                      <w:color w:val="auto"/>
                      <w:sz w:val="21"/>
                      <w:szCs w:val="21"/>
                      <w:highlight w:val="none"/>
                      <w:vertAlign w:val="baseline"/>
                      <w:lang w:val="en-US" w:eastAsia="zh-CN"/>
                    </w:rPr>
                    <w:fldChar w:fldCharType="begin"/>
                  </w:r>
                  <w:r>
                    <w:rPr>
                      <w:rFonts w:hint="default" w:ascii="Times New Roman" w:hAnsi="Times New Roman" w:eastAsia="宋体" w:cs="Times New Roman"/>
                      <w:color w:val="auto"/>
                      <w:sz w:val="21"/>
                      <w:szCs w:val="21"/>
                      <w:highlight w:val="none"/>
                      <w:vertAlign w:val="baseline"/>
                      <w:lang w:val="en-US" w:eastAsia="zh-CN"/>
                    </w:rPr>
                    <w:instrText xml:space="preserve"> HYPERLINK "https://baike.baidu.com/item/%E6%97%A0%E8%89%B2%E6%B6%B2%E4%BD%93/22257940?fromModule=lemma_inlink" \t "https://baike.baidu.com/item/%E6%B6%B2%E6%B0%A8/_blank" </w:instrText>
                  </w:r>
                  <w:r>
                    <w:rPr>
                      <w:rFonts w:hint="default" w:ascii="Times New Roman" w:hAnsi="Times New Roman" w:eastAsia="宋体" w:cs="Times New Roman"/>
                      <w:color w:val="auto"/>
                      <w:sz w:val="21"/>
                      <w:szCs w:val="21"/>
                      <w:highlight w:val="none"/>
                      <w:vertAlign w:val="baseline"/>
                      <w:lang w:val="en-US" w:eastAsia="zh-CN"/>
                    </w:rPr>
                    <w:fldChar w:fldCharType="separate"/>
                  </w:r>
                  <w:r>
                    <w:rPr>
                      <w:rFonts w:hint="default" w:ascii="Times New Roman" w:hAnsi="Times New Roman" w:eastAsia="宋体" w:cs="Times New Roman"/>
                      <w:color w:val="auto"/>
                      <w:sz w:val="21"/>
                      <w:szCs w:val="21"/>
                      <w:highlight w:val="none"/>
                      <w:vertAlign w:val="baseline"/>
                      <w:lang w:val="en-US" w:eastAsia="zh-CN"/>
                    </w:rPr>
                    <w:t>无色液体</w:t>
                  </w:r>
                  <w:r>
                    <w:rPr>
                      <w:rFonts w:hint="default" w:ascii="Times New Roman" w:hAnsi="Times New Roman" w:eastAsia="宋体" w:cs="Times New Roman"/>
                      <w:color w:val="auto"/>
                      <w:sz w:val="21"/>
                      <w:szCs w:val="21"/>
                      <w:highlight w:val="none"/>
                      <w:vertAlign w:val="baseline"/>
                      <w:lang w:val="en-US" w:eastAsia="zh-CN"/>
                    </w:rPr>
                    <w:fldChar w:fldCharType="end"/>
                  </w:r>
                  <w:r>
                    <w:rPr>
                      <w:rFonts w:hint="default" w:ascii="Times New Roman" w:hAnsi="Times New Roman" w:eastAsia="宋体" w:cs="Times New Roman"/>
                      <w:color w:val="auto"/>
                      <w:sz w:val="21"/>
                      <w:szCs w:val="21"/>
                      <w:highlight w:val="none"/>
                      <w:vertAlign w:val="baseline"/>
                      <w:lang w:val="en-US" w:eastAsia="zh-CN"/>
                    </w:rPr>
                    <w:t>，有强烈刺激性气味。</w:t>
                  </w:r>
                  <w:r>
                    <w:rPr>
                      <w:rFonts w:hint="eastAsia" w:ascii="Times New Roman" w:cs="Times New Roman"/>
                      <w:color w:val="auto"/>
                      <w:sz w:val="21"/>
                      <w:szCs w:val="21"/>
                      <w:highlight w:val="none"/>
                      <w:vertAlign w:val="baseline"/>
                      <w:lang w:val="en-US" w:eastAsia="zh-CN"/>
                    </w:rPr>
                    <w:t>化学式NH</w:t>
                  </w:r>
                  <w:r>
                    <w:rPr>
                      <w:rFonts w:hint="eastAsia" w:ascii="Times New Roman" w:cs="Times New Roman"/>
                      <w:color w:val="auto"/>
                      <w:sz w:val="21"/>
                      <w:szCs w:val="21"/>
                      <w:highlight w:val="none"/>
                      <w:vertAlign w:val="subscript"/>
                      <w:lang w:val="en-US" w:eastAsia="zh-CN"/>
                    </w:rPr>
                    <w:t>3</w:t>
                  </w:r>
                  <w:r>
                    <w:rPr>
                      <w:rFonts w:hint="eastAsia" w:ascii="Times New Roman" w:cs="Times New Roman"/>
                      <w:color w:val="auto"/>
                      <w:sz w:val="21"/>
                      <w:szCs w:val="21"/>
                      <w:highlight w:val="none"/>
                      <w:vertAlign w:val="baseline"/>
                      <w:lang w:val="en-US" w:eastAsia="zh-CN"/>
                    </w:rPr>
                    <w:t>，分子量17.04，</w:t>
                  </w:r>
                  <w:r>
                    <w:rPr>
                      <w:rFonts w:hint="default" w:ascii="Times New Roman" w:hAnsi="Times New Roman" w:eastAsia="宋体" w:cs="Times New Roman"/>
                      <w:color w:val="auto"/>
                      <w:sz w:val="21"/>
                      <w:szCs w:val="21"/>
                      <w:highlight w:val="none"/>
                      <w:vertAlign w:val="baseline"/>
                      <w:lang w:val="en-US" w:eastAsia="zh-CN"/>
                    </w:rPr>
                    <w:t>液氨易溶于水，溶液呈碱性。</w:t>
                  </w:r>
                  <w:r>
                    <w:rPr>
                      <w:rFonts w:hint="eastAsia" w:ascii="Times New Roman" w:cs="Times New Roman"/>
                      <w:color w:val="auto"/>
                      <w:sz w:val="21"/>
                      <w:szCs w:val="21"/>
                      <w:highlight w:val="none"/>
                      <w:vertAlign w:val="baseline"/>
                      <w:lang w:val="en-US" w:eastAsia="zh-CN"/>
                    </w:rPr>
                    <w:t>液氨</w:t>
                  </w:r>
                  <w:r>
                    <w:rPr>
                      <w:rFonts w:hint="default" w:ascii="Times New Roman" w:hAnsi="Times New Roman" w:eastAsia="宋体" w:cs="Times New Roman"/>
                      <w:color w:val="auto"/>
                      <w:sz w:val="21"/>
                      <w:szCs w:val="21"/>
                      <w:highlight w:val="none"/>
                      <w:vertAlign w:val="baseline"/>
                      <w:lang w:val="en-US" w:eastAsia="zh-CN"/>
                    </w:rPr>
                    <w:t>具有刺激性气味，高浓度时对人体有害，泄漏时可能引发中毒风险</w:t>
                  </w:r>
                  <w:r>
                    <w:rPr>
                      <w:rFonts w:hint="eastAsia" w:ascii="Times New Roman" w:cs="Times New Roman"/>
                      <w:color w:val="auto"/>
                      <w:sz w:val="21"/>
                      <w:szCs w:val="21"/>
                      <w:highlight w:val="none"/>
                      <w:vertAlign w:val="baseline"/>
                      <w:lang w:val="en-US" w:eastAsia="zh-CN"/>
                    </w:rPr>
                    <w:t>。液氨对铜及其合金有腐蚀性，因此系统需使用钢材或其他耐腐蚀材料。液氨是一种高效、环保的制冷剂，尤其适合大型工业制冷系统。</w:t>
                  </w:r>
                </w:p>
              </w:tc>
            </w:tr>
            <w:tr w14:paraId="0EC41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4" w:type="dxa"/>
                  <w:gridSpan w:val="2"/>
                  <w:vAlign w:val="center"/>
                </w:tcPr>
                <w:p w14:paraId="35061649">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cs="Times New Roman"/>
                      <w:color w:val="auto"/>
                      <w:sz w:val="21"/>
                      <w:szCs w:val="21"/>
                      <w:highlight w:val="none"/>
                      <w:vertAlign w:val="baseline"/>
                      <w:lang w:val="en-US" w:eastAsia="zh-CN"/>
                    </w:rPr>
                  </w:pPr>
                  <w:r>
                    <w:rPr>
                      <w:rFonts w:hint="eastAsia" w:ascii="Times New Roman" w:cs="Times New Roman"/>
                      <w:color w:val="auto"/>
                      <w:sz w:val="21"/>
                      <w:szCs w:val="21"/>
                      <w:highlight w:val="none"/>
                      <w:vertAlign w:val="baseline"/>
                      <w:lang w:val="en-US" w:eastAsia="zh-CN"/>
                    </w:rPr>
                    <w:t>片碱</w:t>
                  </w:r>
                </w:p>
              </w:tc>
              <w:tc>
                <w:tcPr>
                  <w:tcW w:w="6954" w:type="dxa"/>
                  <w:vAlign w:val="center"/>
                </w:tcPr>
                <w:p w14:paraId="4A0BD736">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氢氧化钠，也称</w:t>
                  </w:r>
                  <w:r>
                    <w:rPr>
                      <w:rFonts w:hint="default" w:ascii="Times New Roman" w:hAnsi="Times New Roman" w:eastAsia="宋体" w:cs="Times New Roman"/>
                      <w:color w:val="auto"/>
                      <w:sz w:val="21"/>
                      <w:szCs w:val="21"/>
                      <w:highlight w:val="none"/>
                      <w:vertAlign w:val="baseline"/>
                      <w:lang w:val="en-US" w:eastAsia="zh-CN"/>
                    </w:rPr>
                    <w:fldChar w:fldCharType="begin"/>
                  </w:r>
                  <w:r>
                    <w:rPr>
                      <w:rFonts w:hint="default" w:ascii="Times New Roman" w:hAnsi="Times New Roman" w:eastAsia="宋体" w:cs="Times New Roman"/>
                      <w:color w:val="auto"/>
                      <w:sz w:val="21"/>
                      <w:szCs w:val="21"/>
                      <w:highlight w:val="none"/>
                      <w:vertAlign w:val="baseline"/>
                      <w:lang w:val="en-US" w:eastAsia="zh-CN"/>
                    </w:rPr>
                    <w:instrText xml:space="preserve"> HYPERLINK "https://baike.baidu.com/item/%E8%8B%9B%E6%80%A7%E9%92%A0/3926819?fromModule=lemma_inlink" \t "https://baike.baidu.com/item/%E6%B0%A2%E6%B0%A7%E5%8C%96%E9%92%A0/_blank" </w:instrText>
                  </w:r>
                  <w:r>
                    <w:rPr>
                      <w:rFonts w:hint="default" w:ascii="Times New Roman" w:hAnsi="Times New Roman" w:eastAsia="宋体" w:cs="Times New Roman"/>
                      <w:color w:val="auto"/>
                      <w:sz w:val="21"/>
                      <w:szCs w:val="21"/>
                      <w:highlight w:val="none"/>
                      <w:vertAlign w:val="baseline"/>
                      <w:lang w:val="en-US" w:eastAsia="zh-CN"/>
                    </w:rPr>
                    <w:fldChar w:fldCharType="separate"/>
                  </w:r>
                  <w:r>
                    <w:rPr>
                      <w:rFonts w:hint="default" w:ascii="Times New Roman" w:hAnsi="Times New Roman" w:eastAsia="宋体" w:cs="Times New Roman"/>
                      <w:color w:val="auto"/>
                      <w:sz w:val="21"/>
                      <w:szCs w:val="21"/>
                      <w:highlight w:val="none"/>
                      <w:vertAlign w:val="baseline"/>
                      <w:lang w:val="en-US" w:eastAsia="zh-CN"/>
                    </w:rPr>
                    <w:t>苛性钠</w:t>
                  </w:r>
                  <w:r>
                    <w:rPr>
                      <w:rFonts w:hint="default" w:ascii="Times New Roman" w:hAnsi="Times New Roman" w:eastAsia="宋体" w:cs="Times New Roman"/>
                      <w:color w:val="auto"/>
                      <w:sz w:val="21"/>
                      <w:szCs w:val="21"/>
                      <w:highlight w:val="none"/>
                      <w:vertAlign w:val="baseline"/>
                      <w:lang w:val="en-US" w:eastAsia="zh-CN"/>
                    </w:rPr>
                    <w:fldChar w:fldCharType="end"/>
                  </w:r>
                  <w:r>
                    <w:rPr>
                      <w:rFonts w:hint="default" w:ascii="Times New Roman" w:hAnsi="Times New Roman" w:eastAsia="宋体" w:cs="Times New Roman"/>
                      <w:color w:val="auto"/>
                      <w:sz w:val="21"/>
                      <w:szCs w:val="21"/>
                      <w:highlight w:val="none"/>
                      <w:vertAlign w:val="baseline"/>
                      <w:lang w:val="en-US" w:eastAsia="zh-CN"/>
                    </w:rPr>
                    <w:t>、</w:t>
                  </w:r>
                  <w:r>
                    <w:rPr>
                      <w:rFonts w:hint="default" w:ascii="Times New Roman" w:hAnsi="Times New Roman" w:eastAsia="宋体" w:cs="Times New Roman"/>
                      <w:color w:val="auto"/>
                      <w:sz w:val="21"/>
                      <w:szCs w:val="21"/>
                      <w:highlight w:val="none"/>
                      <w:vertAlign w:val="baseline"/>
                      <w:lang w:val="en-US" w:eastAsia="zh-CN"/>
                    </w:rPr>
                    <w:fldChar w:fldCharType="begin"/>
                  </w:r>
                  <w:r>
                    <w:rPr>
                      <w:rFonts w:hint="default" w:ascii="Times New Roman" w:hAnsi="Times New Roman" w:eastAsia="宋体" w:cs="Times New Roman"/>
                      <w:color w:val="auto"/>
                      <w:sz w:val="21"/>
                      <w:szCs w:val="21"/>
                      <w:highlight w:val="none"/>
                      <w:vertAlign w:val="baseline"/>
                      <w:lang w:val="en-US" w:eastAsia="zh-CN"/>
                    </w:rPr>
                    <w:instrText xml:space="preserve"> HYPERLINK "https://baike.baidu.com/item/%E7%83%A7%E7%A2%B1/1400538?fromModule=lemma_inlink" \t "https://baike.baidu.com/item/%E6%B0%A2%E6%B0%A7%E5%8C%96%E9%92%A0/_blank" </w:instrText>
                  </w:r>
                  <w:r>
                    <w:rPr>
                      <w:rFonts w:hint="default" w:ascii="Times New Roman" w:hAnsi="Times New Roman" w:eastAsia="宋体" w:cs="Times New Roman"/>
                      <w:color w:val="auto"/>
                      <w:sz w:val="21"/>
                      <w:szCs w:val="21"/>
                      <w:highlight w:val="none"/>
                      <w:vertAlign w:val="baseline"/>
                      <w:lang w:val="en-US" w:eastAsia="zh-CN"/>
                    </w:rPr>
                    <w:fldChar w:fldCharType="separate"/>
                  </w:r>
                  <w:r>
                    <w:rPr>
                      <w:rFonts w:hint="default" w:ascii="Times New Roman" w:hAnsi="Times New Roman" w:eastAsia="宋体" w:cs="Times New Roman"/>
                      <w:color w:val="auto"/>
                      <w:sz w:val="21"/>
                      <w:szCs w:val="21"/>
                      <w:highlight w:val="none"/>
                      <w:vertAlign w:val="baseline"/>
                      <w:lang w:val="en-US" w:eastAsia="zh-CN"/>
                    </w:rPr>
                    <w:t>烧碱</w:t>
                  </w:r>
                  <w:r>
                    <w:rPr>
                      <w:rFonts w:hint="default" w:ascii="Times New Roman" w:hAnsi="Times New Roman" w:eastAsia="宋体" w:cs="Times New Roman"/>
                      <w:color w:val="auto"/>
                      <w:sz w:val="21"/>
                      <w:szCs w:val="21"/>
                      <w:highlight w:val="none"/>
                      <w:vertAlign w:val="baseline"/>
                      <w:lang w:val="en-US" w:eastAsia="zh-CN"/>
                    </w:rPr>
                    <w:fldChar w:fldCharType="end"/>
                  </w:r>
                  <w:r>
                    <w:rPr>
                      <w:rFonts w:hint="default" w:ascii="Times New Roman" w:hAnsi="Times New Roman" w:eastAsia="宋体" w:cs="Times New Roman"/>
                      <w:color w:val="auto"/>
                      <w:sz w:val="21"/>
                      <w:szCs w:val="21"/>
                      <w:highlight w:val="none"/>
                      <w:vertAlign w:val="baseline"/>
                      <w:lang w:val="en-US" w:eastAsia="zh-CN"/>
                    </w:rPr>
                    <w:t>、</w:t>
                  </w:r>
                  <w:r>
                    <w:rPr>
                      <w:rFonts w:hint="default" w:ascii="Times New Roman" w:hAnsi="Times New Roman" w:eastAsia="宋体" w:cs="Times New Roman"/>
                      <w:color w:val="auto"/>
                      <w:sz w:val="21"/>
                      <w:szCs w:val="21"/>
                      <w:highlight w:val="none"/>
                      <w:vertAlign w:val="baseline"/>
                      <w:lang w:val="en-US" w:eastAsia="zh-CN"/>
                    </w:rPr>
                    <w:fldChar w:fldCharType="begin"/>
                  </w:r>
                  <w:r>
                    <w:rPr>
                      <w:rFonts w:hint="default" w:ascii="Times New Roman" w:hAnsi="Times New Roman" w:eastAsia="宋体" w:cs="Times New Roman"/>
                      <w:color w:val="auto"/>
                      <w:sz w:val="21"/>
                      <w:szCs w:val="21"/>
                      <w:highlight w:val="none"/>
                      <w:vertAlign w:val="baseline"/>
                      <w:lang w:val="en-US" w:eastAsia="zh-CN"/>
                    </w:rPr>
                    <w:instrText xml:space="preserve"> HYPERLINK "https://baike.baidu.com/item/%E7%81%AB%E7%A2%B1/2751638?fromModule=lemma_inlink" \t "https://baike.baidu.com/item/%E6%B0%A2%E6%B0%A7%E5%8C%96%E9%92%A0/_blank" </w:instrText>
                  </w:r>
                  <w:r>
                    <w:rPr>
                      <w:rFonts w:hint="default" w:ascii="Times New Roman" w:hAnsi="Times New Roman" w:eastAsia="宋体" w:cs="Times New Roman"/>
                      <w:color w:val="auto"/>
                      <w:sz w:val="21"/>
                      <w:szCs w:val="21"/>
                      <w:highlight w:val="none"/>
                      <w:vertAlign w:val="baseline"/>
                      <w:lang w:val="en-US" w:eastAsia="zh-CN"/>
                    </w:rPr>
                    <w:fldChar w:fldCharType="separate"/>
                  </w:r>
                  <w:r>
                    <w:rPr>
                      <w:rFonts w:hint="default" w:ascii="Times New Roman" w:hAnsi="Times New Roman" w:eastAsia="宋体" w:cs="Times New Roman"/>
                      <w:color w:val="auto"/>
                      <w:sz w:val="21"/>
                      <w:szCs w:val="21"/>
                      <w:highlight w:val="none"/>
                      <w:vertAlign w:val="baseline"/>
                      <w:lang w:val="en-US" w:eastAsia="zh-CN"/>
                    </w:rPr>
                    <w:t>火碱</w:t>
                  </w:r>
                  <w:r>
                    <w:rPr>
                      <w:rFonts w:hint="default" w:ascii="Times New Roman" w:hAnsi="Times New Roman" w:eastAsia="宋体" w:cs="Times New Roman"/>
                      <w:color w:val="auto"/>
                      <w:sz w:val="21"/>
                      <w:szCs w:val="21"/>
                      <w:highlight w:val="none"/>
                      <w:vertAlign w:val="baseline"/>
                      <w:lang w:val="en-US" w:eastAsia="zh-CN"/>
                    </w:rPr>
                    <w:fldChar w:fldCharType="end"/>
                  </w:r>
                  <w:r>
                    <w:rPr>
                      <w:rFonts w:hint="default" w:ascii="Times New Roman" w:hAnsi="Times New Roman" w:eastAsia="宋体" w:cs="Times New Roman"/>
                      <w:color w:val="auto"/>
                      <w:sz w:val="21"/>
                      <w:szCs w:val="21"/>
                      <w:highlight w:val="none"/>
                      <w:vertAlign w:val="baseline"/>
                      <w:lang w:val="en-US" w:eastAsia="zh-CN"/>
                    </w:rPr>
                    <w:t>、</w:t>
                  </w:r>
                  <w:r>
                    <w:rPr>
                      <w:rFonts w:hint="default" w:ascii="Times New Roman" w:hAnsi="Times New Roman" w:eastAsia="宋体" w:cs="Times New Roman"/>
                      <w:color w:val="auto"/>
                      <w:sz w:val="21"/>
                      <w:szCs w:val="21"/>
                      <w:highlight w:val="none"/>
                      <w:vertAlign w:val="baseline"/>
                      <w:lang w:val="en-US" w:eastAsia="zh-CN"/>
                    </w:rPr>
                    <w:fldChar w:fldCharType="begin"/>
                  </w:r>
                  <w:r>
                    <w:rPr>
                      <w:rFonts w:hint="default" w:ascii="Times New Roman" w:hAnsi="Times New Roman" w:eastAsia="宋体" w:cs="Times New Roman"/>
                      <w:color w:val="auto"/>
                      <w:sz w:val="21"/>
                      <w:szCs w:val="21"/>
                      <w:highlight w:val="none"/>
                      <w:vertAlign w:val="baseline"/>
                      <w:lang w:val="en-US" w:eastAsia="zh-CN"/>
                    </w:rPr>
                    <w:instrText xml:space="preserve"> HYPERLINK "https://baike.baidu.com/item/%E7%89%87%E7%A2%B1/10779075?fromModule=lemma_inlink" \t "https://baike.baidu.com/item/%E6%B0%A2%E6%B0%A7%E5%8C%96%E9%92%A0/_blank" </w:instrText>
                  </w:r>
                  <w:r>
                    <w:rPr>
                      <w:rFonts w:hint="default" w:ascii="Times New Roman" w:hAnsi="Times New Roman" w:eastAsia="宋体" w:cs="Times New Roman"/>
                      <w:color w:val="auto"/>
                      <w:sz w:val="21"/>
                      <w:szCs w:val="21"/>
                      <w:highlight w:val="none"/>
                      <w:vertAlign w:val="baseline"/>
                      <w:lang w:val="en-US" w:eastAsia="zh-CN"/>
                    </w:rPr>
                    <w:fldChar w:fldCharType="separate"/>
                  </w:r>
                  <w:r>
                    <w:rPr>
                      <w:rFonts w:hint="default" w:ascii="Times New Roman" w:hAnsi="Times New Roman" w:eastAsia="宋体" w:cs="Times New Roman"/>
                      <w:color w:val="auto"/>
                      <w:sz w:val="21"/>
                      <w:szCs w:val="21"/>
                      <w:highlight w:val="none"/>
                      <w:vertAlign w:val="baseline"/>
                      <w:lang w:val="en-US" w:eastAsia="zh-CN"/>
                    </w:rPr>
                    <w:t>片碱</w:t>
                  </w:r>
                  <w:r>
                    <w:rPr>
                      <w:rFonts w:hint="default" w:ascii="Times New Roman" w:hAnsi="Times New Roman" w:eastAsia="宋体" w:cs="Times New Roman"/>
                      <w:color w:val="auto"/>
                      <w:sz w:val="21"/>
                      <w:szCs w:val="21"/>
                      <w:highlight w:val="none"/>
                      <w:vertAlign w:val="baseline"/>
                      <w:lang w:val="en-US" w:eastAsia="zh-CN"/>
                    </w:rPr>
                    <w:fldChar w:fldCharType="end"/>
                  </w:r>
                  <w:r>
                    <w:rPr>
                      <w:rFonts w:hint="default" w:ascii="Times New Roman" w:hAnsi="Times New Roman" w:eastAsia="宋体" w:cs="Times New Roman"/>
                      <w:color w:val="auto"/>
                      <w:sz w:val="21"/>
                      <w:szCs w:val="21"/>
                      <w:highlight w:val="none"/>
                      <w:vertAlign w:val="baseline"/>
                      <w:lang w:val="en-US" w:eastAsia="zh-CN"/>
                    </w:rPr>
                    <w:t>，是一种无机化合物，化学式NaOH，相对分子量为39.9970</w:t>
                  </w:r>
                  <w:r>
                    <w:rPr>
                      <w:rFonts w:hint="eastAsia" w:ascii="Times New Roman" w:cs="Times New Roman"/>
                      <w:color w:val="auto"/>
                      <w:sz w:val="21"/>
                      <w:szCs w:val="21"/>
                      <w:highlight w:val="none"/>
                      <w:vertAlign w:val="baseline"/>
                      <w:lang w:val="en-US" w:eastAsia="zh-CN"/>
                    </w:rPr>
                    <w:t>，白色结晶性粉末，密度2.13g/cm</w:t>
                  </w:r>
                  <w:r>
                    <w:rPr>
                      <w:rFonts w:hint="eastAsia" w:ascii="Times New Roman" w:cs="Times New Roman"/>
                      <w:color w:val="auto"/>
                      <w:sz w:val="21"/>
                      <w:szCs w:val="21"/>
                      <w:highlight w:val="none"/>
                      <w:vertAlign w:val="superscript"/>
                      <w:lang w:val="en-US" w:eastAsia="zh-CN"/>
                    </w:rPr>
                    <w:t>3</w:t>
                  </w:r>
                  <w:r>
                    <w:rPr>
                      <w:rFonts w:hint="eastAsia" w:ascii="Times New Roman" w:cs="Times New Roman"/>
                      <w:color w:val="auto"/>
                      <w:sz w:val="21"/>
                      <w:szCs w:val="21"/>
                      <w:highlight w:val="none"/>
                      <w:vertAlign w:val="baseline"/>
                      <w:lang w:val="en-US" w:eastAsia="zh-CN"/>
                    </w:rPr>
                    <w:t>，易溶于水、乙醇、甘油，不溶于丙酮、乙醚</w:t>
                  </w:r>
                  <w:r>
                    <w:rPr>
                      <w:rFonts w:hint="default" w:ascii="Times New Roman" w:hAnsi="Times New Roman" w:eastAsia="宋体" w:cs="Times New Roman"/>
                      <w:color w:val="auto"/>
                      <w:sz w:val="21"/>
                      <w:szCs w:val="21"/>
                      <w:highlight w:val="none"/>
                      <w:vertAlign w:val="baseline"/>
                      <w:lang w:val="en-US" w:eastAsia="zh-CN"/>
                    </w:rPr>
                    <w:t>。氢氧化钠具有强碱性，腐蚀性极强，可作酸中和剂、配合掩蔽剂、沉淀剂、沉淀掩蔽剂、显色剂、皂化剂、去皮剂、洗涤剂等，用途非常广泛</w:t>
                  </w:r>
                  <w:r>
                    <w:rPr>
                      <w:rFonts w:hint="eastAsia" w:ascii="Times New Roman" w:cs="Times New Roman"/>
                      <w:color w:val="auto"/>
                      <w:sz w:val="21"/>
                      <w:szCs w:val="21"/>
                      <w:highlight w:val="none"/>
                      <w:vertAlign w:val="baseline"/>
                      <w:lang w:val="en-US" w:eastAsia="zh-CN"/>
                    </w:rPr>
                    <w:t>。</w:t>
                  </w:r>
                </w:p>
              </w:tc>
            </w:tr>
            <w:tr w14:paraId="0F47E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4" w:type="dxa"/>
                  <w:gridSpan w:val="2"/>
                  <w:shd w:val="clear" w:color="auto" w:fill="auto"/>
                  <w:vAlign w:val="center"/>
                </w:tcPr>
                <w:p w14:paraId="11F5FFF5">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PAC</w:t>
                  </w:r>
                </w:p>
              </w:tc>
              <w:tc>
                <w:tcPr>
                  <w:tcW w:w="6954" w:type="dxa"/>
                  <w:vAlign w:val="center"/>
                </w:tcPr>
                <w:p w14:paraId="1D783F28">
                  <w:pPr>
                    <w:keepNext w:val="0"/>
                    <w:keepLines w:val="0"/>
                    <w:widowControl/>
                    <w:suppressLineNumbers w:val="0"/>
                    <w:autoSpaceDE/>
                    <w:autoSpaceDN/>
                    <w:adjustRightInd w:val="0"/>
                    <w:snapToGrid w:val="0"/>
                    <w:spacing w:before="0" w:beforeAutospacing="0" w:after="0" w:afterAutospacing="0" w:line="300" w:lineRule="exact"/>
                    <w:ind w:left="0" w:right="0" w:firstLine="0" w:firstLine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u w:val="none" w:color="auto"/>
                      <w:lang w:bidi="en-US"/>
                      <w14:textFill>
                        <w14:solidFill>
                          <w14:schemeClr w14:val="tx1"/>
                        </w14:solidFill>
                      </w14:textFill>
                    </w:rPr>
                    <w:t>名称：聚合氯化铝（简称聚铝）。又名：絮凝剂，助凝剂，混凝剂。英文名称：Polyaluminium Chloride，缩写PAC。是一种无机高分子混凝剂。主要通过压缩双层，吸附电中和、吸附架桥、沉淀物网捕等机理作用，使</w:t>
                  </w:r>
                  <w:r>
                    <w:rPr>
                      <w:rFonts w:hint="default" w:ascii="Times New Roman" w:hAnsi="Times New Roman" w:eastAsia="宋体" w:cs="Times New Roman"/>
                      <w:color w:val="000000" w:themeColor="text1"/>
                      <w:sz w:val="21"/>
                      <w:szCs w:val="21"/>
                      <w:highlight w:val="none"/>
                      <w:u w:val="none" w:color="auto"/>
                      <w:lang w:eastAsia="zh-CN" w:bidi="en-US"/>
                      <w14:textFill>
                        <w14:solidFill>
                          <w14:schemeClr w14:val="tx1"/>
                        </w14:solidFill>
                      </w14:textFill>
                    </w:rPr>
                    <w:t>水中</w:t>
                  </w:r>
                  <w:r>
                    <w:rPr>
                      <w:rFonts w:hint="default" w:ascii="Times New Roman" w:hAnsi="Times New Roman" w:eastAsia="宋体" w:cs="Times New Roman"/>
                      <w:color w:val="000000" w:themeColor="text1"/>
                      <w:sz w:val="21"/>
                      <w:szCs w:val="21"/>
                      <w:highlight w:val="none"/>
                      <w:u w:val="none" w:color="auto"/>
                      <w:lang w:bidi="en-US"/>
                      <w14:textFill>
                        <w14:solidFill>
                          <w14:schemeClr w14:val="tx1"/>
                        </w14:solidFill>
                      </w14:textFill>
                    </w:rPr>
                    <w:t>细微悬浮粒子和胶体离子脱稳，聚集、絮凝、混凝、沉淀，达到净化处理效果。 聚合氯化铝</w:t>
                  </w:r>
                  <w:r>
                    <w:rPr>
                      <w:rFonts w:hint="default" w:ascii="Times New Roman" w:hAnsi="Times New Roman" w:eastAsia="宋体" w:cs="Times New Roman"/>
                      <w:color w:val="000000" w:themeColor="text1"/>
                      <w:sz w:val="21"/>
                      <w:szCs w:val="21"/>
                      <w:highlight w:val="none"/>
                      <w:u w:val="none" w:color="auto"/>
                      <w:lang w:eastAsia="zh-CN" w:bidi="en-US"/>
                      <w14:textFill>
                        <w14:solidFill>
                          <w14:schemeClr w14:val="tx1"/>
                        </w14:solidFill>
                      </w14:textFill>
                    </w:rPr>
                    <w:t>与其他</w:t>
                  </w:r>
                  <w:r>
                    <w:rPr>
                      <w:rFonts w:hint="default" w:ascii="Times New Roman" w:hAnsi="Times New Roman" w:eastAsia="宋体" w:cs="Times New Roman"/>
                      <w:color w:val="000000" w:themeColor="text1"/>
                      <w:sz w:val="21"/>
                      <w:szCs w:val="21"/>
                      <w:highlight w:val="none"/>
                      <w:u w:val="none" w:color="auto"/>
                      <w:lang w:bidi="en-US"/>
                      <w14:textFill>
                        <w14:solidFill>
                          <w14:schemeClr w14:val="tx1"/>
                        </w14:solidFill>
                      </w14:textFill>
                    </w:rPr>
                    <w:t>混凝剂相比，具有以下优点：应用范围广，适应性广泛。易快速形成大的矾花，沉淀性能好。适宜的pH值范围较宽（5－9间），且处理后水的pH值和碱度下降小。水温低时，仍可保持稳定的沉淀效果。碱化度比其它铝盐、铁盐高，对设备侵蚀作用小。</w:t>
                  </w:r>
                </w:p>
              </w:tc>
            </w:tr>
            <w:tr w14:paraId="1F52F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4" w:type="dxa"/>
                  <w:gridSpan w:val="2"/>
                  <w:shd w:val="clear" w:color="auto" w:fill="auto"/>
                  <w:vAlign w:val="center"/>
                </w:tcPr>
                <w:p w14:paraId="35154A8B">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PAM</w:t>
                  </w:r>
                </w:p>
              </w:tc>
              <w:tc>
                <w:tcPr>
                  <w:tcW w:w="6954" w:type="dxa"/>
                  <w:vAlign w:val="center"/>
                </w:tcPr>
                <w:p w14:paraId="1C8F6CE3">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u w:val="none" w:color="auto"/>
                      <w:lang w:bidi="en-US"/>
                      <w14:textFill>
                        <w14:solidFill>
                          <w14:schemeClr w14:val="tx1"/>
                        </w14:solidFill>
                      </w14:textFill>
                    </w:rPr>
                    <w:t>名称：聚丙烯酰胺，英文名称：Polyacrylamide，缩写PAM。分子式：C</w:t>
                  </w:r>
                  <w:r>
                    <w:rPr>
                      <w:rFonts w:hint="default" w:ascii="Times New Roman" w:hAnsi="Times New Roman" w:eastAsia="宋体" w:cs="Times New Roman"/>
                      <w:color w:val="000000" w:themeColor="text1"/>
                      <w:sz w:val="21"/>
                      <w:szCs w:val="21"/>
                      <w:highlight w:val="none"/>
                      <w:u w:val="none" w:color="auto"/>
                      <w:vertAlign w:val="subscript"/>
                      <w:lang w:bidi="en-US"/>
                      <w14:textFill>
                        <w14:solidFill>
                          <w14:schemeClr w14:val="tx1"/>
                        </w14:solidFill>
                      </w14:textFill>
                    </w:rPr>
                    <w:t>3</w:t>
                  </w:r>
                  <w:r>
                    <w:rPr>
                      <w:rFonts w:hint="default" w:ascii="Times New Roman" w:hAnsi="Times New Roman" w:eastAsia="宋体" w:cs="Times New Roman"/>
                      <w:color w:val="000000" w:themeColor="text1"/>
                      <w:sz w:val="21"/>
                      <w:szCs w:val="21"/>
                      <w:highlight w:val="none"/>
                      <w:u w:val="none" w:color="auto"/>
                      <w:lang w:bidi="en-US"/>
                      <w14:textFill>
                        <w14:solidFill>
                          <w14:schemeClr w14:val="tx1"/>
                        </w14:solidFill>
                      </w14:textFill>
                    </w:rPr>
                    <w:t>H</w:t>
                  </w:r>
                  <w:r>
                    <w:rPr>
                      <w:rFonts w:hint="default" w:ascii="Times New Roman" w:hAnsi="Times New Roman" w:eastAsia="宋体" w:cs="Times New Roman"/>
                      <w:color w:val="000000" w:themeColor="text1"/>
                      <w:sz w:val="21"/>
                      <w:szCs w:val="21"/>
                      <w:highlight w:val="none"/>
                      <w:u w:val="none" w:color="auto"/>
                      <w:vertAlign w:val="subscript"/>
                      <w:lang w:bidi="en-US"/>
                      <w14:textFill>
                        <w14:solidFill>
                          <w14:schemeClr w14:val="tx1"/>
                        </w14:solidFill>
                      </w14:textFill>
                    </w:rPr>
                    <w:t>5</w:t>
                  </w:r>
                  <w:r>
                    <w:rPr>
                      <w:rFonts w:hint="default" w:ascii="Times New Roman" w:hAnsi="Times New Roman" w:eastAsia="宋体" w:cs="Times New Roman"/>
                      <w:color w:val="000000" w:themeColor="text1"/>
                      <w:sz w:val="21"/>
                      <w:szCs w:val="21"/>
                      <w:highlight w:val="none"/>
                      <w:u w:val="none" w:color="auto"/>
                      <w:lang w:bidi="en-US"/>
                      <w14:textFill>
                        <w14:solidFill>
                          <w14:schemeClr w14:val="tx1"/>
                        </w14:solidFill>
                      </w14:textFill>
                    </w:rPr>
                    <w:t>NO。俗称絮凝剂或凝聚剂，是线状高分子聚合物，分子量在300-2500万之间，固体产品外观为白色粉颗，液态为无色粘稠胶体状，易溶于水，几乎不溶于有机溶剂。应用时宜在常温下溶解，温度超过150℃时易分解。属非危险品、无毒、无腐蚀性。固体PAM有吸湿性、絮凝性、</w:t>
                  </w:r>
                  <w:r>
                    <w:rPr>
                      <w:rFonts w:hint="default" w:ascii="Times New Roman" w:hAnsi="Times New Roman" w:eastAsia="宋体" w:cs="Times New Roman"/>
                      <w:color w:val="000000" w:themeColor="text1"/>
                      <w:sz w:val="21"/>
                      <w:szCs w:val="21"/>
                      <w:highlight w:val="none"/>
                      <w:u w:val="none" w:color="auto"/>
                      <w:lang w:eastAsia="zh-CN" w:bidi="en-US"/>
                      <w14:textFill>
                        <w14:solidFill>
                          <w14:schemeClr w14:val="tx1"/>
                        </w14:solidFill>
                      </w14:textFill>
                    </w:rPr>
                    <w:t>黏合</w:t>
                  </w:r>
                  <w:r>
                    <w:rPr>
                      <w:rFonts w:hint="default" w:ascii="Times New Roman" w:hAnsi="Times New Roman" w:eastAsia="宋体" w:cs="Times New Roman"/>
                      <w:color w:val="000000" w:themeColor="text1"/>
                      <w:sz w:val="21"/>
                      <w:szCs w:val="21"/>
                      <w:highlight w:val="none"/>
                      <w:u w:val="none" w:color="auto"/>
                      <w:lang w:bidi="en-US"/>
                      <w14:textFill>
                        <w14:solidFill>
                          <w14:schemeClr w14:val="tx1"/>
                        </w14:solidFill>
                      </w14:textFill>
                    </w:rPr>
                    <w:t>性、降阻性、增稠性、同时稳定性好。该产品的分子能与分散于溶液中的悬浮粒子架桥吸附，有着极强的絮凝作用。密度=1.3。</w:t>
                  </w:r>
                </w:p>
              </w:tc>
            </w:tr>
            <w:tr w14:paraId="35499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4" w:type="dxa"/>
                  <w:gridSpan w:val="2"/>
                  <w:vAlign w:val="center"/>
                </w:tcPr>
                <w:p w14:paraId="155755B0">
                  <w:pPr>
                    <w:pStyle w:val="42"/>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cs="Times New Roman"/>
                      <w:color w:val="auto"/>
                      <w:sz w:val="21"/>
                      <w:szCs w:val="21"/>
                      <w:highlight w:val="none"/>
                      <w:vertAlign w:val="baseline"/>
                      <w:lang w:val="en-US" w:eastAsia="zh-CN"/>
                    </w:rPr>
                    <w:t>生物质燃料</w:t>
                  </w:r>
                </w:p>
              </w:tc>
              <w:tc>
                <w:tcPr>
                  <w:tcW w:w="6954" w:type="dxa"/>
                  <w:vAlign w:val="center"/>
                </w:tcPr>
                <w:p w14:paraId="40D6BE9B">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cs="Times New Roman"/>
                      <w:color w:val="auto"/>
                      <w:sz w:val="21"/>
                      <w:szCs w:val="21"/>
                      <w:highlight w:val="none"/>
                      <w:vertAlign w:val="baseline"/>
                      <w:lang w:val="en-US" w:eastAsia="zh-CN"/>
                    </w:rPr>
                    <w:t>根据生物质燃料检测报告（见附件），本项目所使用的生物质燃料灰分3.82%、含硫量0.045%、低位发热量3877cal/g、高位发热量4130cal/g</w:t>
                  </w:r>
                </w:p>
              </w:tc>
            </w:tr>
          </w:tbl>
          <w:p w14:paraId="0F027595">
            <w:pPr>
              <w:pStyle w:val="42"/>
              <w:keepNext w:val="0"/>
              <w:keepLines w:val="0"/>
              <w:suppressLineNumbers w:val="0"/>
              <w:spacing w:before="0" w:beforeAutospacing="0" w:after="0" w:afterAutospacing="0"/>
              <w:ind w:left="0" w:right="0"/>
              <w:rPr>
                <w:rFonts w:hint="default" w:ascii="Times New Roman" w:cs="Times New Roman"/>
                <w:color w:val="auto"/>
                <w:sz w:val="24"/>
                <w:highlight w:val="yellow"/>
                <w:vertAlign w:val="baseline"/>
                <w:lang w:val="en-US" w:eastAsia="zh-CN"/>
              </w:rPr>
            </w:pPr>
          </w:p>
          <w:p w14:paraId="746F5679">
            <w:pPr>
              <w:pStyle w:val="2"/>
              <w:keepLines w:val="0"/>
              <w:numPr>
                <w:ilvl w:val="0"/>
                <w:numId w:val="0"/>
              </w:numPr>
              <w:suppressLineNumbers w:val="0"/>
              <w:bidi w:val="0"/>
              <w:adjustRightInd w:val="0"/>
              <w:spacing w:before="0" w:beforeLines="0" w:beforeAutospacing="0" w:after="0" w:afterAutospacing="0"/>
              <w:ind w:leftChars="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6</w:t>
            </w:r>
            <w:r>
              <w:rPr>
                <w:rFonts w:hint="default" w:cs="Times New Roman"/>
                <w:color w:val="auto"/>
                <w:highlight w:val="none"/>
                <w:lang w:val="en-US" w:eastAsia="zh-CN"/>
              </w:rPr>
              <w:t>产品方案</w:t>
            </w:r>
          </w:p>
          <w:p w14:paraId="18BE3DBE">
            <w:pPr>
              <w:keepNext w:val="0"/>
              <w:keepLines w:val="0"/>
              <w:suppressLineNumbers w:val="0"/>
              <w:spacing w:before="0" w:beforeAutospacing="0" w:after="0" w:afterAutospacing="0" w:line="360" w:lineRule="auto"/>
              <w:ind w:left="0" w:right="0" w:firstLine="480" w:firstLineChars="200"/>
              <w:rPr>
                <w:rFonts w:hint="default" w:cs="Times New Roman"/>
                <w:color w:val="auto"/>
                <w:highlight w:val="none"/>
                <w:lang w:val="en-US" w:eastAsia="zh-CN"/>
              </w:rPr>
            </w:pPr>
            <w:r>
              <w:rPr>
                <w:rFonts w:hint="default" w:cs="Times New Roman"/>
                <w:color w:val="auto"/>
                <w:highlight w:val="none"/>
                <w:lang w:val="en-US" w:eastAsia="zh-CN"/>
              </w:rPr>
              <w:t>本项目具体产品方案见下表。</w:t>
            </w:r>
          </w:p>
          <w:p w14:paraId="79BCABD3">
            <w:pPr>
              <w:pStyle w:val="36"/>
              <w:keepLines w:val="0"/>
              <w:numPr>
                <w:ilvl w:val="0"/>
                <w:numId w:val="0"/>
              </w:numPr>
              <w:suppressLineNumbers w:val="0"/>
              <w:bidi w:val="0"/>
              <w:spacing w:before="0" w:beforeAutospacing="0" w:after="0" w:afterAutospacing="0"/>
              <w:ind w:left="0" w:leftChars="0" w:right="0" w:rightChars="0" w:firstLine="0" w:firstLineChars="0"/>
              <w:jc w:val="center"/>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表2</w:t>
            </w:r>
            <w:r>
              <w:rPr>
                <w:rFonts w:hint="default" w:cs="Times New Roman"/>
                <w:b/>
                <w:bCs/>
                <w:color w:val="auto"/>
                <w:sz w:val="21"/>
                <w:szCs w:val="21"/>
                <w:highlight w:val="none"/>
                <w:lang w:val="en-US" w:eastAsia="zh-CN"/>
              </w:rPr>
              <w:t>.1</w:t>
            </w:r>
            <w:r>
              <w:rPr>
                <w:rFonts w:hint="default" w:ascii="Times New Roman" w:hAnsi="Times New Roman" w:eastAsia="宋体" w:cs="Times New Roman"/>
                <w:b/>
                <w:bCs/>
                <w:color w:val="auto"/>
                <w:sz w:val="21"/>
                <w:szCs w:val="21"/>
                <w:highlight w:val="none"/>
                <w:lang w:val="en-US" w:eastAsia="zh-CN"/>
              </w:rPr>
              <w:t>-</w:t>
            </w:r>
            <w:r>
              <w:rPr>
                <w:rFonts w:hint="default" w:cs="Times New Roman"/>
                <w:b/>
                <w:bCs/>
                <w:color w:val="auto"/>
                <w:sz w:val="21"/>
                <w:szCs w:val="21"/>
                <w:highlight w:val="none"/>
                <w:lang w:val="en-US" w:eastAsia="zh-CN"/>
              </w:rPr>
              <w:t>5</w:t>
            </w:r>
            <w:r>
              <w:rPr>
                <w:rFonts w:hint="default" w:ascii="Times New Roman" w:hAnsi="Times New Roman" w:eastAsia="宋体" w:cs="Times New Roman"/>
                <w:b/>
                <w:bCs/>
                <w:color w:val="auto"/>
                <w:sz w:val="21"/>
                <w:szCs w:val="21"/>
                <w:highlight w:val="none"/>
                <w:lang w:val="en-US" w:eastAsia="zh-CN"/>
              </w:rPr>
              <w:t xml:space="preserve">  产品方案</w:t>
            </w:r>
          </w:p>
          <w:tbl>
            <w:tblPr>
              <w:tblStyle w:val="28"/>
              <w:tblW w:w="848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87"/>
              <w:gridCol w:w="898"/>
              <w:gridCol w:w="1034"/>
              <w:gridCol w:w="4301"/>
              <w:gridCol w:w="1765"/>
            </w:tblGrid>
            <w:tr w14:paraId="6C51C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86" w:type="pct"/>
                  <w:tcBorders>
                    <w:top w:val="single" w:color="auto" w:sz="4" w:space="0"/>
                    <w:left w:val="single" w:color="auto" w:sz="0" w:space="0"/>
                    <w:bottom w:val="single" w:color="auto" w:sz="4" w:space="0"/>
                    <w:right w:val="single" w:color="auto" w:sz="4" w:space="0"/>
                  </w:tcBorders>
                  <w:shd w:val="clear" w:color="auto" w:fill="auto"/>
                  <w:noWrap/>
                  <w:vAlign w:val="center"/>
                </w:tcPr>
                <w:p w14:paraId="6DAE3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序号</w:t>
                  </w:r>
                </w:p>
              </w:tc>
              <w:tc>
                <w:tcPr>
                  <w:tcW w:w="52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FECA2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产品名称</w:t>
                  </w:r>
                </w:p>
              </w:tc>
              <w:tc>
                <w:tcPr>
                  <w:tcW w:w="60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7454C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年产量（吨）</w:t>
                  </w:r>
                </w:p>
              </w:tc>
              <w:tc>
                <w:tcPr>
                  <w:tcW w:w="253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F3AFB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备注</w:t>
                  </w:r>
                </w:p>
              </w:tc>
              <w:tc>
                <w:tcPr>
                  <w:tcW w:w="10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0099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产品质量标准</w:t>
                  </w:r>
                </w:p>
              </w:tc>
            </w:tr>
            <w:tr w14:paraId="6EBCF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28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08ECB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52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E0AEA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干黄花菜</w:t>
                  </w:r>
                </w:p>
              </w:tc>
              <w:tc>
                <w:tcPr>
                  <w:tcW w:w="60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3BE56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eastAsia" w:cs="Times New Roman"/>
                      <w:i w:val="0"/>
                      <w:iCs w:val="0"/>
                      <w:color w:val="000000"/>
                      <w:kern w:val="0"/>
                      <w:sz w:val="21"/>
                      <w:szCs w:val="21"/>
                      <w:u w:val="none"/>
                      <w:lang w:val="en-US" w:eastAsia="zh-CN" w:bidi="ar"/>
                    </w:rPr>
                    <w:t>300</w:t>
                  </w:r>
                </w:p>
              </w:tc>
              <w:tc>
                <w:tcPr>
                  <w:tcW w:w="2534" w:type="pct"/>
                  <w:tcBorders>
                    <w:top w:val="single" w:color="auto" w:sz="4" w:space="0"/>
                    <w:left w:val="single" w:color="auto" w:sz="4" w:space="0"/>
                    <w:bottom w:val="single" w:color="auto" w:sz="4" w:space="0"/>
                    <w:right w:val="single" w:color="auto" w:sz="4" w:space="0"/>
                  </w:tcBorders>
                  <w:shd w:val="clear" w:color="auto" w:fill="auto"/>
                  <w:vAlign w:val="center"/>
                </w:tcPr>
                <w:p w14:paraId="7F45D4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其中</w:t>
                  </w:r>
                  <w:r>
                    <w:rPr>
                      <w:rFonts w:hint="eastAsia" w:cs="Times New Roman"/>
                      <w:i w:val="0"/>
                      <w:iCs w:val="0"/>
                      <w:color w:val="000000"/>
                      <w:kern w:val="0"/>
                      <w:sz w:val="21"/>
                      <w:szCs w:val="21"/>
                      <w:u w:val="none"/>
                      <w:lang w:val="en-US" w:eastAsia="zh-CN" w:bidi="ar"/>
                    </w:rPr>
                    <w:t>150</w:t>
                  </w:r>
                  <w:r>
                    <w:rPr>
                      <w:rFonts w:hint="default" w:ascii="Times New Roman" w:hAnsi="Times New Roman" w:eastAsia="宋体" w:cs="Times New Roman"/>
                      <w:i w:val="0"/>
                      <w:iCs w:val="0"/>
                      <w:color w:val="000000"/>
                      <w:kern w:val="0"/>
                      <w:sz w:val="21"/>
                      <w:szCs w:val="21"/>
                      <w:u w:val="none"/>
                      <w:lang w:val="en-US" w:eastAsia="zh-CN" w:bidi="ar"/>
                    </w:rPr>
                    <w:t>吨外售，</w:t>
                  </w:r>
                  <w:r>
                    <w:rPr>
                      <w:rFonts w:hint="eastAsia" w:cs="Times New Roman"/>
                      <w:i w:val="0"/>
                      <w:iCs w:val="0"/>
                      <w:color w:val="000000"/>
                      <w:kern w:val="0"/>
                      <w:sz w:val="21"/>
                      <w:szCs w:val="21"/>
                      <w:u w:val="none"/>
                      <w:lang w:val="en-US" w:eastAsia="zh-CN" w:bidi="ar"/>
                    </w:rPr>
                    <w:t>150</w:t>
                  </w:r>
                  <w:r>
                    <w:rPr>
                      <w:rFonts w:hint="default" w:ascii="Times New Roman" w:hAnsi="Times New Roman" w:eastAsia="宋体" w:cs="Times New Roman"/>
                      <w:i w:val="0"/>
                      <w:iCs w:val="0"/>
                      <w:color w:val="000000"/>
                      <w:kern w:val="0"/>
                      <w:sz w:val="21"/>
                      <w:szCs w:val="21"/>
                      <w:u w:val="none"/>
                      <w:lang w:val="en-US" w:eastAsia="zh-CN" w:bidi="ar"/>
                    </w:rPr>
                    <w:t>吨用于即食黄花菜生产（7t鲜黄花菜产1t干黄花菜）</w:t>
                  </w:r>
                  <w:r>
                    <w:rPr>
                      <w:rFonts w:hint="eastAsia" w:cs="Times New Roman"/>
                      <w:i w:val="0"/>
                      <w:iCs w:val="0"/>
                      <w:color w:val="000000"/>
                      <w:kern w:val="0"/>
                      <w:sz w:val="21"/>
                      <w:szCs w:val="21"/>
                      <w:u w:val="none"/>
                      <w:lang w:val="en-US" w:eastAsia="zh-CN" w:bidi="ar"/>
                    </w:rPr>
                    <w:t>，2100吨鲜黄花菜原料</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14:paraId="104895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《地理标志产品 祁东黄花菜》（DB43/T1452-2018）</w:t>
                  </w:r>
                </w:p>
              </w:tc>
            </w:tr>
            <w:tr w14:paraId="1840B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8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7A3C0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52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5EDE6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即食黄花菜</w:t>
                  </w:r>
                </w:p>
              </w:tc>
              <w:tc>
                <w:tcPr>
                  <w:tcW w:w="60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50650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eastAsia" w:cs="Times New Roman"/>
                      <w:i w:val="0"/>
                      <w:iCs w:val="0"/>
                      <w:color w:val="000000"/>
                      <w:kern w:val="0"/>
                      <w:sz w:val="21"/>
                      <w:szCs w:val="21"/>
                      <w:u w:val="none"/>
                      <w:lang w:val="en-US" w:eastAsia="zh-CN" w:bidi="ar"/>
                    </w:rPr>
                    <w:t>150</w:t>
                  </w:r>
                </w:p>
              </w:tc>
              <w:tc>
                <w:tcPr>
                  <w:tcW w:w="253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EE58D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150吨干黄花菜原料</w:t>
                  </w:r>
                </w:p>
              </w:tc>
              <w:tc>
                <w:tcPr>
                  <w:tcW w:w="1040" w:type="pct"/>
                  <w:vMerge w:val="restart"/>
                  <w:tcBorders>
                    <w:top w:val="single" w:color="auto" w:sz="4" w:space="0"/>
                    <w:left w:val="single" w:color="auto" w:sz="4" w:space="0"/>
                    <w:right w:val="single" w:color="auto" w:sz="4" w:space="0"/>
                  </w:tcBorders>
                  <w:shd w:val="clear" w:color="auto" w:fill="auto"/>
                  <w:noWrap/>
                  <w:vAlign w:val="center"/>
                </w:tcPr>
                <w:p w14:paraId="69FAA4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sz w:val="21"/>
                      <w:szCs w:val="21"/>
                      <w:u w:val="none"/>
                      <w:lang w:val="en-US" w:eastAsia="zh-CN"/>
                    </w:rPr>
                  </w:pPr>
                  <w:r>
                    <w:rPr>
                      <w:rFonts w:hint="eastAsia" w:cs="Times New Roman"/>
                      <w:i w:val="0"/>
                      <w:iCs w:val="0"/>
                      <w:color w:val="000000"/>
                      <w:sz w:val="21"/>
                      <w:szCs w:val="21"/>
                      <w:u w:val="none"/>
                      <w:lang w:val="en-US" w:eastAsia="zh-CN"/>
                    </w:rPr>
                    <w:t>《 酱腌菜》（SB/T10439-2007）</w:t>
                  </w:r>
                </w:p>
              </w:tc>
            </w:tr>
            <w:tr w14:paraId="56D68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8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A7472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52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BE9CB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cs="Times New Roman"/>
                      <w:i w:val="0"/>
                      <w:iCs w:val="0"/>
                      <w:color w:val="000000"/>
                      <w:kern w:val="0"/>
                      <w:sz w:val="21"/>
                      <w:szCs w:val="21"/>
                      <w:u w:val="none"/>
                      <w:lang w:val="en-US" w:eastAsia="zh-CN" w:bidi="ar"/>
                    </w:rPr>
                    <w:t>盐水渍菜</w:t>
                  </w:r>
                </w:p>
              </w:tc>
              <w:tc>
                <w:tcPr>
                  <w:tcW w:w="60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DF580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lang w:val="en-US"/>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5900</w:t>
                  </w:r>
                </w:p>
              </w:tc>
              <w:tc>
                <w:tcPr>
                  <w:tcW w:w="253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0B34F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cs="Times New Roman"/>
                      <w:i w:val="0"/>
                      <w:iCs w:val="0"/>
                      <w:color w:val="000000" w:themeColor="text1"/>
                      <w:sz w:val="21"/>
                      <w:szCs w:val="21"/>
                      <w:u w:val="none"/>
                      <w:lang w:val="en-US" w:eastAsia="zh-CN"/>
                      <w14:textFill>
                        <w14:solidFill>
                          <w14:schemeClr w14:val="tx1"/>
                        </w14:solidFill>
                      </w14:textFill>
                    </w:rPr>
                    <w:t>5900吨为黄花菜重量，实际带盐水包装，规格为2.5kg/包（其中0.75kg黄花菜、1.75kg盐水）</w:t>
                  </w:r>
                </w:p>
              </w:tc>
              <w:tc>
                <w:tcPr>
                  <w:tcW w:w="1040" w:type="pct"/>
                  <w:vMerge w:val="continue"/>
                  <w:tcBorders>
                    <w:left w:val="single" w:color="auto" w:sz="4" w:space="0"/>
                    <w:bottom w:val="single" w:color="auto" w:sz="4" w:space="0"/>
                    <w:right w:val="single" w:color="auto" w:sz="4" w:space="0"/>
                  </w:tcBorders>
                  <w:shd w:val="clear" w:color="auto" w:fill="auto"/>
                  <w:noWrap/>
                  <w:vAlign w:val="center"/>
                </w:tcPr>
                <w:p w14:paraId="51A67F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cs="Times New Roman"/>
                      <w:i w:val="0"/>
                      <w:iCs w:val="0"/>
                      <w:color w:val="000000" w:themeColor="text1"/>
                      <w:sz w:val="21"/>
                      <w:szCs w:val="21"/>
                      <w:u w:val="none"/>
                      <w:lang w:val="en-US" w:eastAsia="zh-CN"/>
                      <w14:textFill>
                        <w14:solidFill>
                          <w14:schemeClr w14:val="tx1"/>
                        </w14:solidFill>
                      </w14:textFill>
                    </w:rPr>
                  </w:pPr>
                </w:p>
              </w:tc>
            </w:tr>
          </w:tbl>
          <w:p w14:paraId="3EB5B788">
            <w:pPr>
              <w:pStyle w:val="2"/>
              <w:keepLines w:val="0"/>
              <w:numPr>
                <w:ilvl w:val="0"/>
                <w:numId w:val="0"/>
              </w:numPr>
              <w:suppressLineNumbers w:val="0"/>
              <w:bidi w:val="0"/>
              <w:adjustRightInd w:val="0"/>
              <w:spacing w:before="0" w:beforeLines="0" w:beforeAutospacing="0" w:after="0" w:afterAutospacing="0" w:line="240" w:lineRule="auto"/>
              <w:ind w:leftChars="0" w:right="0"/>
              <w:jc w:val="center"/>
              <w:rPr>
                <w:rFonts w:hint="default" w:ascii="Times New Roman" w:hAnsi="Times New Roman" w:cs="Times New Roman"/>
                <w:color w:val="auto"/>
                <w:highlight w:val="yellow"/>
                <w:lang w:val="en-US" w:eastAsia="zh-CN"/>
              </w:rPr>
            </w:pPr>
          </w:p>
          <w:p w14:paraId="28BBB26A">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val="0"/>
              <w:snapToGrid w:val="0"/>
              <w:spacing w:before="0" w:beforeLines="0" w:beforeAutospacing="0" w:after="0" w:afterAutospacing="0" w:line="240" w:lineRule="auto"/>
              <w:ind w:left="0" w:leftChars="0" w:right="0"/>
              <w:jc w:val="center"/>
              <w:textAlignment w:val="auto"/>
              <w:outlineLvl w:val="9"/>
              <w:rPr>
                <w:rFonts w:hint="eastAsia" w:cs="Times New Roman"/>
                <w:color w:val="auto"/>
                <w:highlight w:val="none"/>
                <w:lang w:val="en-US" w:eastAsia="zh-CN"/>
              </w:rPr>
            </w:pPr>
            <w:r>
              <w:rPr>
                <w:rFonts w:hint="eastAsia" w:cs="Times New Roman"/>
                <w:b/>
                <w:bCs/>
                <w:color w:val="auto"/>
                <w:sz w:val="21"/>
                <w:szCs w:val="21"/>
                <w:highlight w:val="none"/>
                <w:lang w:val="en-US" w:eastAsia="zh-CN"/>
              </w:rPr>
              <w:t>表2.1-6 干黄花菜产品标准</w:t>
            </w:r>
          </w:p>
          <w:tbl>
            <w:tblPr>
              <w:tblStyle w:val="29"/>
              <w:tblW w:w="84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6"/>
              <w:gridCol w:w="3046"/>
              <w:gridCol w:w="2806"/>
            </w:tblGrid>
            <w:tr w14:paraId="19B02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18" w:type="dxa"/>
                  <w:gridSpan w:val="3"/>
                </w:tcPr>
                <w:p w14:paraId="447DC6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感官要求</w:t>
                  </w:r>
                </w:p>
              </w:tc>
            </w:tr>
            <w:tr w14:paraId="0BCBA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6" w:type="dxa"/>
                  <w:vAlign w:val="center"/>
                </w:tcPr>
                <w:p w14:paraId="78E0B3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项目</w:t>
                  </w:r>
                </w:p>
              </w:tc>
              <w:tc>
                <w:tcPr>
                  <w:tcW w:w="3046" w:type="dxa"/>
                  <w:vAlign w:val="center"/>
                </w:tcPr>
                <w:p w14:paraId="25DF12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特级</w:t>
                  </w:r>
                </w:p>
              </w:tc>
              <w:tc>
                <w:tcPr>
                  <w:tcW w:w="2806" w:type="dxa"/>
                  <w:vAlign w:val="center"/>
                </w:tcPr>
                <w:p w14:paraId="35D5D2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优级</w:t>
                  </w:r>
                </w:p>
              </w:tc>
            </w:tr>
            <w:tr w14:paraId="22F7C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6" w:type="dxa"/>
                  <w:vAlign w:val="center"/>
                </w:tcPr>
                <w:p w14:paraId="1906C8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色泽</w:t>
                  </w:r>
                </w:p>
              </w:tc>
              <w:tc>
                <w:tcPr>
                  <w:tcW w:w="3046" w:type="dxa"/>
                  <w:vAlign w:val="center"/>
                </w:tcPr>
                <w:p w14:paraId="4C43AD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黄褐或草青色</w:t>
                  </w:r>
                </w:p>
              </w:tc>
              <w:tc>
                <w:tcPr>
                  <w:tcW w:w="2806" w:type="dxa"/>
                  <w:vAlign w:val="center"/>
                </w:tcPr>
                <w:p w14:paraId="0EED2B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褐黄或浅青色</w:t>
                  </w:r>
                </w:p>
              </w:tc>
            </w:tr>
            <w:tr w14:paraId="34426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6" w:type="dxa"/>
                  <w:vAlign w:val="center"/>
                </w:tcPr>
                <w:p w14:paraId="6971D4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组织形态</w:t>
                  </w:r>
                </w:p>
              </w:tc>
              <w:tc>
                <w:tcPr>
                  <w:tcW w:w="3046" w:type="dxa"/>
                  <w:vAlign w:val="center"/>
                </w:tcPr>
                <w:p w14:paraId="474F58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sz w:val="21"/>
                      <w:szCs w:val="21"/>
                      <w:vertAlign w:val="baseline"/>
                      <w:lang w:val="en-US" w:eastAsia="zh-CN"/>
                    </w:rPr>
                  </w:pPr>
                  <w:r>
                    <w:rPr>
                      <w:rFonts w:hint="eastAsia"/>
                      <w:sz w:val="21"/>
                      <w:szCs w:val="21"/>
                      <w:vertAlign w:val="baseline"/>
                      <w:lang w:val="en-US" w:eastAsia="zh-CN"/>
                    </w:rPr>
                    <w:t>条形均匀，长10-15cm，开花菜、油条菜比例均≤1%，肉质肥厚、质地脆嫩。无霉变、无生虫</w:t>
                  </w:r>
                </w:p>
              </w:tc>
              <w:tc>
                <w:tcPr>
                  <w:tcW w:w="2806" w:type="dxa"/>
                  <w:vAlign w:val="center"/>
                </w:tcPr>
                <w:p w14:paraId="79F90A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sz w:val="21"/>
                      <w:szCs w:val="21"/>
                      <w:vertAlign w:val="baseline"/>
                      <w:lang w:val="en-US" w:eastAsia="zh-CN"/>
                    </w:rPr>
                  </w:pPr>
                  <w:r>
                    <w:rPr>
                      <w:rFonts w:hint="eastAsia"/>
                      <w:sz w:val="21"/>
                      <w:szCs w:val="21"/>
                      <w:vertAlign w:val="baseline"/>
                      <w:lang w:val="en-US" w:eastAsia="zh-CN"/>
                    </w:rPr>
                    <w:t>条形均匀，开花菜、油条菜比例均≤2%，肉质厚、质地脆。无霉变、无生虫</w:t>
                  </w:r>
                </w:p>
              </w:tc>
            </w:tr>
            <w:tr w14:paraId="6F97E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6" w:type="dxa"/>
                  <w:vAlign w:val="center"/>
                </w:tcPr>
                <w:p w14:paraId="29E334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气味滋味</w:t>
                  </w:r>
                </w:p>
              </w:tc>
              <w:tc>
                <w:tcPr>
                  <w:tcW w:w="3046" w:type="dxa"/>
                  <w:vAlign w:val="center"/>
                </w:tcPr>
                <w:p w14:paraId="627C27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sz w:val="21"/>
                      <w:szCs w:val="21"/>
                      <w:vertAlign w:val="baseline"/>
                      <w:lang w:val="en-US" w:eastAsia="zh-CN"/>
                    </w:rPr>
                  </w:pPr>
                  <w:r>
                    <w:rPr>
                      <w:rFonts w:hint="eastAsia"/>
                      <w:sz w:val="21"/>
                      <w:szCs w:val="21"/>
                      <w:vertAlign w:val="baseline"/>
                      <w:lang w:val="en-US" w:eastAsia="zh-CN"/>
                    </w:rPr>
                    <w:t>气味滋味香浓，无霉味及其他异味</w:t>
                  </w:r>
                </w:p>
              </w:tc>
              <w:tc>
                <w:tcPr>
                  <w:tcW w:w="2806" w:type="dxa"/>
                  <w:vAlign w:val="center"/>
                </w:tcPr>
                <w:p w14:paraId="2C4317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sz w:val="21"/>
                      <w:szCs w:val="21"/>
                      <w:vertAlign w:val="baseline"/>
                      <w:lang w:val="en-US" w:eastAsia="zh-CN"/>
                    </w:rPr>
                  </w:pPr>
                  <w:r>
                    <w:rPr>
                      <w:rFonts w:hint="eastAsia"/>
                      <w:sz w:val="21"/>
                      <w:szCs w:val="21"/>
                      <w:vertAlign w:val="baseline"/>
                      <w:lang w:val="en-US" w:eastAsia="zh-CN"/>
                    </w:rPr>
                    <w:t>气味滋味香，无霉味及其他异味</w:t>
                  </w:r>
                </w:p>
              </w:tc>
            </w:tr>
            <w:tr w14:paraId="11DEA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6" w:type="dxa"/>
                  <w:vAlign w:val="center"/>
                </w:tcPr>
                <w:p w14:paraId="018804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杂质</w:t>
                  </w:r>
                </w:p>
              </w:tc>
              <w:tc>
                <w:tcPr>
                  <w:tcW w:w="5852" w:type="dxa"/>
                  <w:gridSpan w:val="2"/>
                  <w:vAlign w:val="center"/>
                </w:tcPr>
                <w:p w14:paraId="0BAE9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sz w:val="21"/>
                      <w:szCs w:val="21"/>
                      <w:vertAlign w:val="baseline"/>
                      <w:lang w:val="en-US" w:eastAsia="zh-CN"/>
                    </w:rPr>
                  </w:pPr>
                  <w:r>
                    <w:rPr>
                      <w:rFonts w:hint="eastAsia"/>
                      <w:sz w:val="21"/>
                      <w:szCs w:val="21"/>
                      <w:vertAlign w:val="baseline"/>
                      <w:lang w:val="en-US" w:eastAsia="zh-CN"/>
                    </w:rPr>
                    <w:t>无正常视力可见外来杂质</w:t>
                  </w:r>
                </w:p>
              </w:tc>
            </w:tr>
            <w:tr w14:paraId="13823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8418" w:type="dxa"/>
                  <w:gridSpan w:val="3"/>
                  <w:vAlign w:val="center"/>
                </w:tcPr>
                <w:p w14:paraId="5FA32D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理化指标</w:t>
                  </w:r>
                </w:p>
              </w:tc>
            </w:tr>
            <w:tr w14:paraId="7BAD5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6" w:type="dxa"/>
                  <w:vAlign w:val="center"/>
                </w:tcPr>
                <w:p w14:paraId="06BCD3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水份（%）≤</w:t>
                  </w:r>
                </w:p>
              </w:tc>
              <w:tc>
                <w:tcPr>
                  <w:tcW w:w="5852" w:type="dxa"/>
                  <w:gridSpan w:val="2"/>
                  <w:vAlign w:val="center"/>
                </w:tcPr>
                <w:p w14:paraId="3C7158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15.0</w:t>
                  </w:r>
                </w:p>
              </w:tc>
            </w:tr>
            <w:tr w14:paraId="09E2F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6" w:type="dxa"/>
                  <w:vAlign w:val="center"/>
                </w:tcPr>
                <w:p w14:paraId="5DA1A6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总糖含量（%）≤</w:t>
                  </w:r>
                </w:p>
              </w:tc>
              <w:tc>
                <w:tcPr>
                  <w:tcW w:w="5852" w:type="dxa"/>
                  <w:gridSpan w:val="2"/>
                  <w:vAlign w:val="center"/>
                </w:tcPr>
                <w:p w14:paraId="4FCE4A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40</w:t>
                  </w:r>
                </w:p>
              </w:tc>
            </w:tr>
            <w:tr w14:paraId="1A8D4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6" w:type="dxa"/>
                  <w:vAlign w:val="center"/>
                </w:tcPr>
                <w:p w14:paraId="774083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蛋白质含量（%）≤</w:t>
                  </w:r>
                </w:p>
              </w:tc>
              <w:tc>
                <w:tcPr>
                  <w:tcW w:w="5852" w:type="dxa"/>
                  <w:gridSpan w:val="2"/>
                  <w:vAlign w:val="center"/>
                </w:tcPr>
                <w:p w14:paraId="532E4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11.0</w:t>
                  </w:r>
                </w:p>
              </w:tc>
            </w:tr>
            <w:tr w14:paraId="5B5BE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6" w:type="dxa"/>
                  <w:vAlign w:val="center"/>
                </w:tcPr>
                <w:p w14:paraId="4FBBA4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膳食纤维含量（%）≤</w:t>
                  </w:r>
                </w:p>
              </w:tc>
              <w:tc>
                <w:tcPr>
                  <w:tcW w:w="5852" w:type="dxa"/>
                  <w:gridSpan w:val="2"/>
                  <w:vAlign w:val="center"/>
                </w:tcPr>
                <w:p w14:paraId="3DFB35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25.0</w:t>
                  </w:r>
                </w:p>
              </w:tc>
            </w:tr>
          </w:tbl>
          <w:p w14:paraId="3F4A04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sz w:val="21"/>
                <w:szCs w:val="21"/>
                <w:lang w:val="en-US" w:eastAsia="zh-CN"/>
              </w:rPr>
            </w:pPr>
          </w:p>
          <w:p w14:paraId="1B841446">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val="0"/>
              <w:snapToGrid w:val="0"/>
              <w:spacing w:before="0" w:beforeLines="0" w:beforeAutospacing="0" w:after="0" w:afterAutospacing="0" w:line="240" w:lineRule="auto"/>
              <w:ind w:left="0" w:leftChars="0" w:right="0"/>
              <w:jc w:val="center"/>
              <w:textAlignment w:val="auto"/>
              <w:outlineLvl w:val="9"/>
              <w:rPr>
                <w:rFonts w:hint="eastAsia" w:cs="Times New Roman"/>
                <w:color w:val="auto"/>
                <w:highlight w:val="none"/>
                <w:lang w:val="en-US" w:eastAsia="zh-CN"/>
              </w:rPr>
            </w:pPr>
            <w:r>
              <w:rPr>
                <w:rFonts w:hint="eastAsia" w:cs="Times New Roman"/>
                <w:b/>
                <w:bCs/>
                <w:color w:val="auto"/>
                <w:sz w:val="21"/>
                <w:szCs w:val="21"/>
                <w:highlight w:val="none"/>
                <w:lang w:val="en-US" w:eastAsia="zh-CN"/>
              </w:rPr>
              <w:t>表2.1-7 即食黄花菜产品标准（酱渍菜）</w:t>
            </w:r>
          </w:p>
          <w:tbl>
            <w:tblPr>
              <w:tblStyle w:val="29"/>
              <w:tblW w:w="84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91"/>
              <w:gridCol w:w="4027"/>
            </w:tblGrid>
            <w:tr w14:paraId="744C4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8418" w:type="dxa"/>
                  <w:gridSpan w:val="2"/>
                  <w:vAlign w:val="center"/>
                </w:tcPr>
                <w:p w14:paraId="0AF9B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理化指标</w:t>
                  </w:r>
                </w:p>
              </w:tc>
            </w:tr>
            <w:tr w14:paraId="2444D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1" w:type="dxa"/>
                  <w:vAlign w:val="center"/>
                </w:tcPr>
                <w:p w14:paraId="14BB28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水份（g/100g）  ≤</w:t>
                  </w:r>
                </w:p>
              </w:tc>
              <w:tc>
                <w:tcPr>
                  <w:tcW w:w="4027" w:type="dxa"/>
                  <w:vAlign w:val="center"/>
                </w:tcPr>
                <w:p w14:paraId="67CA8A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r>
            <w:tr w14:paraId="1407F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1" w:type="dxa"/>
                  <w:vAlign w:val="center"/>
                </w:tcPr>
                <w:p w14:paraId="5F0CCF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食盐（以氯化钠计）（g/100g）   ≤</w:t>
                  </w:r>
                </w:p>
              </w:tc>
              <w:tc>
                <w:tcPr>
                  <w:tcW w:w="4027" w:type="dxa"/>
                  <w:vAlign w:val="center"/>
                </w:tcPr>
                <w:p w14:paraId="50DEF8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3</w:t>
                  </w:r>
                </w:p>
              </w:tc>
            </w:tr>
            <w:tr w14:paraId="6E0E0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1" w:type="dxa"/>
                  <w:vAlign w:val="center"/>
                </w:tcPr>
                <w:p w14:paraId="275573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总酸（以乳酸计）（g/100g）      ≤</w:t>
                  </w:r>
                </w:p>
              </w:tc>
              <w:tc>
                <w:tcPr>
                  <w:tcW w:w="4027" w:type="dxa"/>
                  <w:vAlign w:val="center"/>
                </w:tcPr>
                <w:p w14:paraId="36FC6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2</w:t>
                  </w:r>
                </w:p>
              </w:tc>
            </w:tr>
            <w:tr w14:paraId="0293F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1" w:type="dxa"/>
                  <w:vAlign w:val="center"/>
                </w:tcPr>
                <w:p w14:paraId="145A61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氨基酸态氮（以氮计）（g/100g）≤</w:t>
                  </w:r>
                </w:p>
              </w:tc>
              <w:tc>
                <w:tcPr>
                  <w:tcW w:w="4027" w:type="dxa"/>
                  <w:vAlign w:val="center"/>
                </w:tcPr>
                <w:p w14:paraId="3161EC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0.1</w:t>
                  </w:r>
                </w:p>
              </w:tc>
            </w:tr>
            <w:tr w14:paraId="0B2FF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1" w:type="dxa"/>
                  <w:vAlign w:val="center"/>
                </w:tcPr>
                <w:p w14:paraId="26C565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还原糖（以葡萄糖计）（g/100g）≤</w:t>
                  </w:r>
                </w:p>
              </w:tc>
              <w:tc>
                <w:tcPr>
                  <w:tcW w:w="4027" w:type="dxa"/>
                  <w:vAlign w:val="center"/>
                </w:tcPr>
                <w:p w14:paraId="08D553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1</w:t>
                  </w:r>
                </w:p>
              </w:tc>
            </w:tr>
          </w:tbl>
          <w:p w14:paraId="2090AE01">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val="0"/>
              <w:snapToGrid w:val="0"/>
              <w:spacing w:before="0" w:beforeLines="0" w:beforeAutospacing="0" w:after="0" w:afterAutospacing="0" w:line="240" w:lineRule="auto"/>
              <w:ind w:left="0" w:leftChars="0" w:right="0"/>
              <w:jc w:val="center"/>
              <w:textAlignment w:val="auto"/>
              <w:outlineLvl w:val="9"/>
              <w:rPr>
                <w:rFonts w:hint="eastAsia" w:cs="Times New Roman"/>
                <w:b/>
                <w:bCs/>
                <w:color w:val="auto"/>
                <w:sz w:val="21"/>
                <w:szCs w:val="21"/>
                <w:highlight w:val="none"/>
                <w:lang w:val="en-US" w:eastAsia="zh-CN"/>
              </w:rPr>
            </w:pPr>
          </w:p>
          <w:p w14:paraId="6FDBE7C2">
            <w:pPr>
              <w:keepNext/>
              <w:keepLines w:val="0"/>
              <w:pageBreakBefore w:val="0"/>
              <w:widowControl w:val="0"/>
              <w:numPr>
                <w:ilvl w:val="0"/>
                <w:numId w:val="0"/>
              </w:numPr>
              <w:suppressLineNumbers w:val="0"/>
              <w:tabs>
                <w:tab w:val="left" w:pos="420"/>
              </w:tabs>
              <w:kinsoku/>
              <w:wordWrap/>
              <w:overflowPunct w:val="0"/>
              <w:topLinePunct w:val="0"/>
              <w:autoSpaceDE/>
              <w:autoSpaceDN/>
              <w:bidi w:val="0"/>
              <w:adjustRightInd w:val="0"/>
              <w:snapToGrid w:val="0"/>
              <w:spacing w:before="0" w:beforeLines="0" w:beforeAutospacing="0" w:after="0" w:afterAutospacing="0" w:line="240" w:lineRule="auto"/>
              <w:ind w:left="0" w:leftChars="0" w:right="0"/>
              <w:jc w:val="center"/>
              <w:textAlignment w:val="auto"/>
              <w:outlineLvl w:val="9"/>
              <w:rPr>
                <w:rFonts w:hint="eastAsia" w:cs="Times New Roman"/>
                <w:color w:val="auto"/>
                <w:highlight w:val="none"/>
                <w:lang w:val="en-US" w:eastAsia="zh-CN"/>
              </w:rPr>
            </w:pPr>
            <w:r>
              <w:rPr>
                <w:rFonts w:hint="eastAsia" w:cs="Times New Roman"/>
                <w:b/>
                <w:bCs/>
                <w:color w:val="auto"/>
                <w:sz w:val="21"/>
                <w:szCs w:val="21"/>
                <w:highlight w:val="none"/>
                <w:lang w:val="en-US" w:eastAsia="zh-CN"/>
              </w:rPr>
              <w:t>表2.1-8 盐水渍菜产品标准</w:t>
            </w:r>
          </w:p>
          <w:tbl>
            <w:tblPr>
              <w:tblStyle w:val="29"/>
              <w:tblW w:w="84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91"/>
              <w:gridCol w:w="4027"/>
            </w:tblGrid>
            <w:tr w14:paraId="004BC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8418" w:type="dxa"/>
                  <w:gridSpan w:val="2"/>
                  <w:vAlign w:val="center"/>
                </w:tcPr>
                <w:p w14:paraId="704EF5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理化指标</w:t>
                  </w:r>
                </w:p>
              </w:tc>
            </w:tr>
            <w:tr w14:paraId="0ED92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1" w:type="dxa"/>
                  <w:vAlign w:val="center"/>
                </w:tcPr>
                <w:p w14:paraId="110C0F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水份（g/100g）  ≤</w:t>
                  </w:r>
                </w:p>
              </w:tc>
              <w:tc>
                <w:tcPr>
                  <w:tcW w:w="4027" w:type="dxa"/>
                  <w:vAlign w:val="center"/>
                </w:tcPr>
                <w:p w14:paraId="04F39E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93</w:t>
                  </w:r>
                </w:p>
              </w:tc>
            </w:tr>
            <w:tr w14:paraId="06DEB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1" w:type="dxa"/>
                  <w:vAlign w:val="center"/>
                </w:tcPr>
                <w:p w14:paraId="57046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食盐（以氯化钠计）（g/100g）   ≤</w:t>
                  </w:r>
                </w:p>
              </w:tc>
              <w:tc>
                <w:tcPr>
                  <w:tcW w:w="4027" w:type="dxa"/>
                  <w:vAlign w:val="center"/>
                </w:tcPr>
                <w:p w14:paraId="50601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9</w:t>
                  </w:r>
                </w:p>
              </w:tc>
            </w:tr>
            <w:tr w14:paraId="1D73F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1" w:type="dxa"/>
                  <w:vAlign w:val="center"/>
                </w:tcPr>
                <w:p w14:paraId="502898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总酸（以乳酸计）（g/100g）      ≤</w:t>
                  </w:r>
                </w:p>
              </w:tc>
              <w:tc>
                <w:tcPr>
                  <w:tcW w:w="4027" w:type="dxa"/>
                  <w:vAlign w:val="center"/>
                </w:tcPr>
                <w:p w14:paraId="2A8698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sz w:val="21"/>
                      <w:szCs w:val="21"/>
                      <w:vertAlign w:val="baseline"/>
                      <w:lang w:val="en-US" w:eastAsia="zh-CN"/>
                    </w:rPr>
                  </w:pPr>
                  <w:r>
                    <w:rPr>
                      <w:rFonts w:hint="eastAsia"/>
                      <w:sz w:val="21"/>
                      <w:szCs w:val="21"/>
                      <w:vertAlign w:val="baseline"/>
                      <w:lang w:val="en-US" w:eastAsia="zh-CN"/>
                    </w:rPr>
                    <w:t>2</w:t>
                  </w:r>
                </w:p>
              </w:tc>
            </w:tr>
          </w:tbl>
          <w:p w14:paraId="03AEEE1E">
            <w:pPr>
              <w:keepNext w:val="0"/>
              <w:keepLines w:val="0"/>
              <w:suppressLineNumbers w:val="0"/>
              <w:spacing w:before="0" w:beforeAutospacing="0" w:after="0" w:afterAutospacing="0"/>
              <w:ind w:left="0" w:right="0"/>
              <w:jc w:val="center"/>
              <w:rPr>
                <w:rFonts w:hint="default"/>
                <w:lang w:val="en-US" w:eastAsia="zh-CN"/>
              </w:rPr>
            </w:pPr>
          </w:p>
          <w:p w14:paraId="715992AE">
            <w:pPr>
              <w:pStyle w:val="2"/>
              <w:keepLines w:val="0"/>
              <w:numPr>
                <w:ilvl w:val="0"/>
                <w:numId w:val="0"/>
              </w:numPr>
              <w:suppressLineNumbers w:val="0"/>
              <w:bidi w:val="0"/>
              <w:adjustRightInd w:val="0"/>
              <w:spacing w:before="0" w:beforeLines="0" w:beforeAutospacing="0" w:after="0" w:afterAutospacing="0"/>
              <w:ind w:leftChars="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7</w:t>
            </w:r>
            <w:r>
              <w:rPr>
                <w:rFonts w:hint="default" w:cs="Times New Roman"/>
                <w:color w:val="auto"/>
                <w:highlight w:val="none"/>
                <w:lang w:val="en-US" w:eastAsia="zh-CN"/>
              </w:rPr>
              <w:t>工作制度及劳动定员</w:t>
            </w:r>
          </w:p>
          <w:p w14:paraId="3A4EF37F">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工作制度：</w:t>
            </w:r>
            <w:r>
              <w:rPr>
                <w:rFonts w:hint="eastAsia" w:cs="Times New Roman"/>
                <w:color w:val="000000" w:themeColor="text1"/>
                <w:sz w:val="24"/>
                <w:highlight w:val="none"/>
                <w:lang w:val="en-US" w:eastAsia="zh-CN"/>
                <w14:textFill>
                  <w14:solidFill>
                    <w14:schemeClr w14:val="tx1"/>
                  </w14:solidFill>
                </w14:textFill>
              </w:rPr>
              <w:t>因本项目所用鲜黄花菜均为未开花蕾的黄花菜，受采摘周期影响，干黄花菜年生产40天，一天8h生产制；即食黄花菜和盐水渍菜年</w:t>
            </w:r>
            <w:r>
              <w:rPr>
                <w:rFonts w:hint="default" w:ascii="Times New Roman" w:hAnsi="Times New Roman" w:eastAsia="宋体" w:cs="Times New Roman"/>
                <w:color w:val="000000" w:themeColor="text1"/>
                <w:sz w:val="24"/>
                <w:highlight w:val="none"/>
                <w14:textFill>
                  <w14:solidFill>
                    <w14:schemeClr w14:val="tx1"/>
                  </w14:solidFill>
                </w14:textFill>
              </w:rPr>
              <w:t>生产300天，一</w:t>
            </w:r>
            <w:r>
              <w:rPr>
                <w:rFonts w:hint="eastAsia" w:cs="Times New Roman"/>
                <w:color w:val="000000" w:themeColor="text1"/>
                <w:sz w:val="24"/>
                <w:highlight w:val="none"/>
                <w:lang w:val="en-US" w:eastAsia="zh-CN"/>
                <w14:textFill>
                  <w14:solidFill>
                    <w14:schemeClr w14:val="tx1"/>
                  </w14:solidFill>
                </w14:textFill>
              </w:rPr>
              <w:t>天</w:t>
            </w:r>
            <w:r>
              <w:rPr>
                <w:rFonts w:hint="default" w:ascii="Times New Roman" w:hAnsi="Times New Roman" w:eastAsia="宋体" w:cs="Times New Roman"/>
                <w:color w:val="000000" w:themeColor="text1"/>
                <w:sz w:val="24"/>
                <w:highlight w:val="none"/>
                <w14:textFill>
                  <w14:solidFill>
                    <w14:schemeClr w14:val="tx1"/>
                  </w14:solidFill>
                </w14:textFill>
              </w:rPr>
              <w:t>8小时</w:t>
            </w:r>
            <w:r>
              <w:rPr>
                <w:rFonts w:hint="eastAsia" w:cs="Times New Roman"/>
                <w:color w:val="000000" w:themeColor="text1"/>
                <w:sz w:val="24"/>
                <w:highlight w:val="none"/>
                <w:lang w:val="en-US" w:eastAsia="zh-CN"/>
                <w14:textFill>
                  <w14:solidFill>
                    <w14:schemeClr w14:val="tx1"/>
                  </w14:solidFill>
                </w14:textFill>
              </w:rPr>
              <w:t>生产制</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65751DBC">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b/>
                <w:color w:val="auto"/>
                <w:sz w:val="24"/>
                <w:highlight w:val="none"/>
                <w:lang w:eastAsia="zh-CN"/>
              </w:rPr>
            </w:pPr>
            <w:r>
              <w:rPr>
                <w:rFonts w:hint="default" w:ascii="Times New Roman" w:hAnsi="Times New Roman" w:eastAsia="宋体" w:cs="Times New Roman"/>
                <w:color w:val="auto"/>
                <w:sz w:val="24"/>
                <w:highlight w:val="none"/>
              </w:rPr>
              <w:t>劳动定员：</w:t>
            </w:r>
            <w:r>
              <w:rPr>
                <w:rFonts w:hint="eastAsia" w:cs="Times New Roman"/>
                <w:color w:val="auto"/>
                <w:sz w:val="24"/>
                <w:highlight w:val="none"/>
                <w:lang w:val="en-US" w:eastAsia="zh-CN"/>
              </w:rPr>
              <w:t>本项目劳动</w:t>
            </w:r>
            <w:r>
              <w:rPr>
                <w:rFonts w:hint="default" w:ascii="Times New Roman" w:hAnsi="Times New Roman" w:eastAsia="宋体" w:cs="Times New Roman"/>
                <w:color w:val="auto"/>
                <w:sz w:val="24"/>
                <w:highlight w:val="none"/>
              </w:rPr>
              <w:t>定员为</w:t>
            </w:r>
            <w:r>
              <w:rPr>
                <w:rFonts w:hint="eastAsia" w:cs="Times New Roman"/>
                <w:color w:val="auto"/>
                <w:sz w:val="24"/>
                <w:highlight w:val="none"/>
                <w:lang w:val="en-US" w:eastAsia="zh-CN"/>
              </w:rPr>
              <w:t>24</w:t>
            </w:r>
            <w:r>
              <w:rPr>
                <w:rFonts w:hint="default" w:ascii="Times New Roman" w:hAnsi="Times New Roman" w:eastAsia="宋体" w:cs="Times New Roman"/>
                <w:color w:val="auto"/>
                <w:sz w:val="24"/>
                <w:highlight w:val="none"/>
              </w:rPr>
              <w:t>人，</w:t>
            </w:r>
            <w:r>
              <w:rPr>
                <w:rFonts w:hint="eastAsia" w:cs="Times New Roman"/>
                <w:color w:val="auto"/>
                <w:sz w:val="24"/>
                <w:highlight w:val="none"/>
                <w:lang w:val="en-US" w:eastAsia="zh-CN"/>
              </w:rPr>
              <w:t>员工为周边居民，不在厂内食宿</w:t>
            </w:r>
            <w:r>
              <w:rPr>
                <w:rFonts w:hint="default" w:ascii="Times New Roman" w:hAnsi="Times New Roman" w:eastAsia="宋体" w:cs="Times New Roman"/>
                <w:color w:val="auto"/>
                <w:sz w:val="24"/>
                <w:highlight w:val="none"/>
                <w:lang w:eastAsia="zh-CN"/>
              </w:rPr>
              <w:t>。</w:t>
            </w:r>
          </w:p>
          <w:p w14:paraId="64F74BCC">
            <w:pPr>
              <w:pStyle w:val="2"/>
              <w:keepLines w:val="0"/>
              <w:numPr>
                <w:ilvl w:val="0"/>
                <w:numId w:val="0"/>
              </w:numPr>
              <w:suppressLineNumbers w:val="0"/>
              <w:bidi w:val="0"/>
              <w:adjustRightInd w:val="0"/>
              <w:spacing w:before="0" w:beforeLines="0" w:beforeAutospacing="0" w:after="0" w:afterAutospacing="0"/>
              <w:ind w:leftChars="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8</w:t>
            </w:r>
            <w:r>
              <w:rPr>
                <w:rFonts w:hint="default" w:cs="Times New Roman"/>
                <w:color w:val="auto"/>
                <w:highlight w:val="none"/>
                <w:lang w:val="en-US" w:eastAsia="zh-CN"/>
              </w:rPr>
              <w:t>公用工程</w:t>
            </w:r>
          </w:p>
          <w:p w14:paraId="06D291EF">
            <w:pPr>
              <w:keepNext w:val="0"/>
              <w:keepLines w:val="0"/>
              <w:suppressLineNumbers w:val="0"/>
              <w:spacing w:before="0" w:beforeAutospacing="0" w:after="0" w:afterAutospacing="0" w:line="360" w:lineRule="auto"/>
              <w:ind w:left="0" w:right="0" w:firstLine="480" w:firstLineChars="20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、给排水工程</w:t>
            </w:r>
          </w:p>
          <w:p w14:paraId="35B9A18F">
            <w:pPr>
              <w:keepNext w:val="0"/>
              <w:keepLines w:val="0"/>
              <w:suppressLineNumbers w:val="0"/>
              <w:spacing w:before="0" w:beforeAutospacing="0" w:after="0" w:afterAutospacing="0" w:line="360" w:lineRule="auto"/>
              <w:ind w:left="0" w:right="0" w:firstLine="480" w:firstLineChars="200"/>
              <w:jc w:val="left"/>
              <w:rPr>
                <w:rFonts w:hint="default" w:cs="Times New Roman"/>
                <w:color w:val="auto"/>
                <w:sz w:val="24"/>
                <w:highlight w:val="none"/>
                <w:u w:val="none"/>
                <w:lang w:val="en-US" w:eastAsia="zh-CN"/>
              </w:rPr>
            </w:pPr>
            <w:r>
              <w:rPr>
                <w:rFonts w:hint="eastAsia" w:cs="Times New Roman"/>
                <w:color w:val="auto"/>
                <w:sz w:val="24"/>
                <w:highlight w:val="none"/>
                <w:u w:val="none"/>
                <w:lang w:val="en-US" w:eastAsia="zh-CN"/>
              </w:rPr>
              <w:t>A.给水</w:t>
            </w:r>
          </w:p>
          <w:p w14:paraId="00A380F7">
            <w:pPr>
              <w:keepNext w:val="0"/>
              <w:keepLines w:val="0"/>
              <w:suppressLineNumbers w:val="0"/>
              <w:spacing w:before="0" w:beforeAutospacing="0" w:after="0" w:afterAutospacing="0" w:line="360" w:lineRule="auto"/>
              <w:ind w:left="0" w:right="0" w:firstLine="480" w:firstLineChars="200"/>
              <w:jc w:val="left"/>
              <w:rPr>
                <w:rFonts w:hint="default" w:cs="Times New Roman"/>
                <w:color w:val="auto"/>
                <w:sz w:val="24"/>
                <w:highlight w:val="none"/>
                <w:u w:val="none"/>
                <w:lang w:val="en-US" w:eastAsia="zh-CN"/>
              </w:rPr>
            </w:pPr>
            <w:r>
              <w:rPr>
                <w:rFonts w:hint="default" w:cs="Times New Roman"/>
                <w:color w:val="auto"/>
                <w:sz w:val="24"/>
                <w:highlight w:val="none"/>
                <w:u w:val="none"/>
                <w:lang w:val="en-US" w:eastAsia="zh-CN"/>
              </w:rPr>
              <w:t>项目总新鲜用水量约为</w:t>
            </w:r>
            <w:r>
              <w:rPr>
                <w:rFonts w:hint="eastAsia" w:cs="Times New Roman"/>
                <w:color w:val="auto"/>
                <w:sz w:val="24"/>
                <w:highlight w:val="none"/>
                <w:u w:val="none"/>
                <w:lang w:val="en-US" w:eastAsia="zh-CN"/>
              </w:rPr>
              <w:t>42507.92</w:t>
            </w:r>
            <w:r>
              <w:rPr>
                <w:rFonts w:hint="default" w:ascii="Times New Roman" w:hAnsi="Times New Roman" w:eastAsia="宋体" w:cs="Times New Roman"/>
                <w:color w:val="auto"/>
                <w:sz w:val="24"/>
                <w:highlight w:val="none"/>
                <w:u w:val="none"/>
              </w:rPr>
              <w:t>m</w:t>
            </w:r>
            <w:r>
              <w:rPr>
                <w:rFonts w:hint="default" w:ascii="Times New Roman" w:hAnsi="Times New Roman" w:eastAsia="宋体" w:cs="Times New Roman"/>
                <w:color w:val="auto"/>
                <w:sz w:val="24"/>
                <w:highlight w:val="none"/>
                <w:u w:val="none"/>
                <w:vertAlign w:val="superscript"/>
              </w:rPr>
              <w:t>3</w:t>
            </w:r>
            <w:r>
              <w:rPr>
                <w:rFonts w:hint="default" w:ascii="Times New Roman" w:hAnsi="Times New Roman" w:eastAsia="宋体" w:cs="Times New Roman"/>
                <w:color w:val="auto"/>
                <w:sz w:val="24"/>
                <w:highlight w:val="none"/>
                <w:u w:val="none"/>
              </w:rPr>
              <w:t>/a</w:t>
            </w:r>
            <w:r>
              <w:rPr>
                <w:rFonts w:hint="default" w:ascii="Times New Roman" w:hAnsi="Times New Roman" w:eastAsia="宋体" w:cs="Times New Roman"/>
                <w:color w:val="auto"/>
                <w:sz w:val="24"/>
                <w:highlight w:val="none"/>
                <w:u w:val="none"/>
                <w:lang w:eastAsia="zh-CN"/>
              </w:rPr>
              <w:t>，</w:t>
            </w:r>
            <w:r>
              <w:rPr>
                <w:rFonts w:hint="default" w:ascii="Times New Roman" w:hAnsi="Times New Roman" w:eastAsia="宋体" w:cs="Times New Roman"/>
                <w:color w:val="auto"/>
                <w:sz w:val="24"/>
                <w:highlight w:val="none"/>
                <w:u w:val="none"/>
              </w:rPr>
              <w:t>主要为生活用水</w:t>
            </w:r>
            <w:r>
              <w:rPr>
                <w:rFonts w:hint="default" w:cs="Times New Roman"/>
                <w:color w:val="auto"/>
                <w:sz w:val="24"/>
                <w:highlight w:val="none"/>
                <w:u w:val="none"/>
                <w:lang w:eastAsia="zh-CN"/>
              </w:rPr>
              <w:t>、</w:t>
            </w:r>
            <w:r>
              <w:rPr>
                <w:rFonts w:hint="default" w:ascii="Times New Roman" w:hAnsi="Times New Roman" w:eastAsia="宋体" w:cs="Times New Roman"/>
                <w:color w:val="auto"/>
                <w:sz w:val="24"/>
                <w:highlight w:val="none"/>
                <w:u w:val="none"/>
              </w:rPr>
              <w:t>生产用水，</w:t>
            </w:r>
            <w:r>
              <w:rPr>
                <w:rFonts w:hint="default" w:cs="Times New Roman"/>
                <w:color w:val="auto"/>
                <w:sz w:val="24"/>
                <w:highlight w:val="none"/>
                <w:u w:val="none"/>
                <w:lang w:val="en-US" w:eastAsia="zh-CN"/>
              </w:rPr>
              <w:t>均由</w:t>
            </w:r>
            <w:r>
              <w:rPr>
                <w:rFonts w:hint="eastAsia" w:cs="Times New Roman"/>
                <w:color w:val="auto"/>
                <w:sz w:val="24"/>
                <w:highlight w:val="none"/>
                <w:u w:val="none"/>
                <w:lang w:val="en-US" w:eastAsia="zh-CN"/>
              </w:rPr>
              <w:t>乡镇</w:t>
            </w:r>
            <w:r>
              <w:rPr>
                <w:rFonts w:hint="default" w:cs="Times New Roman"/>
                <w:color w:val="auto"/>
                <w:sz w:val="24"/>
                <w:highlight w:val="none"/>
                <w:u w:val="none"/>
                <w:lang w:val="en-US" w:eastAsia="zh-CN"/>
              </w:rPr>
              <w:t>给水管网提供。</w:t>
            </w:r>
          </w:p>
          <w:p w14:paraId="096CF438">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lang w:val="en-US" w:eastAsia="zh-CN"/>
              </w:rPr>
              <w:t>1</w:t>
            </w:r>
            <w:r>
              <w:rPr>
                <w:rFonts w:hint="default" w:ascii="Times New Roman" w:hAnsi="Times New Roman" w:cs="Times New Roman"/>
                <w:color w:val="auto"/>
                <w:sz w:val="24"/>
                <w:highlight w:val="none"/>
                <w:lang w:eastAsia="zh-CN"/>
              </w:rPr>
              <w:t>）</w:t>
            </w:r>
            <w:r>
              <w:rPr>
                <w:rFonts w:hint="default" w:ascii="Times New Roman" w:hAnsi="Times New Roman" w:eastAsia="宋体" w:cs="Times New Roman"/>
                <w:color w:val="auto"/>
                <w:sz w:val="24"/>
                <w:highlight w:val="none"/>
              </w:rPr>
              <w:t>生活</w:t>
            </w:r>
            <w:r>
              <w:rPr>
                <w:rFonts w:hint="default" w:ascii="Times New Roman" w:hAnsi="Times New Roman" w:cs="Times New Roman"/>
                <w:color w:val="auto"/>
                <w:sz w:val="24"/>
                <w:highlight w:val="none"/>
                <w:lang w:val="en-US" w:eastAsia="zh-CN"/>
              </w:rPr>
              <w:t>用水</w:t>
            </w:r>
            <w:r>
              <w:rPr>
                <w:rFonts w:hint="default" w:ascii="Times New Roman" w:hAnsi="Times New Roman" w:eastAsia="宋体" w:cs="Times New Roman"/>
                <w:color w:val="auto"/>
                <w:sz w:val="24"/>
                <w:highlight w:val="none"/>
              </w:rPr>
              <w:t>：项目劳动定员</w:t>
            </w:r>
            <w:r>
              <w:rPr>
                <w:rFonts w:hint="default" w:ascii="Times New Roman" w:hAnsi="Times New Roman" w:cs="Times New Roman"/>
                <w:color w:val="auto"/>
                <w:sz w:val="24"/>
                <w:highlight w:val="none"/>
                <w:lang w:val="en-US" w:eastAsia="zh-CN"/>
              </w:rPr>
              <w:t>24</w:t>
            </w:r>
            <w:r>
              <w:rPr>
                <w:rFonts w:hint="default" w:ascii="Times New Roman" w:hAnsi="Times New Roman" w:eastAsia="宋体" w:cs="Times New Roman"/>
                <w:color w:val="auto"/>
                <w:sz w:val="24"/>
                <w:highlight w:val="none"/>
              </w:rPr>
              <w:t>人，</w:t>
            </w:r>
            <w:r>
              <w:rPr>
                <w:rFonts w:hint="default" w:ascii="Times New Roman" w:hAnsi="Times New Roman" w:eastAsia="宋体" w:cs="Times New Roman"/>
                <w:bCs/>
                <w:color w:val="auto"/>
                <w:sz w:val="24"/>
                <w:highlight w:val="none"/>
              </w:rPr>
              <w:t>年工作时间</w:t>
            </w:r>
            <w:r>
              <w:rPr>
                <w:rFonts w:hint="default" w:ascii="Times New Roman" w:hAnsi="Times New Roman" w:cs="Times New Roman"/>
                <w:bCs/>
                <w:color w:val="auto"/>
                <w:sz w:val="24"/>
                <w:highlight w:val="none"/>
                <w:lang w:val="en-US" w:eastAsia="zh-CN"/>
              </w:rPr>
              <w:t>300d</w:t>
            </w:r>
            <w:r>
              <w:rPr>
                <w:rFonts w:hint="default" w:ascii="Times New Roman" w:hAnsi="Times New Roman" w:eastAsia="宋体" w:cs="Times New Roman"/>
                <w:bCs/>
                <w:color w:val="auto"/>
                <w:sz w:val="24"/>
                <w:highlight w:val="none"/>
              </w:rPr>
              <w:t>，</w:t>
            </w:r>
            <w:r>
              <w:rPr>
                <w:rFonts w:hint="default" w:ascii="Times New Roman" w:hAnsi="Times New Roman" w:cs="Times New Roman"/>
                <w:bCs/>
                <w:color w:val="auto"/>
                <w:sz w:val="24"/>
                <w:highlight w:val="none"/>
                <w:lang w:val="en-US" w:eastAsia="zh-CN"/>
              </w:rPr>
              <w:t>不在厂内食宿，</w:t>
            </w:r>
            <w:r>
              <w:rPr>
                <w:rFonts w:hint="default" w:ascii="Times New Roman" w:hAnsi="Times New Roman" w:cs="Times New Roman"/>
                <w:color w:val="auto"/>
                <w:highlight w:val="none"/>
                <w:lang w:val="en-US" w:eastAsia="zh-CN"/>
              </w:rPr>
              <w:t>参照湖南省地方标准《用水定额》（DB43/T 388-2020），员工生活用水量按“办公楼”指标38m</w:t>
            </w:r>
            <w:r>
              <w:rPr>
                <w:rFonts w:hint="default" w:ascii="Times New Roman" w:hAnsi="Times New Roman" w:cs="Times New Roman"/>
                <w:color w:val="auto"/>
                <w:highlight w:val="none"/>
                <w:vertAlign w:val="superscript"/>
                <w:lang w:val="en-US" w:eastAsia="zh-CN"/>
              </w:rPr>
              <w:t>3</w:t>
            </w:r>
            <w:r>
              <w:rPr>
                <w:rFonts w:hint="default" w:ascii="Times New Roman" w:hAnsi="Times New Roman" w:cs="Times New Roman"/>
                <w:color w:val="auto"/>
                <w:highlight w:val="none"/>
                <w:lang w:val="en-US" w:eastAsia="zh-CN"/>
              </w:rPr>
              <w:t>/人·a计，</w:t>
            </w:r>
            <w:r>
              <w:rPr>
                <w:rFonts w:hint="default" w:ascii="Times New Roman" w:hAnsi="Times New Roman" w:eastAsia="宋体" w:cs="Times New Roman"/>
                <w:bCs/>
                <w:color w:val="auto"/>
                <w:sz w:val="24"/>
                <w:highlight w:val="none"/>
              </w:rPr>
              <w:t>则员工生活用水量为</w:t>
            </w:r>
            <w:r>
              <w:rPr>
                <w:rFonts w:hint="default" w:ascii="Times New Roman" w:hAnsi="Times New Roman" w:cs="Times New Roman"/>
                <w:bCs/>
                <w:color w:val="auto"/>
                <w:sz w:val="24"/>
                <w:highlight w:val="none"/>
                <w:lang w:val="en-US" w:eastAsia="zh-CN"/>
              </w:rPr>
              <w:t>912</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/a。</w:t>
            </w:r>
            <w:r>
              <w:rPr>
                <w:rFonts w:hint="default" w:ascii="Times New Roman" w:hAnsi="Times New Roman" w:cs="Times New Roman"/>
                <w:color w:val="auto"/>
                <w:highlight w:val="none"/>
                <w:lang w:val="en-US" w:eastAsia="zh-CN"/>
              </w:rPr>
              <w:t>产污系数取0.85</w:t>
            </w:r>
            <w:r>
              <w:rPr>
                <w:rFonts w:hint="default" w:ascii="Times New Roman" w:hAnsi="Times New Roman" w:eastAsia="宋体" w:cs="Times New Roman"/>
                <w:color w:val="auto"/>
                <w:sz w:val="24"/>
                <w:highlight w:val="none"/>
              </w:rPr>
              <w:t>，则</w:t>
            </w:r>
            <w:r>
              <w:rPr>
                <w:rFonts w:hint="default" w:ascii="Times New Roman" w:hAnsi="Times New Roman" w:cs="Times New Roman"/>
                <w:color w:val="auto"/>
                <w:sz w:val="24"/>
                <w:highlight w:val="none"/>
                <w:lang w:val="en-US" w:eastAsia="zh-CN"/>
              </w:rPr>
              <w:t>生活污水产生量</w:t>
            </w:r>
            <w:r>
              <w:rPr>
                <w:rFonts w:hint="default" w:ascii="Times New Roman" w:hAnsi="Times New Roman" w:eastAsia="宋体" w:cs="Times New Roman"/>
                <w:color w:val="auto"/>
                <w:sz w:val="24"/>
                <w:highlight w:val="none"/>
              </w:rPr>
              <w:t>约为</w:t>
            </w:r>
            <w:r>
              <w:rPr>
                <w:rFonts w:hint="default" w:ascii="Times New Roman" w:hAnsi="Times New Roman" w:cs="Times New Roman"/>
                <w:color w:val="auto"/>
                <w:sz w:val="24"/>
                <w:highlight w:val="none"/>
                <w:lang w:val="en-US" w:eastAsia="zh-CN"/>
              </w:rPr>
              <w:t>775.2</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/a。生活污水经化粪池</w:t>
            </w:r>
            <w:r>
              <w:rPr>
                <w:rFonts w:hint="default" w:ascii="Times New Roman" w:hAnsi="Times New Roman" w:eastAsia="宋体" w:cs="Times New Roman"/>
                <w:color w:val="auto"/>
                <w:sz w:val="24"/>
                <w:highlight w:val="none"/>
                <w:lang w:val="en-US" w:eastAsia="zh-CN"/>
              </w:rPr>
              <w:t>预</w:t>
            </w:r>
            <w:r>
              <w:rPr>
                <w:rFonts w:hint="default" w:ascii="Times New Roman" w:hAnsi="Times New Roman" w:eastAsia="宋体" w:cs="Times New Roman"/>
                <w:color w:val="auto"/>
                <w:sz w:val="24"/>
                <w:highlight w:val="none"/>
              </w:rPr>
              <w:t>处理后</w:t>
            </w:r>
            <w:r>
              <w:rPr>
                <w:rFonts w:hint="default" w:ascii="Times New Roman" w:hAnsi="Times New Roman" w:cs="Times New Roman"/>
                <w:color w:val="auto"/>
                <w:highlight w:val="none"/>
                <w:lang w:val="en-US" w:eastAsia="zh-CN"/>
              </w:rPr>
              <w:t>进入厂内自建污水处理站处理后排入官家嘴镇污水处理站进一步处理达标后排入黄狮江。</w:t>
            </w:r>
          </w:p>
          <w:p w14:paraId="5003FA4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highlight w:val="yellow"/>
                <w:u w:val="single"/>
                <w:lang w:val="en-US" w:eastAsia="zh-CN"/>
              </w:rPr>
            </w:pPr>
            <w:r>
              <w:rPr>
                <w:rFonts w:hint="default" w:ascii="Times New Roman" w:hAnsi="Times New Roman" w:eastAsia="宋体" w:cs="Times New Roman"/>
                <w:color w:val="auto"/>
                <w:sz w:val="24"/>
                <w:highlight w:val="none"/>
                <w:lang w:val="en-US" w:eastAsia="zh-CN"/>
              </w:rPr>
              <w:t>（2）</w:t>
            </w:r>
            <w:r>
              <w:rPr>
                <w:rFonts w:hint="default" w:ascii="Times New Roman" w:hAnsi="Times New Roman" w:eastAsia="宋体" w:cs="Times New Roman"/>
                <w:color w:val="auto"/>
                <w:sz w:val="24"/>
                <w:highlight w:val="none"/>
              </w:rPr>
              <w:t>生产用水：</w:t>
            </w:r>
            <w:r>
              <w:rPr>
                <w:rFonts w:hint="default" w:ascii="Times New Roman" w:hAnsi="Times New Roman" w:cs="Times New Roman"/>
                <w:highlight w:val="none"/>
                <w:u w:val="none"/>
                <w:lang w:val="en-US" w:eastAsia="zh-CN"/>
              </w:rPr>
              <w:t>生产用水主要包括黄花菜清洗用水</w:t>
            </w:r>
            <w:r>
              <w:rPr>
                <w:rFonts w:hint="eastAsia" w:cs="Times New Roman"/>
                <w:highlight w:val="none"/>
                <w:u w:val="none"/>
                <w:lang w:val="en-US" w:eastAsia="zh-CN"/>
              </w:rPr>
              <w:t>（包括鲜黄花菜清洗用水、干黄花菜浸泡清洗及烫煮用水、盐水渍菜清洗用水）</w:t>
            </w:r>
            <w:r>
              <w:rPr>
                <w:rFonts w:hint="default" w:ascii="Times New Roman" w:hAnsi="Times New Roman" w:cs="Times New Roman"/>
                <w:highlight w:val="none"/>
                <w:u w:val="none"/>
                <w:lang w:val="en-US" w:eastAsia="zh-CN"/>
              </w:rPr>
              <w:t>、</w:t>
            </w:r>
            <w:r>
              <w:rPr>
                <w:rFonts w:hint="eastAsia" w:cs="Times New Roman"/>
                <w:highlight w:val="none"/>
                <w:u w:val="none"/>
                <w:lang w:val="en-US" w:eastAsia="zh-CN"/>
              </w:rPr>
              <w:t>盐水配制用水、</w:t>
            </w:r>
            <w:r>
              <w:rPr>
                <w:rFonts w:hint="default" w:ascii="Times New Roman" w:hAnsi="Times New Roman" w:cs="Times New Roman"/>
                <w:highlight w:val="none"/>
                <w:u w:val="none"/>
                <w:lang w:val="en-US" w:eastAsia="zh-CN"/>
              </w:rPr>
              <w:t>车间地面以及设备清洗用水</w:t>
            </w:r>
            <w:r>
              <w:rPr>
                <w:rFonts w:hint="eastAsia" w:cs="Times New Roman"/>
                <w:highlight w:val="none"/>
                <w:u w:val="none"/>
                <w:lang w:val="en-US" w:eastAsia="zh-CN"/>
              </w:rPr>
              <w:t>、锅炉用水</w:t>
            </w:r>
            <w:r>
              <w:rPr>
                <w:rFonts w:hint="default" w:ascii="Times New Roman" w:hAnsi="Times New Roman" w:cs="Times New Roman"/>
                <w:highlight w:val="none"/>
                <w:u w:val="none"/>
                <w:lang w:val="en-US" w:eastAsia="zh-CN"/>
              </w:rPr>
              <w:t>以及纯水制备用水。</w:t>
            </w:r>
          </w:p>
          <w:p w14:paraId="5EF2B44C">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highlight w:val="none"/>
                <w:u w:val="none"/>
                <w:lang w:val="en-US" w:eastAsia="zh-CN"/>
              </w:rPr>
            </w:pPr>
            <w:r>
              <w:rPr>
                <w:rFonts w:hint="default" w:ascii="Times New Roman" w:hAnsi="Times New Roman" w:eastAsia="宋体" w:cs="Times New Roman"/>
                <w:highlight w:val="none"/>
                <w:u w:val="none"/>
                <w:lang w:val="en-US" w:eastAsia="zh-CN"/>
              </w:rPr>
              <w:t>①</w:t>
            </w:r>
            <w:r>
              <w:rPr>
                <w:rFonts w:hint="default" w:ascii="Times New Roman" w:hAnsi="Times New Roman" w:cs="Times New Roman"/>
                <w:highlight w:val="none"/>
                <w:u w:val="none"/>
                <w:lang w:val="en-US" w:eastAsia="zh-CN"/>
              </w:rPr>
              <w:t>黄花菜清洗用水</w:t>
            </w:r>
          </w:p>
          <w:p w14:paraId="0A384017">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highlight w:val="none"/>
                <w:u w:val="none"/>
                <w:lang w:val="en-US" w:eastAsia="zh-CN"/>
              </w:rPr>
            </w:pPr>
            <w:r>
              <w:rPr>
                <w:rFonts w:hint="default" w:ascii="Times New Roman" w:hAnsi="Times New Roman" w:cs="Times New Roman"/>
                <w:highlight w:val="none"/>
                <w:u w:val="none"/>
                <w:lang w:val="en-US" w:eastAsia="zh-CN"/>
              </w:rPr>
              <w:t>1）</w:t>
            </w:r>
            <w:r>
              <w:rPr>
                <w:rFonts w:hint="eastAsia" w:cs="Times New Roman"/>
                <w:highlight w:val="none"/>
                <w:u w:val="none"/>
                <w:lang w:val="en-US" w:eastAsia="zh-CN"/>
              </w:rPr>
              <w:t>鲜黄花菜清洗用水</w:t>
            </w:r>
            <w:r>
              <w:rPr>
                <w:rFonts w:hint="default" w:ascii="Times New Roman" w:hAnsi="Times New Roman" w:cs="Times New Roman"/>
                <w:highlight w:val="none"/>
                <w:u w:val="none"/>
                <w:lang w:val="en-US" w:eastAsia="zh-CN"/>
              </w:rPr>
              <w:t>：本项目</w:t>
            </w:r>
            <w:r>
              <w:rPr>
                <w:rFonts w:hint="eastAsia" w:cs="Times New Roman"/>
                <w:highlight w:val="none"/>
                <w:u w:val="none"/>
                <w:lang w:val="en-US" w:eastAsia="zh-CN"/>
              </w:rPr>
              <w:t>干黄花菜生产原料为鲜黄花菜，</w:t>
            </w:r>
            <w:r>
              <w:rPr>
                <w:rFonts w:hint="default" w:ascii="Times New Roman" w:hAnsi="Times New Roman" w:cs="Times New Roman"/>
                <w:highlight w:val="none"/>
                <w:u w:val="none"/>
                <w:lang w:val="en-US" w:eastAsia="zh-CN"/>
              </w:rPr>
              <w:t>年产干黄花菜</w:t>
            </w:r>
            <w:r>
              <w:rPr>
                <w:rFonts w:hint="eastAsia" w:cs="Times New Roman"/>
                <w:highlight w:val="none"/>
                <w:u w:val="none"/>
                <w:lang w:val="en-US" w:eastAsia="zh-CN"/>
              </w:rPr>
              <w:t>3</w:t>
            </w:r>
            <w:r>
              <w:rPr>
                <w:rFonts w:hint="default" w:ascii="Times New Roman" w:hAnsi="Times New Roman" w:cs="Times New Roman"/>
                <w:highlight w:val="none"/>
                <w:u w:val="none"/>
                <w:lang w:val="en-US" w:eastAsia="zh-CN"/>
              </w:rPr>
              <w:t>00t，</w:t>
            </w:r>
            <w:r>
              <w:rPr>
                <w:rFonts w:hint="eastAsia" w:cs="Times New Roman"/>
                <w:highlight w:val="none"/>
                <w:u w:val="none"/>
                <w:lang w:val="en-US" w:eastAsia="zh-CN"/>
              </w:rPr>
              <w:t>约</w:t>
            </w:r>
            <w:r>
              <w:rPr>
                <w:rFonts w:hint="default" w:ascii="Times New Roman" w:hAnsi="Times New Roman" w:cs="Times New Roman"/>
                <w:highlight w:val="none"/>
                <w:u w:val="none"/>
                <w:lang w:val="en-US" w:eastAsia="zh-CN"/>
              </w:rPr>
              <w:t>7t鲜黄花菜产1t干黄花菜，</w:t>
            </w:r>
            <w:r>
              <w:rPr>
                <w:rFonts w:hint="eastAsia" w:cs="Times New Roman"/>
                <w:highlight w:val="none"/>
                <w:u w:val="none"/>
                <w:lang w:val="en-US" w:eastAsia="zh-CN"/>
              </w:rPr>
              <w:t>则鲜黄花菜用量为2100t/a，</w:t>
            </w:r>
            <w:r>
              <w:rPr>
                <w:rFonts w:hint="default" w:ascii="Times New Roman" w:hAnsi="Times New Roman" w:cs="Times New Roman"/>
                <w:highlight w:val="none"/>
                <w:u w:val="none"/>
                <w:lang w:val="en-US" w:eastAsia="zh-CN"/>
              </w:rPr>
              <w:t>鲜菜清洗用水量约1t菜/</w:t>
            </w:r>
            <w:r>
              <w:rPr>
                <w:rFonts w:hint="eastAsia" w:cs="Times New Roman"/>
                <w:highlight w:val="none"/>
                <w:u w:val="none"/>
                <w:lang w:val="en-US" w:eastAsia="zh-CN"/>
              </w:rPr>
              <w:t>0.3</w:t>
            </w:r>
            <w:r>
              <w:rPr>
                <w:rFonts w:hint="default" w:ascii="Times New Roman" w:hAnsi="Times New Roman" w:cs="Times New Roman"/>
                <w:highlight w:val="none"/>
                <w:u w:val="none"/>
                <w:lang w:val="en-US" w:eastAsia="zh-CN"/>
              </w:rPr>
              <w:t>t水，则本项目</w:t>
            </w:r>
            <w:r>
              <w:rPr>
                <w:rFonts w:hint="eastAsia" w:cs="Times New Roman"/>
                <w:highlight w:val="none"/>
                <w:u w:val="none"/>
                <w:lang w:val="en-US" w:eastAsia="zh-CN"/>
              </w:rPr>
              <w:t>鲜黄花菜清洗</w:t>
            </w:r>
            <w:r>
              <w:rPr>
                <w:rFonts w:hint="default" w:ascii="Times New Roman" w:hAnsi="Times New Roman" w:cs="Times New Roman"/>
                <w:highlight w:val="none"/>
                <w:u w:val="none"/>
                <w:lang w:val="en-US" w:eastAsia="zh-CN"/>
              </w:rPr>
              <w:t>用水量约</w:t>
            </w:r>
            <w:r>
              <w:rPr>
                <w:rFonts w:hint="eastAsia" w:cs="Times New Roman"/>
                <w:highlight w:val="none"/>
                <w:u w:val="none"/>
                <w:lang w:val="en-US" w:eastAsia="zh-CN"/>
              </w:rPr>
              <w:t>630</w:t>
            </w:r>
            <w:r>
              <w:rPr>
                <w:rFonts w:hint="default" w:ascii="Times New Roman" w:hAnsi="Times New Roman" w:cs="Times New Roman"/>
                <w:highlight w:val="none"/>
                <w:u w:val="none"/>
                <w:lang w:val="en-US" w:eastAsia="zh-CN"/>
              </w:rPr>
              <w:t>t/a</w:t>
            </w:r>
            <w:r>
              <w:rPr>
                <w:rFonts w:hint="eastAsia" w:cs="Times New Roman"/>
                <w:highlight w:val="none"/>
                <w:u w:val="none"/>
                <w:lang w:val="en-US" w:eastAsia="zh-CN"/>
              </w:rPr>
              <w:t>。</w:t>
            </w:r>
          </w:p>
          <w:p w14:paraId="4BA64B8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highlight w:val="none"/>
                <w:u w:val="none"/>
                <w:lang w:val="en-US" w:eastAsia="zh-CN"/>
              </w:rPr>
            </w:pPr>
            <w:r>
              <w:rPr>
                <w:rFonts w:hint="default" w:ascii="Times New Roman" w:hAnsi="Times New Roman" w:cs="Times New Roman"/>
                <w:highlight w:val="none"/>
                <w:u w:val="none"/>
                <w:lang w:val="en-US" w:eastAsia="zh-CN"/>
              </w:rPr>
              <w:t>2）</w:t>
            </w:r>
            <w:r>
              <w:rPr>
                <w:rFonts w:hint="eastAsia" w:cs="Times New Roman"/>
                <w:highlight w:val="none"/>
                <w:u w:val="none"/>
                <w:lang w:val="en-US" w:eastAsia="zh-CN"/>
              </w:rPr>
              <w:t>干黄花菜浸泡清洗及烫煮用水</w:t>
            </w:r>
            <w:r>
              <w:rPr>
                <w:rFonts w:hint="default" w:ascii="Times New Roman" w:hAnsi="Times New Roman" w:cs="Times New Roman"/>
                <w:highlight w:val="none"/>
                <w:u w:val="none"/>
                <w:lang w:val="en-US" w:eastAsia="zh-CN"/>
              </w:rPr>
              <w:t>：本项目即食黄花菜</w:t>
            </w:r>
            <w:r>
              <w:rPr>
                <w:rFonts w:hint="eastAsia" w:cs="Times New Roman"/>
                <w:highlight w:val="none"/>
                <w:u w:val="none"/>
                <w:lang w:val="en-US" w:eastAsia="zh-CN"/>
              </w:rPr>
              <w:t>原料为厂内自产的干黄花菜，年产即食黄花菜150t，1t干黄花菜产1t即食黄花菜，即食黄花菜生产需将干黄花菜进行浸泡、烫煮，浸泡烫煮用水量约1t菜/2t水，则本项目干黄花菜浸泡及烫煮用水量约300</w:t>
            </w:r>
            <w:r>
              <w:rPr>
                <w:rFonts w:hint="default" w:ascii="Times New Roman" w:hAnsi="Times New Roman" w:cs="Times New Roman"/>
                <w:highlight w:val="none"/>
                <w:u w:val="none"/>
                <w:lang w:val="en-US" w:eastAsia="zh-CN"/>
              </w:rPr>
              <w:t>t/a。</w:t>
            </w:r>
          </w:p>
          <w:p w14:paraId="30E78860">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highlight w:val="none"/>
                <w:u w:val="none"/>
                <w:lang w:val="en-US" w:eastAsia="zh-CN"/>
              </w:rPr>
            </w:pPr>
            <w:r>
              <w:rPr>
                <w:rFonts w:hint="default" w:ascii="Times New Roman" w:hAnsi="Times New Roman" w:cs="Times New Roman"/>
                <w:highlight w:val="none"/>
                <w:u w:val="none"/>
                <w:lang w:val="en-US" w:eastAsia="zh-CN"/>
              </w:rPr>
              <w:t>3）</w:t>
            </w:r>
            <w:r>
              <w:rPr>
                <w:rFonts w:hint="eastAsia" w:cs="Times New Roman"/>
                <w:highlight w:val="none"/>
                <w:u w:val="none"/>
                <w:lang w:val="en-US" w:eastAsia="zh-CN"/>
              </w:rPr>
              <w:t>盐水渍菜</w:t>
            </w:r>
            <w:r>
              <w:rPr>
                <w:rFonts w:hint="default" w:ascii="Times New Roman" w:hAnsi="Times New Roman" w:cs="Times New Roman"/>
                <w:highlight w:val="none"/>
                <w:u w:val="none"/>
                <w:lang w:val="en-US" w:eastAsia="zh-CN"/>
              </w:rPr>
              <w:t>清洗用水</w:t>
            </w:r>
            <w:r>
              <w:rPr>
                <w:rFonts w:hint="eastAsia" w:cs="Times New Roman"/>
                <w:highlight w:val="none"/>
                <w:u w:val="none"/>
                <w:lang w:val="en-US" w:eastAsia="zh-CN"/>
              </w:rPr>
              <w:t>：</w:t>
            </w:r>
            <w:r>
              <w:rPr>
                <w:rFonts w:hint="default" w:ascii="Times New Roman" w:hAnsi="Times New Roman" w:cs="Times New Roman"/>
                <w:highlight w:val="none"/>
                <w:u w:val="none"/>
                <w:lang w:val="en-US" w:eastAsia="zh-CN"/>
              </w:rPr>
              <w:t>本项目年产</w:t>
            </w:r>
            <w:r>
              <w:rPr>
                <w:rFonts w:hint="eastAsia" w:cs="Times New Roman"/>
                <w:highlight w:val="none"/>
                <w:u w:val="none"/>
                <w:lang w:val="en-US" w:eastAsia="zh-CN"/>
              </w:rPr>
              <w:t>盐水渍菜5900</w:t>
            </w:r>
            <w:r>
              <w:rPr>
                <w:rFonts w:hint="default" w:ascii="Times New Roman" w:hAnsi="Times New Roman" w:cs="Times New Roman"/>
                <w:highlight w:val="none"/>
                <w:u w:val="none"/>
                <w:lang w:val="en-US" w:eastAsia="zh-CN"/>
              </w:rPr>
              <w:t>t</w:t>
            </w:r>
            <w:r>
              <w:rPr>
                <w:rFonts w:hint="eastAsia" w:cs="Times New Roman"/>
                <w:highlight w:val="none"/>
                <w:u w:val="none"/>
                <w:lang w:val="en-US" w:eastAsia="zh-CN"/>
              </w:rPr>
              <w:t>（黄花菜重量，不包含包装袋中的盐水）</w:t>
            </w:r>
            <w:r>
              <w:rPr>
                <w:rFonts w:hint="default" w:ascii="Times New Roman" w:hAnsi="Times New Roman" w:cs="Times New Roman"/>
                <w:highlight w:val="none"/>
                <w:u w:val="none"/>
                <w:lang w:val="en-US" w:eastAsia="zh-CN"/>
              </w:rPr>
              <w:t>，</w:t>
            </w:r>
            <w:r>
              <w:rPr>
                <w:rFonts w:hint="eastAsia" w:cs="Times New Roman"/>
                <w:highlight w:val="none"/>
                <w:u w:val="none"/>
                <w:lang w:val="en-US" w:eastAsia="zh-CN"/>
              </w:rPr>
              <w:t>盐水渍菜</w:t>
            </w:r>
            <w:r>
              <w:rPr>
                <w:rFonts w:hint="default" w:ascii="Times New Roman" w:hAnsi="Times New Roman" w:cs="Times New Roman"/>
                <w:highlight w:val="none"/>
                <w:u w:val="none"/>
                <w:lang w:val="en-US" w:eastAsia="zh-CN"/>
              </w:rPr>
              <w:t>生产需进行3次清洗，</w:t>
            </w:r>
            <w:r>
              <w:rPr>
                <w:rFonts w:hint="eastAsia" w:cs="Times New Roman"/>
                <w:highlight w:val="none"/>
                <w:u w:val="none"/>
                <w:lang w:val="en-US" w:eastAsia="zh-CN"/>
              </w:rPr>
              <w:t>总用水量约1t菜/4.5t水（一次清洗用水约1t菜/2t水、二次清洗用水约1t菜/1.35t水、三次清洗用水约1t菜/1.15t水）</w:t>
            </w:r>
            <w:r>
              <w:rPr>
                <w:rFonts w:hint="default" w:ascii="Times New Roman" w:hAnsi="Times New Roman" w:cs="Times New Roman"/>
                <w:highlight w:val="none"/>
                <w:u w:val="none"/>
                <w:lang w:val="en-US" w:eastAsia="zh-CN"/>
              </w:rPr>
              <w:t>，则本项目</w:t>
            </w:r>
            <w:r>
              <w:rPr>
                <w:rFonts w:hint="eastAsia" w:cs="Times New Roman"/>
                <w:highlight w:val="none"/>
                <w:u w:val="none"/>
                <w:lang w:val="en-US" w:eastAsia="zh-CN"/>
              </w:rPr>
              <w:t>盐水渍菜</w:t>
            </w:r>
            <w:r>
              <w:rPr>
                <w:rFonts w:hint="default" w:ascii="Times New Roman" w:hAnsi="Times New Roman" w:cs="Times New Roman"/>
                <w:highlight w:val="none"/>
                <w:u w:val="none"/>
                <w:lang w:val="en-US" w:eastAsia="zh-CN"/>
              </w:rPr>
              <w:t>生产清洗用水量约</w:t>
            </w:r>
            <w:r>
              <w:rPr>
                <w:rFonts w:hint="eastAsia" w:cs="Times New Roman"/>
                <w:highlight w:val="none"/>
                <w:u w:val="none"/>
                <w:lang w:val="en-US" w:eastAsia="zh-CN"/>
              </w:rPr>
              <w:t>26550</w:t>
            </w:r>
            <w:r>
              <w:rPr>
                <w:rFonts w:hint="default" w:ascii="Times New Roman" w:hAnsi="Times New Roman" w:cs="Times New Roman"/>
                <w:highlight w:val="none"/>
                <w:u w:val="none"/>
                <w:lang w:val="en-US" w:eastAsia="zh-CN"/>
              </w:rPr>
              <w:t>t/a。</w:t>
            </w:r>
          </w:p>
          <w:p w14:paraId="634ABCC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②</w:t>
            </w:r>
            <w:r>
              <w:rPr>
                <w:rFonts w:hint="default" w:ascii="Times New Roman" w:hAnsi="Times New Roman" w:cs="Times New Roman"/>
                <w:color w:val="auto"/>
                <w:sz w:val="24"/>
                <w:highlight w:val="none"/>
                <w:lang w:val="en-US" w:eastAsia="zh-CN"/>
              </w:rPr>
              <w:t>车间地面及设备清洗用水</w:t>
            </w:r>
          </w:p>
          <w:p w14:paraId="5736138E">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1）</w:t>
            </w:r>
            <w:r>
              <w:rPr>
                <w:rFonts w:hint="eastAsia" w:cs="Times New Roman"/>
                <w:color w:val="auto"/>
                <w:sz w:val="24"/>
                <w:highlight w:val="none"/>
                <w:lang w:val="en-US" w:eastAsia="zh-CN"/>
              </w:rPr>
              <w:t>干黄花菜</w:t>
            </w:r>
            <w:r>
              <w:rPr>
                <w:rFonts w:hint="default" w:ascii="Times New Roman" w:hAnsi="Times New Roman" w:cs="Times New Roman"/>
                <w:color w:val="auto"/>
                <w:sz w:val="24"/>
                <w:highlight w:val="none"/>
                <w:lang w:val="en-US" w:eastAsia="zh-CN"/>
              </w:rPr>
              <w:t>生产</w:t>
            </w:r>
            <w:r>
              <w:rPr>
                <w:rFonts w:hint="eastAsia" w:cs="Times New Roman"/>
                <w:color w:val="auto"/>
                <w:sz w:val="24"/>
                <w:highlight w:val="none"/>
                <w:lang w:val="en-US" w:eastAsia="zh-CN"/>
              </w:rPr>
              <w:t>区地面</w:t>
            </w:r>
            <w:r>
              <w:rPr>
                <w:rFonts w:hint="default" w:ascii="Times New Roman" w:hAnsi="Times New Roman" w:cs="Times New Roman"/>
                <w:color w:val="auto"/>
                <w:sz w:val="24"/>
                <w:highlight w:val="none"/>
                <w:lang w:val="en-US" w:eastAsia="zh-CN"/>
              </w:rPr>
              <w:t>及设备清洗用水</w:t>
            </w:r>
          </w:p>
          <w:p w14:paraId="2FB7CA4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本项目干黄花菜</w:t>
            </w:r>
            <w:r>
              <w:rPr>
                <w:rFonts w:hint="eastAsia" w:cs="Times New Roman"/>
                <w:color w:val="auto"/>
                <w:sz w:val="24"/>
                <w:highlight w:val="none"/>
                <w:lang w:val="en-US" w:eastAsia="zh-CN"/>
              </w:rPr>
              <w:t>生产线位于1#厂房（有独立密闭的生产区域），</w:t>
            </w:r>
            <w:r>
              <w:rPr>
                <w:rFonts w:hint="default" w:ascii="Times New Roman" w:hAnsi="Times New Roman" w:cs="Times New Roman"/>
                <w:color w:val="auto"/>
                <w:sz w:val="24"/>
                <w:highlight w:val="none"/>
                <w:lang w:val="en-US" w:eastAsia="zh-CN"/>
              </w:rPr>
              <w:t>年生产周期短，约</w:t>
            </w:r>
            <w:r>
              <w:rPr>
                <w:rFonts w:hint="eastAsia" w:cs="Times New Roman"/>
                <w:color w:val="auto"/>
                <w:sz w:val="24"/>
                <w:highlight w:val="none"/>
                <w:lang w:val="en-US" w:eastAsia="zh-CN"/>
              </w:rPr>
              <w:t>40</w:t>
            </w:r>
            <w:r>
              <w:rPr>
                <w:rFonts w:hint="default" w:ascii="Times New Roman" w:hAnsi="Times New Roman" w:cs="Times New Roman"/>
                <w:color w:val="auto"/>
                <w:sz w:val="24"/>
                <w:highlight w:val="none"/>
                <w:lang w:val="en-US" w:eastAsia="zh-CN"/>
              </w:rPr>
              <w:t>d/a，</w:t>
            </w:r>
            <w:r>
              <w:rPr>
                <w:rFonts w:hint="eastAsia" w:cs="Times New Roman"/>
                <w:color w:val="auto"/>
                <w:sz w:val="24"/>
                <w:highlight w:val="none"/>
                <w:lang w:val="en-US" w:eastAsia="zh-CN"/>
              </w:rPr>
              <w:t>干黄花菜</w:t>
            </w:r>
            <w:r>
              <w:rPr>
                <w:rFonts w:hint="default" w:ascii="Times New Roman" w:hAnsi="Times New Roman" w:cs="Times New Roman"/>
                <w:color w:val="auto"/>
                <w:sz w:val="24"/>
                <w:highlight w:val="none"/>
                <w:lang w:val="en-US" w:eastAsia="zh-CN"/>
              </w:rPr>
              <w:t>生产</w:t>
            </w:r>
            <w:r>
              <w:rPr>
                <w:rFonts w:hint="eastAsia" w:cs="Times New Roman"/>
                <w:color w:val="auto"/>
                <w:sz w:val="24"/>
                <w:highlight w:val="none"/>
                <w:lang w:val="en-US" w:eastAsia="zh-CN"/>
              </w:rPr>
              <w:t>区地面</w:t>
            </w:r>
            <w:r>
              <w:rPr>
                <w:rFonts w:hint="default" w:ascii="Times New Roman" w:hAnsi="Times New Roman" w:cs="Times New Roman"/>
                <w:color w:val="auto"/>
                <w:sz w:val="24"/>
                <w:highlight w:val="none"/>
                <w:lang w:val="en-US" w:eastAsia="zh-CN"/>
              </w:rPr>
              <w:t>及设备年清洗频次约3次，单次用水量约</w:t>
            </w:r>
            <w:r>
              <w:rPr>
                <w:rFonts w:hint="eastAsia" w:cs="Times New Roman"/>
                <w:color w:val="auto"/>
                <w:sz w:val="24"/>
                <w:highlight w:val="none"/>
                <w:lang w:val="en-US" w:eastAsia="zh-CN"/>
              </w:rPr>
              <w:t>2</w:t>
            </w:r>
            <w:r>
              <w:rPr>
                <w:rFonts w:hint="default" w:ascii="Times New Roman" w:hAnsi="Times New Roman" w:cs="Times New Roman"/>
                <w:color w:val="auto"/>
                <w:sz w:val="24"/>
                <w:highlight w:val="none"/>
                <w:lang w:val="en-US" w:eastAsia="zh-CN"/>
              </w:rPr>
              <w:t>t/次，则</w:t>
            </w:r>
            <w:r>
              <w:rPr>
                <w:rFonts w:hint="eastAsia" w:cs="Times New Roman"/>
                <w:color w:val="auto"/>
                <w:sz w:val="24"/>
                <w:highlight w:val="none"/>
                <w:lang w:val="en-US" w:eastAsia="zh-CN"/>
              </w:rPr>
              <w:t>干黄花菜</w:t>
            </w:r>
            <w:r>
              <w:rPr>
                <w:rFonts w:hint="default" w:ascii="Times New Roman" w:hAnsi="Times New Roman" w:cs="Times New Roman"/>
                <w:color w:val="auto"/>
                <w:sz w:val="24"/>
                <w:highlight w:val="none"/>
                <w:lang w:val="en-US" w:eastAsia="zh-CN"/>
              </w:rPr>
              <w:t>生产</w:t>
            </w:r>
            <w:r>
              <w:rPr>
                <w:rFonts w:hint="eastAsia" w:cs="Times New Roman"/>
                <w:color w:val="auto"/>
                <w:sz w:val="24"/>
                <w:highlight w:val="none"/>
                <w:lang w:val="en-US" w:eastAsia="zh-CN"/>
              </w:rPr>
              <w:t>区地面</w:t>
            </w:r>
            <w:r>
              <w:rPr>
                <w:rFonts w:hint="default" w:ascii="Times New Roman" w:hAnsi="Times New Roman" w:cs="Times New Roman"/>
                <w:color w:val="auto"/>
                <w:sz w:val="24"/>
                <w:highlight w:val="none"/>
                <w:lang w:val="en-US" w:eastAsia="zh-CN"/>
              </w:rPr>
              <w:t>及设备清洗用水量约</w:t>
            </w:r>
            <w:r>
              <w:rPr>
                <w:rFonts w:hint="eastAsia" w:cs="Times New Roman"/>
                <w:color w:val="auto"/>
                <w:sz w:val="24"/>
                <w:highlight w:val="none"/>
                <w:lang w:val="en-US" w:eastAsia="zh-CN"/>
              </w:rPr>
              <w:t>6</w:t>
            </w:r>
            <w:r>
              <w:rPr>
                <w:rFonts w:hint="default" w:ascii="Times New Roman" w:hAnsi="Times New Roman" w:cs="Times New Roman"/>
                <w:color w:val="auto"/>
                <w:sz w:val="24"/>
                <w:highlight w:val="none"/>
                <w:lang w:val="en-US" w:eastAsia="zh-CN"/>
              </w:rPr>
              <w:t>t/a。</w:t>
            </w:r>
          </w:p>
          <w:p w14:paraId="7409800C">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2）</w:t>
            </w:r>
            <w:r>
              <w:rPr>
                <w:rFonts w:hint="eastAsia" w:cs="Times New Roman"/>
                <w:color w:val="auto"/>
                <w:sz w:val="24"/>
                <w:highlight w:val="none"/>
                <w:lang w:val="en-US" w:eastAsia="zh-CN"/>
              </w:rPr>
              <w:t>即食黄花菜生产区地面</w:t>
            </w:r>
            <w:r>
              <w:rPr>
                <w:rFonts w:hint="default" w:ascii="Times New Roman" w:hAnsi="Times New Roman" w:cs="Times New Roman"/>
                <w:color w:val="auto"/>
                <w:sz w:val="24"/>
                <w:highlight w:val="none"/>
                <w:lang w:val="en-US" w:eastAsia="zh-CN"/>
              </w:rPr>
              <w:t>及设备清洗用水</w:t>
            </w:r>
          </w:p>
          <w:p w14:paraId="383AB026">
            <w:pPr>
              <w:keepNext w:val="0"/>
              <w:keepLines w:val="0"/>
              <w:suppressLineNumbers w:val="0"/>
              <w:spacing w:before="0" w:beforeAutospacing="0" w:after="0" w:afterAutospacing="0" w:line="360" w:lineRule="auto"/>
              <w:ind w:left="0" w:right="0" w:firstLine="480" w:firstLineChars="200"/>
              <w:rPr>
                <w:rFonts w:hint="eastAsia"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本项目</w:t>
            </w:r>
            <w:r>
              <w:rPr>
                <w:rFonts w:hint="eastAsia" w:cs="Times New Roman"/>
                <w:color w:val="auto"/>
                <w:sz w:val="24"/>
                <w:highlight w:val="none"/>
                <w:lang w:val="en-US" w:eastAsia="zh-CN"/>
              </w:rPr>
              <w:t>即食黄花菜生产线位于1#厂房（有独立密闭的生产区域）</w:t>
            </w:r>
            <w:r>
              <w:rPr>
                <w:rFonts w:hint="default" w:ascii="Times New Roman" w:hAnsi="Times New Roman" w:cs="Times New Roman"/>
                <w:color w:val="auto"/>
                <w:sz w:val="24"/>
                <w:highlight w:val="none"/>
                <w:lang w:val="en-US" w:eastAsia="zh-CN"/>
              </w:rPr>
              <w:t>，年生产300d，</w:t>
            </w:r>
            <w:r>
              <w:rPr>
                <w:rFonts w:hint="eastAsia" w:cs="Times New Roman"/>
                <w:color w:val="auto"/>
                <w:sz w:val="24"/>
                <w:highlight w:val="none"/>
                <w:lang w:val="en-US" w:eastAsia="zh-CN"/>
              </w:rPr>
              <w:t>即食黄花菜生产区地面</w:t>
            </w:r>
            <w:r>
              <w:rPr>
                <w:rFonts w:hint="default" w:ascii="Times New Roman" w:hAnsi="Times New Roman" w:cs="Times New Roman"/>
                <w:color w:val="auto"/>
                <w:sz w:val="24"/>
                <w:highlight w:val="none"/>
                <w:lang w:val="en-US" w:eastAsia="zh-CN"/>
              </w:rPr>
              <w:t>及设备清洗频次约2次/月，单次用水量约</w:t>
            </w:r>
            <w:r>
              <w:rPr>
                <w:rFonts w:hint="eastAsia" w:cs="Times New Roman"/>
                <w:color w:val="auto"/>
                <w:sz w:val="24"/>
                <w:highlight w:val="none"/>
                <w:lang w:val="en-US" w:eastAsia="zh-CN"/>
              </w:rPr>
              <w:t>2</w:t>
            </w:r>
            <w:r>
              <w:rPr>
                <w:rFonts w:hint="default" w:ascii="Times New Roman" w:hAnsi="Times New Roman" w:cs="Times New Roman"/>
                <w:color w:val="auto"/>
                <w:sz w:val="24"/>
                <w:highlight w:val="none"/>
                <w:lang w:val="en-US" w:eastAsia="zh-CN"/>
              </w:rPr>
              <w:t>t/次，则</w:t>
            </w:r>
            <w:r>
              <w:rPr>
                <w:rFonts w:hint="eastAsia" w:cs="Times New Roman"/>
                <w:color w:val="auto"/>
                <w:sz w:val="24"/>
                <w:highlight w:val="none"/>
                <w:lang w:val="en-US" w:eastAsia="zh-CN"/>
              </w:rPr>
              <w:t>即食黄花菜生产区地面</w:t>
            </w:r>
            <w:r>
              <w:rPr>
                <w:rFonts w:hint="default" w:ascii="Times New Roman" w:hAnsi="Times New Roman" w:cs="Times New Roman"/>
                <w:color w:val="auto"/>
                <w:sz w:val="24"/>
                <w:highlight w:val="none"/>
                <w:lang w:val="en-US" w:eastAsia="zh-CN"/>
              </w:rPr>
              <w:t>及设备清洗用水量约</w:t>
            </w:r>
            <w:r>
              <w:rPr>
                <w:rFonts w:hint="eastAsia" w:cs="Times New Roman"/>
                <w:color w:val="auto"/>
                <w:sz w:val="24"/>
                <w:highlight w:val="none"/>
                <w:lang w:val="en-US" w:eastAsia="zh-CN"/>
              </w:rPr>
              <w:t>40</w:t>
            </w:r>
            <w:r>
              <w:rPr>
                <w:rFonts w:hint="default" w:ascii="Times New Roman" w:hAnsi="Times New Roman" w:cs="Times New Roman"/>
                <w:color w:val="auto"/>
                <w:sz w:val="24"/>
                <w:highlight w:val="none"/>
                <w:lang w:val="en-US" w:eastAsia="zh-CN"/>
              </w:rPr>
              <w:t>t/a</w:t>
            </w:r>
            <w:r>
              <w:rPr>
                <w:rFonts w:hint="eastAsia" w:cs="Times New Roman"/>
                <w:color w:val="auto"/>
                <w:sz w:val="24"/>
                <w:highlight w:val="none"/>
                <w:lang w:val="en-US" w:eastAsia="zh-CN"/>
              </w:rPr>
              <w:t>。</w:t>
            </w:r>
          </w:p>
          <w:p w14:paraId="4D1E17A8">
            <w:pPr>
              <w:keepNext w:val="0"/>
              <w:keepLines w:val="0"/>
              <w:numPr>
                <w:ilvl w:val="0"/>
                <w:numId w:val="8"/>
              </w:numPr>
              <w:suppressLineNumbers w:val="0"/>
              <w:spacing w:before="0" w:beforeAutospacing="0" w:after="0" w:afterAutospacing="0" w:line="360" w:lineRule="auto"/>
              <w:ind w:left="0" w:right="0" w:firstLine="480" w:firstLineChars="200"/>
              <w:rPr>
                <w:rFonts w:hint="eastAsia" w:cs="Times New Roman"/>
                <w:color w:val="auto"/>
                <w:sz w:val="24"/>
                <w:highlight w:val="none"/>
                <w:lang w:val="en-US" w:eastAsia="zh-CN"/>
              </w:rPr>
            </w:pPr>
            <w:r>
              <w:rPr>
                <w:rFonts w:hint="eastAsia" w:cs="Times New Roman"/>
                <w:color w:val="auto"/>
                <w:sz w:val="24"/>
                <w:highlight w:val="none"/>
                <w:lang w:val="en-US" w:eastAsia="zh-CN"/>
              </w:rPr>
              <w:t>盐水渍菜生产车间及设备清洗用水</w:t>
            </w:r>
          </w:p>
          <w:p w14:paraId="71EBE1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本项目盐水渍菜生产线位于2#、3#、4#厂房，</w:t>
            </w:r>
            <w:r>
              <w:rPr>
                <w:rFonts w:hint="default" w:ascii="Times New Roman" w:hAnsi="Times New Roman" w:cs="Times New Roman"/>
                <w:color w:val="auto"/>
                <w:sz w:val="24"/>
                <w:highlight w:val="none"/>
                <w:lang w:val="en-US" w:eastAsia="zh-CN"/>
              </w:rPr>
              <w:t>年生产300d，</w:t>
            </w:r>
            <w:r>
              <w:rPr>
                <w:rFonts w:hint="eastAsia" w:cs="Times New Roman"/>
                <w:color w:val="auto"/>
                <w:sz w:val="24"/>
                <w:highlight w:val="none"/>
                <w:lang w:val="en-US" w:eastAsia="zh-CN"/>
              </w:rPr>
              <w:t>盐水渍菜生产车间地面</w:t>
            </w:r>
            <w:r>
              <w:rPr>
                <w:rFonts w:hint="default" w:ascii="Times New Roman" w:hAnsi="Times New Roman" w:cs="Times New Roman"/>
                <w:color w:val="auto"/>
                <w:sz w:val="24"/>
                <w:highlight w:val="none"/>
                <w:lang w:val="en-US" w:eastAsia="zh-CN"/>
              </w:rPr>
              <w:t>及设备清洗频次约2次/月，单次用水量约</w:t>
            </w:r>
            <w:r>
              <w:rPr>
                <w:rFonts w:hint="eastAsia" w:cs="Times New Roman"/>
                <w:color w:val="auto"/>
                <w:sz w:val="24"/>
                <w:highlight w:val="none"/>
                <w:lang w:val="en-US" w:eastAsia="zh-CN"/>
              </w:rPr>
              <w:t>6</w:t>
            </w:r>
            <w:r>
              <w:rPr>
                <w:rFonts w:hint="default" w:ascii="Times New Roman" w:hAnsi="Times New Roman" w:cs="Times New Roman"/>
                <w:color w:val="auto"/>
                <w:sz w:val="24"/>
                <w:highlight w:val="none"/>
                <w:lang w:val="en-US" w:eastAsia="zh-CN"/>
              </w:rPr>
              <w:t>t/次，则</w:t>
            </w:r>
            <w:r>
              <w:rPr>
                <w:rFonts w:hint="eastAsia" w:cs="Times New Roman"/>
                <w:color w:val="auto"/>
                <w:sz w:val="24"/>
                <w:highlight w:val="none"/>
                <w:lang w:val="en-US" w:eastAsia="zh-CN"/>
              </w:rPr>
              <w:t>即食黄花菜生产区地面</w:t>
            </w:r>
            <w:r>
              <w:rPr>
                <w:rFonts w:hint="default" w:ascii="Times New Roman" w:hAnsi="Times New Roman" w:cs="Times New Roman"/>
                <w:color w:val="auto"/>
                <w:sz w:val="24"/>
                <w:highlight w:val="none"/>
                <w:lang w:val="en-US" w:eastAsia="zh-CN"/>
              </w:rPr>
              <w:t>及设备清洗用水量约</w:t>
            </w:r>
            <w:r>
              <w:rPr>
                <w:rFonts w:hint="eastAsia" w:cs="Times New Roman"/>
                <w:color w:val="auto"/>
                <w:sz w:val="24"/>
                <w:highlight w:val="none"/>
                <w:lang w:val="en-US" w:eastAsia="zh-CN"/>
              </w:rPr>
              <w:t>120</w:t>
            </w:r>
            <w:r>
              <w:rPr>
                <w:rFonts w:hint="default" w:ascii="Times New Roman" w:hAnsi="Times New Roman" w:cs="Times New Roman"/>
                <w:color w:val="auto"/>
                <w:sz w:val="24"/>
                <w:highlight w:val="none"/>
                <w:lang w:val="en-US" w:eastAsia="zh-CN"/>
              </w:rPr>
              <w:t>t/a。</w:t>
            </w:r>
          </w:p>
          <w:p w14:paraId="1D81FFC6">
            <w:pPr>
              <w:keepNext w:val="0"/>
              <w:keepLines w:val="0"/>
              <w:suppressLineNumbers w:val="0"/>
              <w:spacing w:before="0" w:beforeAutospacing="0" w:after="0" w:afterAutospacing="0" w:line="360" w:lineRule="auto"/>
              <w:ind w:left="0" w:right="0" w:firstLine="480" w:firstLineChars="200"/>
              <w:rPr>
                <w:rFonts w:hint="eastAsia" w:cs="Times New Roman"/>
                <w:color w:val="000000" w:themeColor="text1"/>
                <w:sz w:val="24"/>
                <w:highlight w:val="none"/>
                <w:lang w:val="en-US" w:eastAsia="zh-CN"/>
                <w14:textFill>
                  <w14:solidFill>
                    <w14:schemeClr w14:val="tx1"/>
                  </w14:solidFill>
                </w14:textFill>
              </w:rPr>
            </w:pPr>
            <w:r>
              <w:rPr>
                <w:rFonts w:hint="default" w:ascii="Times New Roman" w:hAnsi="Times New Roman" w:cs="Times New Roman"/>
                <w:color w:val="000000" w:themeColor="text1"/>
                <w:sz w:val="24"/>
                <w:highlight w:val="none"/>
                <w:lang w:val="en-US" w:eastAsia="zh-CN"/>
                <w14:textFill>
                  <w14:solidFill>
                    <w14:schemeClr w14:val="tx1"/>
                  </w14:solidFill>
                </w14:textFill>
              </w:rPr>
              <w:t>③</w:t>
            </w:r>
            <w:r>
              <w:rPr>
                <w:rFonts w:hint="eastAsia" w:cs="Times New Roman"/>
                <w:color w:val="000000" w:themeColor="text1"/>
                <w:sz w:val="24"/>
                <w:highlight w:val="none"/>
                <w:lang w:val="en-US" w:eastAsia="zh-CN"/>
                <w14:textFill>
                  <w14:solidFill>
                    <w14:schemeClr w14:val="tx1"/>
                  </w14:solidFill>
                </w14:textFill>
              </w:rPr>
              <w:t>锅炉用水</w:t>
            </w:r>
          </w:p>
          <w:p w14:paraId="41B4EB71">
            <w:pPr>
              <w:keepNext w:val="0"/>
              <w:keepLines w:val="0"/>
              <w:suppressLineNumbers w:val="0"/>
              <w:spacing w:before="0" w:beforeAutospacing="0" w:after="0" w:afterAutospacing="0" w:line="360" w:lineRule="auto"/>
              <w:ind w:left="0" w:right="0" w:firstLine="480" w:firstLineChars="200"/>
              <w:rPr>
                <w:rFonts w:hint="default"/>
                <w:b w:val="0"/>
                <w:bCs w:val="0"/>
                <w:color w:val="000000" w:themeColor="text1"/>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本项目干黄花菜生产过程中需要使用蒸汽加热（间接加热）。本项目设置1台3t/h生物质锅炉，锅炉运行时间为40d/a、8h/d。则项目生物质锅炉产汽量约为34t/d（960t/a），</w:t>
            </w:r>
            <w:r>
              <w:rPr>
                <w:rFonts w:hint="eastAsia"/>
                <w:b w:val="0"/>
                <w:bCs w:val="0"/>
                <w:color w:val="000000" w:themeColor="text1"/>
                <w:lang w:val="en-US" w:eastAsia="zh-CN"/>
                <w14:textFill>
                  <w14:solidFill>
                    <w14:schemeClr w14:val="tx1"/>
                  </w14:solidFill>
                </w14:textFill>
              </w:rPr>
              <w:t>蒸汽冷凝水</w:t>
            </w:r>
            <w:r>
              <w:rPr>
                <w:rFonts w:hint="eastAsia" w:ascii="Times New Roman" w:hAnsi="Times New Roman" w:eastAsia="宋体" w:cs="Times New Roman"/>
                <w:color w:val="000000" w:themeColor="text1"/>
                <w:kern w:val="0"/>
                <w:sz w:val="24"/>
                <w:szCs w:val="24"/>
                <w:u w:val="none" w:color="auto"/>
                <w:lang w:val="en-US" w:eastAsia="zh-CN"/>
                <w14:textFill>
                  <w14:solidFill>
                    <w14:schemeClr w14:val="tx1"/>
                  </w14:solidFill>
                </w14:textFill>
              </w:rPr>
              <w:t>循环利用</w:t>
            </w:r>
            <w:r>
              <w:rPr>
                <w:rFonts w:hint="eastAsia"/>
                <w:b w:val="0"/>
                <w:bCs w:val="0"/>
                <w:color w:val="000000" w:themeColor="text1"/>
                <w:lang w:val="en-US" w:eastAsia="zh-CN"/>
                <w14:textFill>
                  <w14:solidFill>
                    <w14:schemeClr w14:val="tx1"/>
                  </w14:solidFill>
                </w14:textFill>
              </w:rPr>
              <w:t>，损耗率约为10%，则需补充水量为2.4m</w:t>
            </w:r>
            <w:r>
              <w:rPr>
                <w:rFonts w:hint="eastAsia"/>
                <w:b w:val="0"/>
                <w:bCs w:val="0"/>
                <w:color w:val="000000" w:themeColor="text1"/>
                <w:vertAlign w:val="superscript"/>
                <w:lang w:val="en-US" w:eastAsia="zh-CN"/>
                <w14:textFill>
                  <w14:solidFill>
                    <w14:schemeClr w14:val="tx1"/>
                  </w14:solidFill>
                </w14:textFill>
              </w:rPr>
              <w:t>3</w:t>
            </w:r>
            <w:r>
              <w:rPr>
                <w:rFonts w:hint="eastAsia" w:cs="Times New Roman"/>
                <w:b w:val="0"/>
                <w:bCs w:val="0"/>
                <w:color w:val="000000" w:themeColor="text1"/>
                <w:lang w:val="en-US" w:eastAsia="zh-CN"/>
                <w14:textFill>
                  <w14:solidFill>
                    <w14:schemeClr w14:val="tx1"/>
                  </w14:solidFill>
                </w14:textFill>
              </w:rPr>
              <w:t>/</w:t>
            </w:r>
            <w:r>
              <w:rPr>
                <w:rFonts w:hint="eastAsia"/>
                <w:b w:val="0"/>
                <w:bCs w:val="0"/>
                <w:color w:val="000000" w:themeColor="text1"/>
                <w:lang w:val="en-US" w:eastAsia="zh-CN"/>
                <w14:textFill>
                  <w14:solidFill>
                    <w14:schemeClr w14:val="tx1"/>
                  </w14:solidFill>
                </w14:textFill>
              </w:rPr>
              <w:t>d（96m</w:t>
            </w:r>
            <w:r>
              <w:rPr>
                <w:rFonts w:hint="eastAsia"/>
                <w:b w:val="0"/>
                <w:bCs w:val="0"/>
                <w:color w:val="000000" w:themeColor="text1"/>
                <w:vertAlign w:val="superscript"/>
                <w:lang w:val="en-US" w:eastAsia="zh-CN"/>
                <w14:textFill>
                  <w14:solidFill>
                    <w14:schemeClr w14:val="tx1"/>
                  </w14:solidFill>
                </w14:textFill>
              </w:rPr>
              <w:t>3</w:t>
            </w:r>
            <w:r>
              <w:rPr>
                <w:rFonts w:hint="eastAsia" w:cs="Times New Roman"/>
                <w:b w:val="0"/>
                <w:bCs w:val="0"/>
                <w:color w:val="000000" w:themeColor="text1"/>
                <w:lang w:val="en-US" w:eastAsia="zh-CN"/>
                <w14:textFill>
                  <w14:solidFill>
                    <w14:schemeClr w14:val="tx1"/>
                  </w14:solidFill>
                </w14:textFill>
              </w:rPr>
              <w:t>/</w:t>
            </w:r>
            <w:r>
              <w:rPr>
                <w:rFonts w:hint="eastAsia"/>
                <w:b w:val="0"/>
                <w:bCs w:val="0"/>
                <w:color w:val="000000" w:themeColor="text1"/>
                <w:lang w:val="en-US" w:eastAsia="zh-CN"/>
                <w14:textFill>
                  <w14:solidFill>
                    <w14:schemeClr w14:val="tx1"/>
                  </w14:solidFill>
                </w14:textFill>
              </w:rPr>
              <w:t>a），本项目锅炉用水采用纯水。根据《锅炉产排污量核算系数手册》中的“4430 工业锅炉（热力生产和供应行业）产污系数表-工业废水量和化学需氧量”，生物质锅炉排污水的产生量为0.259吨</w:t>
            </w:r>
            <w:r>
              <w:rPr>
                <w:rFonts w:hint="eastAsia" w:cs="Times New Roman"/>
                <w:b w:val="0"/>
                <w:bCs w:val="0"/>
                <w:color w:val="000000" w:themeColor="text1"/>
                <w:lang w:val="en-US" w:eastAsia="zh-CN"/>
                <w14:textFill>
                  <w14:solidFill>
                    <w14:schemeClr w14:val="tx1"/>
                  </w14:solidFill>
                </w14:textFill>
              </w:rPr>
              <w:t>/</w:t>
            </w:r>
            <w:r>
              <w:rPr>
                <w:rFonts w:hint="eastAsia"/>
                <w:b w:val="0"/>
                <w:bCs w:val="0"/>
                <w:color w:val="000000" w:themeColor="text1"/>
                <w:lang w:val="en-US" w:eastAsia="zh-CN"/>
                <w14:textFill>
                  <w14:solidFill>
                    <w14:schemeClr w14:val="tx1"/>
                  </w14:solidFill>
                </w14:textFill>
              </w:rPr>
              <w:t>吨·原料，本项目生物质锅炉</w:t>
            </w:r>
            <w:r>
              <w:rPr>
                <w:rFonts w:hint="eastAsia"/>
                <w:color w:val="000000" w:themeColor="text1"/>
                <w:lang w:val="en-US" w:eastAsia="zh-CN"/>
                <w14:textFill>
                  <w14:solidFill>
                    <w14:schemeClr w14:val="tx1"/>
                  </w14:solidFill>
                </w14:textFill>
              </w:rPr>
              <w:t>燃料用量为160t</w:t>
            </w:r>
            <w:r>
              <w:rPr>
                <w:rFonts w:hint="eastAsia" w:cs="Times New Roman"/>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a，</w:t>
            </w:r>
            <w:r>
              <w:rPr>
                <w:rFonts w:hint="eastAsia"/>
                <w:b w:val="0"/>
                <w:bCs w:val="0"/>
                <w:color w:val="000000" w:themeColor="text1"/>
                <w:lang w:val="en-US" w:eastAsia="zh-CN"/>
                <w14:textFill>
                  <w14:solidFill>
                    <w14:schemeClr w14:val="tx1"/>
                  </w14:solidFill>
                </w14:textFill>
              </w:rPr>
              <w:t>则锅炉废水产生</w:t>
            </w:r>
            <w:r>
              <w:rPr>
                <w:rFonts w:hint="eastAsia"/>
                <w:b w:val="0"/>
                <w:bCs w:val="0"/>
                <w:color w:val="000000" w:themeColor="text1"/>
                <w:highlight w:val="none"/>
                <w:lang w:val="en-US" w:eastAsia="zh-CN"/>
                <w14:textFill>
                  <w14:solidFill>
                    <w14:schemeClr w14:val="tx1"/>
                  </w14:solidFill>
                </w14:textFill>
              </w:rPr>
              <w:t>量为1.036m</w:t>
            </w:r>
            <w:r>
              <w:rPr>
                <w:rFonts w:hint="eastAsia"/>
                <w:b w:val="0"/>
                <w:bCs w:val="0"/>
                <w:color w:val="000000" w:themeColor="text1"/>
                <w:highlight w:val="none"/>
                <w:vertAlign w:val="superscript"/>
                <w:lang w:val="en-US" w:eastAsia="zh-CN"/>
                <w14:textFill>
                  <w14:solidFill>
                    <w14:schemeClr w14:val="tx1"/>
                  </w14:solidFill>
                </w14:textFill>
              </w:rPr>
              <w:t>3</w:t>
            </w:r>
            <w:r>
              <w:rPr>
                <w:rFonts w:hint="eastAsia" w:cs="Times New Roman"/>
                <w:b w:val="0"/>
                <w:bCs w:val="0"/>
                <w:color w:val="000000" w:themeColor="text1"/>
                <w:highlight w:val="none"/>
                <w:lang w:val="en-US" w:eastAsia="zh-CN"/>
                <w14:textFill>
                  <w14:solidFill>
                    <w14:schemeClr w14:val="tx1"/>
                  </w14:solidFill>
                </w14:textFill>
              </w:rPr>
              <w:t>/</w:t>
            </w:r>
            <w:r>
              <w:rPr>
                <w:rFonts w:hint="eastAsia"/>
                <w:b w:val="0"/>
                <w:bCs w:val="0"/>
                <w:color w:val="000000" w:themeColor="text1"/>
                <w:highlight w:val="none"/>
                <w:lang w:val="en-US" w:eastAsia="zh-CN"/>
                <w14:textFill>
                  <w14:solidFill>
                    <w14:schemeClr w14:val="tx1"/>
                  </w14:solidFill>
                </w14:textFill>
              </w:rPr>
              <w:t>d（41.44m</w:t>
            </w:r>
            <w:r>
              <w:rPr>
                <w:rFonts w:hint="eastAsia"/>
                <w:b w:val="0"/>
                <w:bCs w:val="0"/>
                <w:color w:val="000000" w:themeColor="text1"/>
                <w:highlight w:val="none"/>
                <w:vertAlign w:val="superscript"/>
                <w:lang w:val="en-US" w:eastAsia="zh-CN"/>
                <w14:textFill>
                  <w14:solidFill>
                    <w14:schemeClr w14:val="tx1"/>
                  </w14:solidFill>
                </w14:textFill>
              </w:rPr>
              <w:t>3</w:t>
            </w:r>
            <w:r>
              <w:rPr>
                <w:rFonts w:hint="eastAsia" w:cs="Times New Roman"/>
                <w:b w:val="0"/>
                <w:bCs w:val="0"/>
                <w:color w:val="000000" w:themeColor="text1"/>
                <w:highlight w:val="none"/>
                <w:lang w:val="en-US" w:eastAsia="zh-CN"/>
                <w14:textFill>
                  <w14:solidFill>
                    <w14:schemeClr w14:val="tx1"/>
                  </w14:solidFill>
                </w14:textFill>
              </w:rPr>
              <w:t>/</w:t>
            </w:r>
            <w:r>
              <w:rPr>
                <w:rFonts w:hint="eastAsia"/>
                <w:b w:val="0"/>
                <w:bCs w:val="0"/>
                <w:color w:val="000000" w:themeColor="text1"/>
                <w:highlight w:val="none"/>
                <w:lang w:val="en-US" w:eastAsia="zh-CN"/>
                <w14:textFill>
                  <w14:solidFill>
                    <w14:schemeClr w14:val="tx1"/>
                  </w14:solidFill>
                </w14:textFill>
              </w:rPr>
              <w:t>a）</w:t>
            </w:r>
            <w:r>
              <w:rPr>
                <w:rFonts w:hint="eastAsia"/>
                <w:b w:val="0"/>
                <w:bCs w:val="0"/>
                <w:color w:val="000000" w:themeColor="text1"/>
                <w:lang w:val="en-US" w:eastAsia="zh-CN"/>
                <w14:textFill>
                  <w14:solidFill>
                    <w14:schemeClr w14:val="tx1"/>
                  </w14:solidFill>
                </w14:textFill>
              </w:rPr>
              <w:t>。</w:t>
            </w:r>
          </w:p>
          <w:p w14:paraId="5A048237">
            <w:pPr>
              <w:keepNext w:val="0"/>
              <w:keepLines w:val="0"/>
              <w:suppressLineNumbers w:val="0"/>
              <w:spacing w:before="0" w:beforeAutospacing="0" w:after="0" w:afterAutospacing="0" w:line="360" w:lineRule="auto"/>
              <w:ind w:left="0" w:right="0" w:firstLine="480" w:firstLineChars="200"/>
              <w:rPr>
                <w:rFonts w:hint="default"/>
                <w:b w:val="0"/>
                <w:bCs w:val="0"/>
                <w:color w:val="0000FF"/>
                <w:lang w:val="en-US" w:eastAsia="zh-CN"/>
              </w:rPr>
            </w:pPr>
            <w:r>
              <w:rPr>
                <w:rFonts w:hint="eastAsia"/>
                <w:b w:val="0"/>
                <w:bCs w:val="0"/>
                <w:color w:val="000000" w:themeColor="text1"/>
                <w:lang w:val="en-US" w:eastAsia="zh-CN"/>
                <w14:textFill>
                  <w14:solidFill>
                    <w14:schemeClr w14:val="tx1"/>
                  </w14:solidFill>
                </w14:textFill>
              </w:rPr>
              <w:t>综上，本项目锅炉总补充水量为3.436m</w:t>
            </w:r>
            <w:r>
              <w:rPr>
                <w:rFonts w:hint="eastAsia"/>
                <w:b w:val="0"/>
                <w:bCs w:val="0"/>
                <w:color w:val="000000" w:themeColor="text1"/>
                <w:vertAlign w:val="superscript"/>
                <w:lang w:val="en-US" w:eastAsia="zh-CN"/>
                <w14:textFill>
                  <w14:solidFill>
                    <w14:schemeClr w14:val="tx1"/>
                  </w14:solidFill>
                </w14:textFill>
              </w:rPr>
              <w:t>3</w:t>
            </w:r>
            <w:r>
              <w:rPr>
                <w:rFonts w:hint="eastAsia" w:cs="Times New Roman"/>
                <w:b w:val="0"/>
                <w:bCs w:val="0"/>
                <w:color w:val="000000" w:themeColor="text1"/>
                <w:lang w:val="en-US" w:eastAsia="zh-CN"/>
                <w14:textFill>
                  <w14:solidFill>
                    <w14:schemeClr w14:val="tx1"/>
                  </w14:solidFill>
                </w14:textFill>
              </w:rPr>
              <w:t>/</w:t>
            </w:r>
            <w:r>
              <w:rPr>
                <w:rFonts w:hint="eastAsia"/>
                <w:b w:val="0"/>
                <w:bCs w:val="0"/>
                <w:color w:val="000000" w:themeColor="text1"/>
                <w:lang w:val="en-US" w:eastAsia="zh-CN"/>
                <w14:textFill>
                  <w14:solidFill>
                    <w14:schemeClr w14:val="tx1"/>
                  </w14:solidFill>
                </w14:textFill>
              </w:rPr>
              <w:t>d（137.44m</w:t>
            </w:r>
            <w:r>
              <w:rPr>
                <w:rFonts w:hint="eastAsia"/>
                <w:b w:val="0"/>
                <w:bCs w:val="0"/>
                <w:color w:val="000000" w:themeColor="text1"/>
                <w:vertAlign w:val="superscript"/>
                <w:lang w:val="en-US" w:eastAsia="zh-CN"/>
                <w14:textFill>
                  <w14:solidFill>
                    <w14:schemeClr w14:val="tx1"/>
                  </w14:solidFill>
                </w14:textFill>
              </w:rPr>
              <w:t>3</w:t>
            </w:r>
            <w:r>
              <w:rPr>
                <w:rFonts w:hint="eastAsia" w:cs="Times New Roman"/>
                <w:b w:val="0"/>
                <w:bCs w:val="0"/>
                <w:color w:val="000000" w:themeColor="text1"/>
                <w:lang w:val="en-US" w:eastAsia="zh-CN"/>
                <w14:textFill>
                  <w14:solidFill>
                    <w14:schemeClr w14:val="tx1"/>
                  </w14:solidFill>
                </w14:textFill>
              </w:rPr>
              <w:t>/</w:t>
            </w:r>
            <w:r>
              <w:rPr>
                <w:rFonts w:hint="eastAsia"/>
                <w:b w:val="0"/>
                <w:bCs w:val="0"/>
                <w:color w:val="000000" w:themeColor="text1"/>
                <w:lang w:val="en-US" w:eastAsia="zh-CN"/>
                <w14:textFill>
                  <w14:solidFill>
                    <w14:schemeClr w14:val="tx1"/>
                  </w14:solidFill>
                </w14:textFill>
              </w:rPr>
              <w:t>a），全部使用纯水。</w:t>
            </w:r>
          </w:p>
          <w:p w14:paraId="3008FEB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000000" w:themeColor="text1"/>
                <w:sz w:val="24"/>
                <w:highlight w:val="none"/>
                <w:lang w:val="en-US" w:eastAsia="zh-CN"/>
                <w14:textFill>
                  <w14:solidFill>
                    <w14:schemeClr w14:val="tx1"/>
                  </w14:solidFill>
                </w14:textFill>
              </w:rPr>
            </w:pPr>
            <w:r>
              <w:rPr>
                <w:rFonts w:hint="eastAsia" w:ascii="宋体" w:hAnsi="宋体" w:eastAsia="宋体" w:cs="宋体"/>
                <w:color w:val="000000" w:themeColor="text1"/>
                <w:sz w:val="24"/>
                <w:highlight w:val="none"/>
                <w:lang w:val="en-US" w:eastAsia="zh-CN"/>
                <w14:textFill>
                  <w14:solidFill>
                    <w14:schemeClr w14:val="tx1"/>
                  </w14:solidFill>
                </w14:textFill>
              </w:rPr>
              <w:t>④</w:t>
            </w:r>
            <w:r>
              <w:rPr>
                <w:rFonts w:hint="default" w:ascii="Times New Roman" w:hAnsi="Times New Roman" w:cs="Times New Roman"/>
                <w:color w:val="000000" w:themeColor="text1"/>
                <w:sz w:val="24"/>
                <w:highlight w:val="none"/>
                <w:lang w:val="en-US" w:eastAsia="zh-CN"/>
                <w14:textFill>
                  <w14:solidFill>
                    <w14:schemeClr w14:val="tx1"/>
                  </w14:solidFill>
                </w14:textFill>
              </w:rPr>
              <w:t>纯水制备用水</w:t>
            </w:r>
          </w:p>
          <w:p w14:paraId="74C021C0">
            <w:pPr>
              <w:keepNext w:val="0"/>
              <w:keepLines w:val="0"/>
              <w:numPr>
                <w:ilvl w:val="0"/>
                <w:numId w:val="0"/>
              </w:numPr>
              <w:suppressLineNumbers w:val="0"/>
              <w:adjustRightInd w:val="0"/>
              <w:snapToGrid w:val="0"/>
              <w:spacing w:before="0" w:beforeLines="0" w:beforeAutospacing="0" w:after="0" w:afterAutospacing="0"/>
              <w:ind w:left="0" w:right="0" w:firstLine="480" w:firstLineChars="200"/>
              <w:rPr>
                <w:rFonts w:hint="eastAsia" w:cs="Times New Roman"/>
                <w:color w:val="000000" w:themeColor="text1"/>
                <w:sz w:val="24"/>
                <w:highlight w:val="none"/>
                <w:u w:val="none"/>
                <w:lang w:val="en-US" w:eastAsia="zh-CN"/>
                <w14:textFill>
                  <w14:solidFill>
                    <w14:schemeClr w14:val="tx1"/>
                  </w14:solidFill>
                </w14:textFill>
              </w:rPr>
            </w:pPr>
            <w:r>
              <w:rPr>
                <w:rFonts w:hint="default" w:ascii="Times New Roman" w:hAnsi="Times New Roman" w:cs="Times New Roman"/>
                <w:color w:val="000000" w:themeColor="text1"/>
                <w:sz w:val="24"/>
                <w:highlight w:val="none"/>
                <w:u w:val="none"/>
                <w:lang w:val="en-US" w:eastAsia="zh-CN"/>
                <w14:textFill>
                  <w14:solidFill>
                    <w14:schemeClr w14:val="tx1"/>
                  </w14:solidFill>
                </w14:textFill>
              </w:rPr>
              <w:t>本项目</w:t>
            </w:r>
            <w:r>
              <w:rPr>
                <w:rFonts w:hint="eastAsia" w:cs="Times New Roman"/>
                <w:color w:val="000000" w:themeColor="text1"/>
                <w:sz w:val="24"/>
                <w:highlight w:val="none"/>
                <w:u w:val="none"/>
                <w:lang w:val="en-US" w:eastAsia="zh-CN"/>
                <w14:textFill>
                  <w14:solidFill>
                    <w14:schemeClr w14:val="tx1"/>
                  </w14:solidFill>
                </w14:textFill>
              </w:rPr>
              <w:t>生物质锅炉使用</w:t>
            </w:r>
            <w:r>
              <w:rPr>
                <w:rFonts w:hint="default" w:ascii="Times New Roman" w:hAnsi="Times New Roman" w:cs="Times New Roman"/>
                <w:color w:val="000000" w:themeColor="text1"/>
                <w:sz w:val="24"/>
                <w:highlight w:val="none"/>
                <w:u w:val="none"/>
                <w:lang w:val="en-US" w:eastAsia="zh-CN"/>
                <w14:textFill>
                  <w14:solidFill>
                    <w14:schemeClr w14:val="tx1"/>
                  </w14:solidFill>
                </w14:textFill>
              </w:rPr>
              <w:t>纯水，纯水用量约</w:t>
            </w:r>
            <w:r>
              <w:rPr>
                <w:rFonts w:hint="eastAsia" w:cs="Times New Roman"/>
                <w:color w:val="000000" w:themeColor="text1"/>
                <w:sz w:val="24"/>
                <w:highlight w:val="none"/>
                <w:u w:val="none"/>
                <w:lang w:val="en-US" w:eastAsia="zh-CN"/>
                <w14:textFill>
                  <w14:solidFill>
                    <w14:schemeClr w14:val="tx1"/>
                  </w14:solidFill>
                </w14:textFill>
              </w:rPr>
              <w:t>137.44</w:t>
            </w:r>
            <w:r>
              <w:rPr>
                <w:rFonts w:hint="default" w:ascii="Times New Roman" w:hAnsi="Times New Roman" w:cs="Times New Roman"/>
                <w:color w:val="000000" w:themeColor="text1"/>
                <w:sz w:val="24"/>
                <w:highlight w:val="none"/>
                <w:u w:val="none"/>
                <w:lang w:val="en-US" w:eastAsia="zh-CN"/>
                <w14:textFill>
                  <w14:solidFill>
                    <w14:schemeClr w14:val="tx1"/>
                  </w14:solidFill>
                </w14:textFill>
              </w:rPr>
              <w:t>t/a，项目设有1套纯水设备，采用自来水制备纯水，系统回收率</w:t>
            </w:r>
            <w:r>
              <w:rPr>
                <w:rFonts w:hint="eastAsia" w:cs="Times New Roman"/>
                <w:color w:val="000000" w:themeColor="text1"/>
                <w:sz w:val="24"/>
                <w:highlight w:val="none"/>
                <w:u w:val="none"/>
                <w:lang w:val="en-US" w:eastAsia="zh-CN"/>
                <w14:textFill>
                  <w14:solidFill>
                    <w14:schemeClr w14:val="tx1"/>
                  </w14:solidFill>
                </w14:textFill>
              </w:rPr>
              <w:t>75%</w:t>
            </w:r>
            <w:r>
              <w:rPr>
                <w:rFonts w:hint="default" w:ascii="Times New Roman" w:hAnsi="Times New Roman" w:cs="Times New Roman"/>
                <w:color w:val="000000" w:themeColor="text1"/>
                <w:sz w:val="24"/>
                <w:highlight w:val="none"/>
                <w:u w:val="none"/>
                <w:lang w:val="en-US" w:eastAsia="zh-CN"/>
                <w14:textFill>
                  <w14:solidFill>
                    <w14:schemeClr w14:val="tx1"/>
                  </w14:solidFill>
                </w14:textFill>
              </w:rPr>
              <w:t>，则本项目纯水制备用水量约</w:t>
            </w:r>
            <w:r>
              <w:rPr>
                <w:rFonts w:hint="eastAsia" w:cs="Times New Roman"/>
                <w:color w:val="000000" w:themeColor="text1"/>
                <w:sz w:val="24"/>
                <w:highlight w:val="none"/>
                <w:u w:val="none"/>
                <w:lang w:val="en-US" w:eastAsia="zh-CN"/>
                <w14:textFill>
                  <w14:solidFill>
                    <w14:schemeClr w14:val="tx1"/>
                  </w14:solidFill>
                </w14:textFill>
              </w:rPr>
              <w:t>183.25</w:t>
            </w:r>
            <w:r>
              <w:rPr>
                <w:rFonts w:hint="default" w:ascii="Times New Roman" w:hAnsi="Times New Roman" w:cs="Times New Roman"/>
                <w:color w:val="000000" w:themeColor="text1"/>
                <w:sz w:val="24"/>
                <w:highlight w:val="none"/>
                <w:u w:val="none"/>
                <w:lang w:val="en-US" w:eastAsia="zh-CN"/>
                <w14:textFill>
                  <w14:solidFill>
                    <w14:schemeClr w14:val="tx1"/>
                  </w14:solidFill>
                </w14:textFill>
              </w:rPr>
              <w:t>t/a，纯水制备浓水产生量约</w:t>
            </w:r>
            <w:r>
              <w:rPr>
                <w:rFonts w:hint="eastAsia" w:cs="Times New Roman"/>
                <w:color w:val="000000" w:themeColor="text1"/>
                <w:sz w:val="24"/>
                <w:highlight w:val="none"/>
                <w:u w:val="none"/>
                <w:lang w:val="en-US" w:eastAsia="zh-CN"/>
                <w14:textFill>
                  <w14:solidFill>
                    <w14:schemeClr w14:val="tx1"/>
                  </w14:solidFill>
                </w14:textFill>
              </w:rPr>
              <w:t>45.81</w:t>
            </w:r>
            <w:r>
              <w:rPr>
                <w:rFonts w:hint="default" w:ascii="Times New Roman" w:hAnsi="Times New Roman" w:cs="Times New Roman"/>
                <w:color w:val="000000" w:themeColor="text1"/>
                <w:sz w:val="24"/>
                <w:highlight w:val="none"/>
                <w:u w:val="none"/>
                <w:lang w:val="en-US" w:eastAsia="zh-CN"/>
                <w14:textFill>
                  <w14:solidFill>
                    <w14:schemeClr w14:val="tx1"/>
                  </w14:solidFill>
                </w14:textFill>
              </w:rPr>
              <w:t>t/a</w:t>
            </w:r>
            <w:r>
              <w:rPr>
                <w:rFonts w:hint="eastAsia" w:cs="Times New Roman"/>
                <w:color w:val="000000" w:themeColor="text1"/>
                <w:sz w:val="24"/>
                <w:highlight w:val="none"/>
                <w:u w:val="none"/>
                <w:lang w:val="en-US" w:eastAsia="zh-CN"/>
                <w14:textFill>
                  <w14:solidFill>
                    <w14:schemeClr w14:val="tx1"/>
                  </w14:solidFill>
                </w14:textFill>
              </w:rPr>
              <w:t>。</w:t>
            </w:r>
          </w:p>
          <w:p w14:paraId="2D125596">
            <w:pPr>
              <w:keepNext w:val="0"/>
              <w:keepLines w:val="0"/>
              <w:numPr>
                <w:ilvl w:val="0"/>
                <w:numId w:val="0"/>
              </w:numPr>
              <w:suppressLineNumbers w:val="0"/>
              <w:adjustRightInd w:val="0"/>
              <w:snapToGrid w:val="0"/>
              <w:spacing w:before="0" w:beforeLines="0" w:beforeAutospacing="0" w:after="0" w:afterAutospacing="0"/>
              <w:ind w:left="0" w:right="0" w:firstLine="480" w:firstLineChars="200"/>
              <w:rPr>
                <w:rFonts w:hint="default" w:cs="Times New Roman"/>
                <w:color w:val="000000" w:themeColor="text1"/>
                <w:sz w:val="24"/>
                <w:highlight w:val="none"/>
                <w:u w:val="none"/>
                <w:lang w:val="en-US" w:eastAsia="zh-CN"/>
                <w14:textFill>
                  <w14:solidFill>
                    <w14:schemeClr w14:val="tx1"/>
                  </w14:solidFill>
                </w14:textFill>
              </w:rPr>
            </w:pPr>
            <w:r>
              <w:rPr>
                <w:rFonts w:hint="eastAsia" w:ascii="宋体" w:hAnsi="宋体" w:eastAsia="宋体" w:cs="宋体"/>
                <w:color w:val="000000" w:themeColor="text1"/>
                <w:sz w:val="24"/>
                <w:highlight w:val="none"/>
                <w:u w:val="none"/>
                <w:lang w:val="en-US" w:eastAsia="zh-CN"/>
                <w14:textFill>
                  <w14:solidFill>
                    <w14:schemeClr w14:val="tx1"/>
                  </w14:solidFill>
                </w14:textFill>
              </w:rPr>
              <w:t>⑤</w:t>
            </w:r>
            <w:r>
              <w:rPr>
                <w:rFonts w:hint="eastAsia" w:cs="Times New Roman"/>
                <w:color w:val="000000" w:themeColor="text1"/>
                <w:sz w:val="24"/>
                <w:highlight w:val="none"/>
                <w:u w:val="none"/>
                <w:lang w:val="en-US" w:eastAsia="zh-CN"/>
                <w14:textFill>
                  <w14:solidFill>
                    <w14:schemeClr w14:val="tx1"/>
                  </w14:solidFill>
                </w14:textFill>
              </w:rPr>
              <w:t>盐水制备用水</w:t>
            </w:r>
          </w:p>
          <w:p w14:paraId="2B162F35">
            <w:pPr>
              <w:keepNext w:val="0"/>
              <w:keepLines w:val="0"/>
              <w:numPr>
                <w:ilvl w:val="0"/>
                <w:numId w:val="0"/>
              </w:numPr>
              <w:suppressLineNumbers w:val="0"/>
              <w:adjustRightInd w:val="0"/>
              <w:snapToGrid w:val="0"/>
              <w:spacing w:before="0" w:beforeLines="0" w:beforeAutospacing="0" w:after="0" w:afterAutospacing="0"/>
              <w:ind w:left="0" w:right="0" w:firstLine="480" w:firstLineChars="200"/>
              <w:rPr>
                <w:rFonts w:hint="default" w:ascii="Times New Roman" w:hAnsi="Times New Roman" w:cs="Times New Roman"/>
                <w:color w:val="000000" w:themeColor="text1"/>
                <w:sz w:val="24"/>
                <w:highlight w:val="none"/>
                <w:u w:val="none"/>
                <w:lang w:val="en-US" w:eastAsia="zh-CN"/>
                <w14:textFill>
                  <w14:solidFill>
                    <w14:schemeClr w14:val="tx1"/>
                  </w14:solidFill>
                </w14:textFill>
              </w:rPr>
            </w:pPr>
            <w:r>
              <w:rPr>
                <w:rFonts w:hint="eastAsia" w:cs="Times New Roman"/>
                <w:color w:val="000000" w:themeColor="text1"/>
                <w:sz w:val="24"/>
                <w:highlight w:val="none"/>
                <w:u w:val="none"/>
                <w:lang w:val="en-US" w:eastAsia="zh-CN"/>
                <w14:textFill>
                  <w14:solidFill>
                    <w14:schemeClr w14:val="tx1"/>
                  </w14:solidFill>
                </w14:textFill>
              </w:rPr>
              <w:t>本项目盐水渍菜需带水包装，用水比例为1.5t菜/3.5t水，均采用自来水，则本项目盐水制备用水量约13766.67t/a，全部随产品带走，无排水</w:t>
            </w:r>
            <w:r>
              <w:rPr>
                <w:rFonts w:hint="default" w:ascii="Times New Roman" w:hAnsi="Times New Roman" w:cs="Times New Roman"/>
                <w:color w:val="000000" w:themeColor="text1"/>
                <w:sz w:val="24"/>
                <w:highlight w:val="none"/>
                <w:u w:val="none"/>
                <w:lang w:val="en-US" w:eastAsia="zh-CN"/>
                <w14:textFill>
                  <w14:solidFill>
                    <w14:schemeClr w14:val="tx1"/>
                  </w14:solidFill>
                </w14:textFill>
              </w:rPr>
              <w:t>。</w:t>
            </w:r>
          </w:p>
          <w:p w14:paraId="07890653">
            <w:pPr>
              <w:keepNext w:val="0"/>
              <w:keepLines w:val="0"/>
              <w:numPr>
                <w:ilvl w:val="0"/>
                <w:numId w:val="9"/>
              </w:numPr>
              <w:suppressLineNumbers w:val="0"/>
              <w:adjustRightInd w:val="0"/>
              <w:snapToGrid w:val="0"/>
              <w:spacing w:before="0" w:beforeLines="0" w:beforeAutospacing="0" w:after="0" w:afterAutospacing="0"/>
              <w:ind w:left="0" w:right="0" w:firstLine="480" w:firstLineChars="200"/>
              <w:rPr>
                <w:rFonts w:hint="default" w:ascii="Times New Roman" w:hAnsi="Times New Roman" w:cs="Times New Roman"/>
                <w:color w:val="auto"/>
                <w:sz w:val="24"/>
                <w:highlight w:val="none"/>
                <w:u w:val="none"/>
                <w:lang w:val="en-US" w:eastAsia="zh-CN"/>
              </w:rPr>
            </w:pPr>
            <w:r>
              <w:rPr>
                <w:rFonts w:hint="default" w:ascii="Times New Roman" w:hAnsi="Times New Roman" w:cs="Times New Roman"/>
                <w:color w:val="auto"/>
                <w:sz w:val="24"/>
                <w:highlight w:val="none"/>
                <w:u w:val="none"/>
                <w:lang w:val="en-US" w:eastAsia="zh-CN"/>
              </w:rPr>
              <w:t>排水</w:t>
            </w:r>
          </w:p>
          <w:p w14:paraId="7824CDB2">
            <w:pPr>
              <w:keepNext w:val="0"/>
              <w:keepLines w:val="0"/>
              <w:suppressLineNumbers w:val="0"/>
              <w:spacing w:before="0" w:beforeAutospacing="0" w:after="0" w:afterAutospacing="0" w:line="360" w:lineRule="auto"/>
              <w:ind w:left="0" w:right="0" w:firstLine="480" w:firstLineChars="200"/>
              <w:rPr>
                <w:rFonts w:hint="eastAsia" w:cs="Times New Roman"/>
                <w:color w:val="auto"/>
                <w:highlight w:val="none"/>
                <w:lang w:val="en-US" w:eastAsia="zh-CN"/>
              </w:rPr>
            </w:pPr>
            <w:r>
              <w:rPr>
                <w:rFonts w:hint="default" w:ascii="Times New Roman" w:hAnsi="Times New Roman" w:eastAsia="宋体" w:cs="Times New Roman"/>
                <w:highlight w:val="none"/>
                <w:u w:val="none"/>
                <w:lang w:val="en-US" w:eastAsia="zh-CN"/>
              </w:rPr>
              <w:t>①</w:t>
            </w:r>
            <w:r>
              <w:rPr>
                <w:rFonts w:hint="eastAsia" w:cs="Times New Roman"/>
                <w:highlight w:val="none"/>
                <w:u w:val="none"/>
                <w:lang w:val="en-US" w:eastAsia="zh-CN"/>
              </w:rPr>
              <w:t>生活污水：本项目</w:t>
            </w:r>
            <w:r>
              <w:rPr>
                <w:rFonts w:hint="default" w:ascii="Times New Roman" w:hAnsi="Times New Roman" w:cs="Times New Roman"/>
                <w:color w:val="auto"/>
                <w:sz w:val="24"/>
                <w:highlight w:val="none"/>
                <w:lang w:val="en-US" w:eastAsia="zh-CN"/>
              </w:rPr>
              <w:t>生活污水产生量</w:t>
            </w:r>
            <w:r>
              <w:rPr>
                <w:rFonts w:hint="default" w:ascii="Times New Roman" w:hAnsi="Times New Roman" w:eastAsia="宋体" w:cs="Times New Roman"/>
                <w:color w:val="auto"/>
                <w:sz w:val="24"/>
                <w:highlight w:val="none"/>
              </w:rPr>
              <w:t>约为</w:t>
            </w:r>
            <w:r>
              <w:rPr>
                <w:rFonts w:hint="default" w:ascii="Times New Roman" w:hAnsi="Times New Roman" w:cs="Times New Roman"/>
                <w:color w:val="auto"/>
                <w:sz w:val="24"/>
                <w:highlight w:val="none"/>
                <w:lang w:val="en-US" w:eastAsia="zh-CN"/>
              </w:rPr>
              <w:t>775.2</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/a。生活污水经化粪池</w:t>
            </w:r>
            <w:r>
              <w:rPr>
                <w:rFonts w:hint="default" w:ascii="Times New Roman" w:hAnsi="Times New Roman" w:eastAsia="宋体" w:cs="Times New Roman"/>
                <w:color w:val="auto"/>
                <w:sz w:val="24"/>
                <w:highlight w:val="none"/>
                <w:lang w:val="en-US" w:eastAsia="zh-CN"/>
              </w:rPr>
              <w:t>预</w:t>
            </w:r>
            <w:r>
              <w:rPr>
                <w:rFonts w:hint="default" w:ascii="Times New Roman" w:hAnsi="Times New Roman" w:eastAsia="宋体" w:cs="Times New Roman"/>
                <w:color w:val="auto"/>
                <w:sz w:val="24"/>
                <w:highlight w:val="none"/>
              </w:rPr>
              <w:t>处理后</w:t>
            </w:r>
            <w:r>
              <w:rPr>
                <w:rFonts w:hint="default" w:ascii="Times New Roman" w:hAnsi="Times New Roman" w:cs="Times New Roman"/>
                <w:color w:val="auto"/>
                <w:highlight w:val="none"/>
                <w:lang w:val="en-US" w:eastAsia="zh-CN"/>
              </w:rPr>
              <w:t>进入厂内自建污水处理站处理后排入官家嘴镇污水处理站进一步处理</w:t>
            </w:r>
            <w:r>
              <w:rPr>
                <w:rFonts w:hint="eastAsia" w:cs="Times New Roman"/>
                <w:color w:val="auto"/>
                <w:highlight w:val="none"/>
                <w:lang w:val="en-US" w:eastAsia="zh-CN"/>
              </w:rPr>
              <w:t>。</w:t>
            </w:r>
          </w:p>
          <w:p w14:paraId="146A5A3E">
            <w:pPr>
              <w:keepNext w:val="0"/>
              <w:keepLines w:val="0"/>
              <w:suppressLineNumbers w:val="0"/>
              <w:spacing w:before="0" w:beforeAutospacing="0" w:after="0" w:afterAutospacing="0" w:line="360" w:lineRule="auto"/>
              <w:ind w:left="0" w:right="0" w:firstLine="480" w:firstLineChars="200"/>
              <w:rPr>
                <w:rFonts w:hint="eastAsia" w:cs="Times New Roman"/>
                <w:color w:val="auto"/>
                <w:highlight w:val="none"/>
                <w:lang w:val="en-US" w:eastAsia="zh-CN"/>
              </w:rPr>
            </w:pPr>
            <w:r>
              <w:rPr>
                <w:rFonts w:hint="default" w:ascii="Times New Roman" w:hAnsi="Times New Roman" w:eastAsia="宋体" w:cs="Times New Roman"/>
                <w:color w:val="auto"/>
                <w:sz w:val="24"/>
                <w:highlight w:val="none"/>
                <w:lang w:val="en-US" w:eastAsia="zh-CN"/>
              </w:rPr>
              <w:t>②</w:t>
            </w:r>
            <w:r>
              <w:rPr>
                <w:rFonts w:hint="eastAsia" w:cs="Times New Roman"/>
                <w:color w:val="auto"/>
                <w:sz w:val="24"/>
                <w:highlight w:val="none"/>
                <w:lang w:val="en-US" w:eastAsia="zh-CN"/>
              </w:rPr>
              <w:t>生产废水：主要包括</w:t>
            </w:r>
            <w:r>
              <w:rPr>
                <w:rFonts w:hint="default" w:ascii="Times New Roman" w:hAnsi="Times New Roman" w:cs="Times New Roman"/>
                <w:highlight w:val="none"/>
                <w:u w:val="none"/>
                <w:lang w:val="en-US" w:eastAsia="zh-CN"/>
              </w:rPr>
              <w:t>黄花菜清洗</w:t>
            </w:r>
            <w:r>
              <w:rPr>
                <w:rFonts w:hint="eastAsia" w:cs="Times New Roman"/>
                <w:highlight w:val="none"/>
                <w:u w:val="none"/>
                <w:lang w:val="en-US" w:eastAsia="zh-CN"/>
              </w:rPr>
              <w:t>废水（包括鲜黄花菜清洗废水、干黄花菜浸泡清洗及烫煮废水、盐水渍菜清洗废水）、</w:t>
            </w:r>
            <w:r>
              <w:rPr>
                <w:rFonts w:hint="default" w:ascii="Times New Roman" w:hAnsi="Times New Roman" w:cs="Times New Roman"/>
                <w:highlight w:val="none"/>
                <w:u w:val="none"/>
                <w:lang w:val="en-US" w:eastAsia="zh-CN"/>
              </w:rPr>
              <w:t>车间地面以及设备清洗</w:t>
            </w:r>
            <w:r>
              <w:rPr>
                <w:rFonts w:hint="eastAsia" w:cs="Times New Roman"/>
                <w:highlight w:val="none"/>
                <w:u w:val="none"/>
                <w:lang w:val="en-US" w:eastAsia="zh-CN"/>
              </w:rPr>
              <w:t>废水（干黄花菜生产区地面及设备、即食菜生产区地面及设备、盐水渍菜生产车间地面及设备）</w:t>
            </w:r>
            <w:r>
              <w:rPr>
                <w:rFonts w:hint="eastAsia" w:cs="Times New Roman"/>
                <w:color w:val="auto"/>
                <w:sz w:val="24"/>
                <w:highlight w:val="none"/>
                <w:lang w:val="en-US" w:eastAsia="zh-CN"/>
              </w:rPr>
              <w:t>、锅炉排污水、纯水制备浓水</w:t>
            </w:r>
            <w:r>
              <w:rPr>
                <w:rFonts w:hint="default" w:ascii="Times New Roman" w:hAnsi="Times New Roman" w:cs="Times New Roman"/>
                <w:color w:val="auto"/>
                <w:highlight w:val="none"/>
                <w:lang w:val="en-US" w:eastAsia="zh-CN"/>
              </w:rPr>
              <w:t>。</w:t>
            </w:r>
            <w:r>
              <w:rPr>
                <w:rFonts w:hint="eastAsia" w:cs="Times New Roman"/>
                <w:color w:val="auto"/>
                <w:highlight w:val="none"/>
                <w:lang w:val="en-US" w:eastAsia="zh-CN"/>
              </w:rPr>
              <w:t>项目生产废水经</w:t>
            </w:r>
            <w:r>
              <w:rPr>
                <w:rFonts w:hint="default" w:ascii="Times New Roman" w:hAnsi="Times New Roman" w:cs="Times New Roman"/>
                <w:color w:val="auto"/>
                <w:highlight w:val="none"/>
                <w:lang w:val="en-US" w:eastAsia="zh-CN"/>
              </w:rPr>
              <w:t>厂内自建污水处理站处理后排入官家嘴镇污水处理站进一步处理</w:t>
            </w:r>
            <w:r>
              <w:rPr>
                <w:rFonts w:hint="eastAsia" w:cs="Times New Roman"/>
                <w:color w:val="auto"/>
                <w:highlight w:val="none"/>
                <w:lang w:val="en-US" w:eastAsia="zh-CN"/>
              </w:rPr>
              <w:t>。</w:t>
            </w:r>
          </w:p>
          <w:p w14:paraId="1F3D76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s="Times New Roman"/>
                <w:color w:val="auto"/>
                <w:highlight w:val="none"/>
                <w:lang w:val="en-US" w:eastAsia="zh-CN"/>
              </w:rPr>
            </w:pPr>
            <w:r>
              <w:rPr>
                <w:rFonts w:hint="eastAsia" w:cs="Times New Roman"/>
                <w:color w:val="auto"/>
                <w:highlight w:val="none"/>
                <w:lang w:val="en-US" w:eastAsia="zh-CN"/>
              </w:rPr>
              <w:t>本项目废水产生及排放情况详见下表。</w:t>
            </w:r>
          </w:p>
          <w:p w14:paraId="1C6865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bCs/>
                <w:color w:val="auto"/>
                <w:sz w:val="21"/>
                <w:szCs w:val="21"/>
                <w:highlight w:val="none"/>
                <w:lang w:val="en-US" w:eastAsia="zh-CN"/>
              </w:rPr>
            </w:pPr>
            <w:r>
              <w:rPr>
                <w:rFonts w:hint="eastAsia" w:cs="Times New Roman"/>
                <w:b/>
                <w:bCs/>
                <w:color w:val="auto"/>
                <w:sz w:val="21"/>
                <w:szCs w:val="21"/>
                <w:highlight w:val="none"/>
                <w:lang w:val="en-US" w:eastAsia="zh-CN"/>
              </w:rPr>
              <w:t>表2.1-9 本项目废水产生及排放情况一览表</w:t>
            </w:r>
          </w:p>
          <w:tbl>
            <w:tblPr>
              <w:tblStyle w:val="28"/>
              <w:tblW w:w="49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892"/>
              <w:gridCol w:w="1202"/>
              <w:gridCol w:w="810"/>
              <w:gridCol w:w="1460"/>
              <w:gridCol w:w="729"/>
              <w:gridCol w:w="1217"/>
              <w:gridCol w:w="989"/>
            </w:tblGrid>
            <w:tr w14:paraId="04E82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noWrap/>
                  <w:vAlign w:val="center"/>
                </w:tcPr>
                <w:p w14:paraId="2CE19DC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22"/>
                      <w:szCs w:val="22"/>
                      <w:u w:val="none"/>
                    </w:rPr>
                  </w:pPr>
                </w:p>
              </w:tc>
              <w:tc>
                <w:tcPr>
                  <w:tcW w:w="1212" w:type="pct"/>
                  <w:gridSpan w:val="2"/>
                  <w:shd w:val="clear" w:color="auto" w:fill="auto"/>
                  <w:noWrap/>
                  <w:vAlign w:val="center"/>
                </w:tcPr>
                <w:p w14:paraId="5C33174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22"/>
                      <w:szCs w:val="22"/>
                      <w:u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用水系数</w:t>
                  </w:r>
                </w:p>
              </w:tc>
              <w:tc>
                <w:tcPr>
                  <w:tcW w:w="879" w:type="pct"/>
                  <w:shd w:val="clear" w:color="auto" w:fill="auto"/>
                  <w:noWrap/>
                  <w:vAlign w:val="center"/>
                </w:tcPr>
                <w:p w14:paraId="3E772EF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lang w:val="en-US"/>
                    </w:rPr>
                  </w:pPr>
                  <w:r>
                    <w:rPr>
                      <w:rFonts w:hint="default" w:ascii="Times New Roman" w:hAnsi="Times New Roman" w:eastAsia="宋体" w:cs="Times New Roman"/>
                      <w:i w:val="0"/>
                      <w:iCs w:val="0"/>
                      <w:color w:val="000000"/>
                      <w:kern w:val="0"/>
                      <w:sz w:val="22"/>
                      <w:szCs w:val="22"/>
                      <w:u w:val="none"/>
                      <w:lang w:val="en-US" w:eastAsia="zh-CN" w:bidi="ar"/>
                    </w:rPr>
                    <w:t>用水量</w:t>
                  </w:r>
                  <w:r>
                    <w:rPr>
                      <w:rFonts w:hint="eastAsia" w:ascii="Times New Roman" w:hAnsi="Times New Roman" w:eastAsia="宋体" w:cs="Times New Roman"/>
                      <w:i w:val="0"/>
                      <w:iCs w:val="0"/>
                      <w:color w:val="000000"/>
                      <w:kern w:val="0"/>
                      <w:sz w:val="22"/>
                      <w:szCs w:val="22"/>
                      <w:u w:val="none"/>
                      <w:lang w:val="en-US" w:eastAsia="zh-CN" w:bidi="ar"/>
                    </w:rPr>
                    <w:t>t/a</w:t>
                  </w:r>
                </w:p>
              </w:tc>
              <w:tc>
                <w:tcPr>
                  <w:tcW w:w="439" w:type="pct"/>
                  <w:shd w:val="clear" w:color="auto" w:fill="auto"/>
                  <w:noWrap/>
                  <w:vAlign w:val="center"/>
                </w:tcPr>
                <w:p w14:paraId="2100F57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损耗</w:t>
                  </w:r>
                </w:p>
              </w:tc>
              <w:tc>
                <w:tcPr>
                  <w:tcW w:w="733" w:type="pct"/>
                  <w:shd w:val="clear" w:color="auto" w:fill="auto"/>
                  <w:noWrap/>
                  <w:vAlign w:val="center"/>
                </w:tcPr>
                <w:p w14:paraId="658288B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lang w:val="en-US"/>
                    </w:rPr>
                  </w:pPr>
                  <w:r>
                    <w:rPr>
                      <w:rFonts w:hint="default" w:ascii="Times New Roman" w:hAnsi="Times New Roman" w:eastAsia="宋体" w:cs="Times New Roman"/>
                      <w:i w:val="0"/>
                      <w:iCs w:val="0"/>
                      <w:color w:val="000000"/>
                      <w:kern w:val="0"/>
                      <w:sz w:val="22"/>
                      <w:szCs w:val="22"/>
                      <w:u w:val="none"/>
                      <w:lang w:val="en-US" w:eastAsia="zh-CN" w:bidi="ar"/>
                    </w:rPr>
                    <w:t>废水量</w:t>
                  </w:r>
                  <w:r>
                    <w:rPr>
                      <w:rFonts w:hint="eastAsia" w:ascii="Times New Roman" w:hAnsi="Times New Roman" w:eastAsia="宋体" w:cs="Times New Roman"/>
                      <w:i w:val="0"/>
                      <w:iCs w:val="0"/>
                      <w:color w:val="000000"/>
                      <w:kern w:val="0"/>
                      <w:sz w:val="22"/>
                      <w:szCs w:val="22"/>
                      <w:u w:val="none"/>
                      <w:lang w:val="en-US" w:eastAsia="zh-CN" w:bidi="ar"/>
                    </w:rPr>
                    <w:t>t/a</w:t>
                  </w:r>
                </w:p>
              </w:tc>
              <w:tc>
                <w:tcPr>
                  <w:tcW w:w="595" w:type="pct"/>
                  <w:shd w:val="clear" w:color="auto" w:fill="auto"/>
                  <w:noWrap/>
                  <w:vAlign w:val="center"/>
                </w:tcPr>
                <w:p w14:paraId="1CD1A89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22"/>
                      <w:szCs w:val="22"/>
                      <w:u w:val="none"/>
                      <w:lang w:val="en-US" w:eastAsia="zh-CN"/>
                    </w:rPr>
                  </w:pPr>
                  <w:r>
                    <w:rPr>
                      <w:rFonts w:hint="eastAsia" w:ascii="Times New Roman" w:hAnsi="Times New Roman" w:eastAsia="宋体" w:cs="Times New Roman"/>
                      <w:i w:val="0"/>
                      <w:iCs w:val="0"/>
                      <w:color w:val="000000"/>
                      <w:sz w:val="22"/>
                      <w:szCs w:val="22"/>
                      <w:u w:val="none"/>
                      <w:lang w:val="en-US" w:eastAsia="zh-CN"/>
                    </w:rPr>
                    <w:t>单次最高峰废水量t/d</w:t>
                  </w:r>
                </w:p>
              </w:tc>
            </w:tr>
            <w:tr w14:paraId="1C1CD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noWrap/>
                  <w:vAlign w:val="center"/>
                </w:tcPr>
                <w:p w14:paraId="3789BCA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鲜黄花菜</w:t>
                  </w:r>
                  <w:r>
                    <w:rPr>
                      <w:rFonts w:hint="default" w:ascii="Times New Roman" w:hAnsi="Times New Roman" w:eastAsia="宋体" w:cs="Times New Roman"/>
                      <w:i w:val="0"/>
                      <w:iCs w:val="0"/>
                      <w:color w:val="000000"/>
                      <w:kern w:val="0"/>
                      <w:sz w:val="22"/>
                      <w:szCs w:val="22"/>
                      <w:u w:val="none"/>
                      <w:lang w:val="en-US" w:eastAsia="zh-CN" w:bidi="ar"/>
                    </w:rPr>
                    <w:t>清洗用水</w:t>
                  </w:r>
                </w:p>
              </w:tc>
              <w:tc>
                <w:tcPr>
                  <w:tcW w:w="724" w:type="pct"/>
                  <w:shd w:val="clear" w:color="auto" w:fill="auto"/>
                  <w:noWrap/>
                  <w:vAlign w:val="center"/>
                </w:tcPr>
                <w:p w14:paraId="60ABDD5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1t菜/0.3t水</w:t>
                  </w:r>
                </w:p>
              </w:tc>
              <w:tc>
                <w:tcPr>
                  <w:tcW w:w="488" w:type="pct"/>
                  <w:shd w:val="clear" w:color="auto" w:fill="auto"/>
                  <w:noWrap/>
                  <w:vAlign w:val="center"/>
                </w:tcPr>
                <w:p w14:paraId="5366FBF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lang w:val="en-US"/>
                    </w:rPr>
                  </w:pPr>
                  <w:r>
                    <w:rPr>
                      <w:rFonts w:hint="default" w:ascii="Times New Roman" w:hAnsi="Times New Roman" w:eastAsia="宋体" w:cs="Times New Roman"/>
                      <w:i w:val="0"/>
                      <w:iCs w:val="0"/>
                      <w:color w:val="000000"/>
                      <w:kern w:val="0"/>
                      <w:sz w:val="22"/>
                      <w:szCs w:val="22"/>
                      <w:u w:val="none"/>
                      <w:lang w:val="en-US" w:eastAsia="zh-CN" w:bidi="ar"/>
                    </w:rPr>
                    <w:t>2100t菜</w:t>
                  </w:r>
                  <w:r>
                    <w:rPr>
                      <w:rFonts w:hint="eastAsia" w:ascii="Times New Roman" w:hAnsi="Times New Roman" w:eastAsia="宋体" w:cs="Times New Roman"/>
                      <w:i w:val="0"/>
                      <w:iCs w:val="0"/>
                      <w:color w:val="000000"/>
                      <w:kern w:val="0"/>
                      <w:sz w:val="22"/>
                      <w:szCs w:val="22"/>
                      <w:u w:val="none"/>
                      <w:lang w:val="en-US" w:eastAsia="zh-CN" w:bidi="ar"/>
                    </w:rPr>
                    <w:t>/a</w:t>
                  </w:r>
                </w:p>
              </w:tc>
              <w:tc>
                <w:tcPr>
                  <w:tcW w:w="879" w:type="pct"/>
                  <w:shd w:val="clear" w:color="auto" w:fill="auto"/>
                  <w:noWrap/>
                  <w:vAlign w:val="center"/>
                </w:tcPr>
                <w:p w14:paraId="78B81AD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630</w:t>
                  </w:r>
                </w:p>
              </w:tc>
              <w:tc>
                <w:tcPr>
                  <w:tcW w:w="439" w:type="pct"/>
                  <w:shd w:val="clear" w:color="auto" w:fill="auto"/>
                  <w:noWrap/>
                  <w:vAlign w:val="center"/>
                </w:tcPr>
                <w:p w14:paraId="31CB13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10%</w:t>
                  </w:r>
                </w:p>
              </w:tc>
              <w:tc>
                <w:tcPr>
                  <w:tcW w:w="733" w:type="pct"/>
                  <w:shd w:val="clear" w:color="auto" w:fill="auto"/>
                  <w:noWrap/>
                  <w:vAlign w:val="center"/>
                </w:tcPr>
                <w:p w14:paraId="2C82C2F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567</w:t>
                  </w:r>
                </w:p>
              </w:tc>
              <w:tc>
                <w:tcPr>
                  <w:tcW w:w="595" w:type="pct"/>
                  <w:shd w:val="clear" w:color="auto" w:fill="auto"/>
                  <w:noWrap/>
                  <w:vAlign w:val="center"/>
                </w:tcPr>
                <w:p w14:paraId="36A69A6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14.175</w:t>
                  </w:r>
                </w:p>
              </w:tc>
            </w:tr>
            <w:tr w14:paraId="1B735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noWrap/>
                  <w:vAlign w:val="center"/>
                </w:tcPr>
                <w:p w14:paraId="499B9B5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干</w:t>
                  </w:r>
                  <w:r>
                    <w:rPr>
                      <w:rFonts w:hint="default" w:ascii="Times New Roman" w:hAnsi="Times New Roman" w:eastAsia="宋体" w:cs="Times New Roman"/>
                      <w:i w:val="0"/>
                      <w:iCs w:val="0"/>
                      <w:color w:val="000000"/>
                      <w:kern w:val="0"/>
                      <w:sz w:val="22"/>
                      <w:szCs w:val="22"/>
                      <w:u w:val="none"/>
                      <w:lang w:val="en-US" w:eastAsia="zh-CN" w:bidi="ar"/>
                    </w:rPr>
                    <w:t>黄花菜浸泡</w:t>
                  </w:r>
                  <w:r>
                    <w:rPr>
                      <w:rFonts w:hint="eastAsia" w:ascii="Times New Roman" w:hAnsi="Times New Roman" w:eastAsia="宋体" w:cs="Times New Roman"/>
                      <w:i w:val="0"/>
                      <w:iCs w:val="0"/>
                      <w:color w:val="000000"/>
                      <w:kern w:val="0"/>
                      <w:sz w:val="22"/>
                      <w:szCs w:val="22"/>
                      <w:u w:val="none"/>
                      <w:lang w:val="en-US" w:eastAsia="zh-CN" w:bidi="ar"/>
                    </w:rPr>
                    <w:t>清洗</w:t>
                  </w:r>
                  <w:r>
                    <w:rPr>
                      <w:rFonts w:hint="default" w:ascii="Times New Roman" w:hAnsi="Times New Roman" w:eastAsia="宋体" w:cs="Times New Roman"/>
                      <w:i w:val="0"/>
                      <w:iCs w:val="0"/>
                      <w:color w:val="000000"/>
                      <w:kern w:val="0"/>
                      <w:sz w:val="22"/>
                      <w:szCs w:val="22"/>
                      <w:u w:val="none"/>
                      <w:lang w:val="en-US" w:eastAsia="zh-CN" w:bidi="ar"/>
                    </w:rPr>
                    <w:t>及烫煮用水</w:t>
                  </w:r>
                </w:p>
              </w:tc>
              <w:tc>
                <w:tcPr>
                  <w:tcW w:w="724" w:type="pct"/>
                  <w:shd w:val="clear" w:color="auto" w:fill="auto"/>
                  <w:noWrap/>
                  <w:vAlign w:val="center"/>
                </w:tcPr>
                <w:p w14:paraId="43B458A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1t菜/2水</w:t>
                  </w:r>
                </w:p>
              </w:tc>
              <w:tc>
                <w:tcPr>
                  <w:tcW w:w="488" w:type="pct"/>
                  <w:shd w:val="clear" w:color="auto" w:fill="auto"/>
                  <w:noWrap/>
                  <w:vAlign w:val="center"/>
                </w:tcPr>
                <w:p w14:paraId="3667748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150</w:t>
                  </w:r>
                  <w:r>
                    <w:rPr>
                      <w:rFonts w:hint="default" w:ascii="Times New Roman" w:hAnsi="Times New Roman" w:eastAsia="宋体" w:cs="Times New Roman"/>
                      <w:i w:val="0"/>
                      <w:iCs w:val="0"/>
                      <w:color w:val="000000"/>
                      <w:kern w:val="0"/>
                      <w:sz w:val="22"/>
                      <w:szCs w:val="22"/>
                      <w:u w:val="none"/>
                      <w:lang w:val="en-US" w:eastAsia="zh-CN" w:bidi="ar"/>
                    </w:rPr>
                    <w:t>t菜</w:t>
                  </w:r>
                  <w:r>
                    <w:rPr>
                      <w:rFonts w:hint="eastAsia" w:ascii="Times New Roman" w:hAnsi="Times New Roman" w:eastAsia="宋体" w:cs="Times New Roman"/>
                      <w:i w:val="0"/>
                      <w:iCs w:val="0"/>
                      <w:color w:val="000000"/>
                      <w:kern w:val="0"/>
                      <w:sz w:val="22"/>
                      <w:szCs w:val="22"/>
                      <w:u w:val="none"/>
                      <w:lang w:val="en-US" w:eastAsia="zh-CN" w:bidi="ar"/>
                    </w:rPr>
                    <w:t>/a</w:t>
                  </w:r>
                </w:p>
              </w:tc>
              <w:tc>
                <w:tcPr>
                  <w:tcW w:w="879" w:type="pct"/>
                  <w:shd w:val="clear" w:color="auto" w:fill="auto"/>
                  <w:noWrap/>
                  <w:vAlign w:val="center"/>
                </w:tcPr>
                <w:p w14:paraId="4CE242C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300</w:t>
                  </w:r>
                </w:p>
              </w:tc>
              <w:tc>
                <w:tcPr>
                  <w:tcW w:w="439" w:type="pct"/>
                  <w:shd w:val="clear" w:color="auto" w:fill="auto"/>
                  <w:noWrap/>
                  <w:vAlign w:val="center"/>
                </w:tcPr>
                <w:p w14:paraId="0D8307F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10%</w:t>
                  </w:r>
                </w:p>
              </w:tc>
              <w:tc>
                <w:tcPr>
                  <w:tcW w:w="733" w:type="pct"/>
                  <w:shd w:val="clear" w:color="auto" w:fill="auto"/>
                  <w:noWrap/>
                  <w:vAlign w:val="center"/>
                </w:tcPr>
                <w:p w14:paraId="184A48B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270</w:t>
                  </w:r>
                </w:p>
              </w:tc>
              <w:tc>
                <w:tcPr>
                  <w:tcW w:w="595" w:type="pct"/>
                  <w:shd w:val="clear" w:color="auto" w:fill="auto"/>
                  <w:noWrap/>
                  <w:vAlign w:val="center"/>
                </w:tcPr>
                <w:p w14:paraId="0BD3EF8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0.9</w:t>
                  </w:r>
                </w:p>
              </w:tc>
            </w:tr>
            <w:tr w14:paraId="4E29F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noWrap/>
                  <w:vAlign w:val="center"/>
                </w:tcPr>
                <w:p w14:paraId="4FEC6B9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盐水渍菜</w:t>
                  </w:r>
                  <w:r>
                    <w:rPr>
                      <w:rFonts w:hint="default" w:ascii="Times New Roman" w:hAnsi="Times New Roman" w:eastAsia="宋体" w:cs="Times New Roman"/>
                      <w:i w:val="0"/>
                      <w:iCs w:val="0"/>
                      <w:color w:val="000000"/>
                      <w:kern w:val="0"/>
                      <w:sz w:val="22"/>
                      <w:szCs w:val="22"/>
                      <w:u w:val="none"/>
                      <w:lang w:val="en-US" w:eastAsia="zh-CN" w:bidi="ar"/>
                    </w:rPr>
                    <w:t>一次清洗用水</w:t>
                  </w:r>
                </w:p>
              </w:tc>
              <w:tc>
                <w:tcPr>
                  <w:tcW w:w="724" w:type="pct"/>
                  <w:shd w:val="clear" w:color="auto" w:fill="auto"/>
                  <w:noWrap/>
                  <w:vAlign w:val="center"/>
                </w:tcPr>
                <w:p w14:paraId="5911508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1t菜/2t水</w:t>
                  </w:r>
                </w:p>
              </w:tc>
              <w:tc>
                <w:tcPr>
                  <w:tcW w:w="488" w:type="pct"/>
                  <w:shd w:val="clear" w:color="auto" w:fill="auto"/>
                  <w:noWrap/>
                  <w:vAlign w:val="center"/>
                </w:tcPr>
                <w:p w14:paraId="3060996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5900</w:t>
                  </w:r>
                  <w:r>
                    <w:rPr>
                      <w:rFonts w:hint="default" w:ascii="Times New Roman" w:hAnsi="Times New Roman" w:eastAsia="宋体" w:cs="Times New Roman"/>
                      <w:i w:val="0"/>
                      <w:iCs w:val="0"/>
                      <w:color w:val="000000"/>
                      <w:kern w:val="0"/>
                      <w:sz w:val="22"/>
                      <w:szCs w:val="22"/>
                      <w:u w:val="none"/>
                      <w:lang w:val="en-US" w:eastAsia="zh-CN" w:bidi="ar"/>
                    </w:rPr>
                    <w:t>t菜</w:t>
                  </w:r>
                  <w:r>
                    <w:rPr>
                      <w:rFonts w:hint="eastAsia" w:ascii="Times New Roman" w:hAnsi="Times New Roman" w:eastAsia="宋体" w:cs="Times New Roman"/>
                      <w:i w:val="0"/>
                      <w:iCs w:val="0"/>
                      <w:color w:val="000000"/>
                      <w:kern w:val="0"/>
                      <w:sz w:val="22"/>
                      <w:szCs w:val="22"/>
                      <w:u w:val="none"/>
                      <w:lang w:val="en-US" w:eastAsia="zh-CN" w:bidi="ar"/>
                    </w:rPr>
                    <w:t>/a</w:t>
                  </w:r>
                </w:p>
              </w:tc>
              <w:tc>
                <w:tcPr>
                  <w:tcW w:w="879" w:type="pct"/>
                  <w:shd w:val="clear" w:color="auto" w:fill="auto"/>
                  <w:noWrap/>
                  <w:vAlign w:val="center"/>
                </w:tcPr>
                <w:p w14:paraId="1CAC8B9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11800</w:t>
                  </w:r>
                </w:p>
              </w:tc>
              <w:tc>
                <w:tcPr>
                  <w:tcW w:w="439" w:type="pct"/>
                  <w:shd w:val="clear" w:color="auto" w:fill="auto"/>
                  <w:noWrap/>
                  <w:vAlign w:val="center"/>
                </w:tcPr>
                <w:p w14:paraId="2264136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10%</w:t>
                  </w:r>
                </w:p>
              </w:tc>
              <w:tc>
                <w:tcPr>
                  <w:tcW w:w="733" w:type="pct"/>
                  <w:shd w:val="clear" w:color="auto" w:fill="auto"/>
                  <w:noWrap/>
                  <w:vAlign w:val="center"/>
                </w:tcPr>
                <w:p w14:paraId="1B3FF9D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10620</w:t>
                  </w:r>
                </w:p>
              </w:tc>
              <w:tc>
                <w:tcPr>
                  <w:tcW w:w="595" w:type="pct"/>
                  <w:shd w:val="clear" w:color="auto" w:fill="auto"/>
                  <w:noWrap/>
                  <w:vAlign w:val="center"/>
                </w:tcPr>
                <w:p w14:paraId="2EBD203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35.4</w:t>
                  </w:r>
                </w:p>
              </w:tc>
            </w:tr>
            <w:tr w14:paraId="3A129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noWrap/>
                  <w:vAlign w:val="center"/>
                </w:tcPr>
                <w:p w14:paraId="1A7D43E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盐水渍菜</w:t>
                  </w:r>
                  <w:r>
                    <w:rPr>
                      <w:rFonts w:hint="default" w:ascii="Times New Roman" w:hAnsi="Times New Roman" w:eastAsia="宋体" w:cs="Times New Roman"/>
                      <w:i w:val="0"/>
                      <w:iCs w:val="0"/>
                      <w:color w:val="000000"/>
                      <w:kern w:val="0"/>
                      <w:sz w:val="22"/>
                      <w:szCs w:val="22"/>
                      <w:u w:val="none"/>
                      <w:lang w:val="en-US" w:eastAsia="zh-CN" w:bidi="ar"/>
                    </w:rPr>
                    <w:t>二次清洗用水</w:t>
                  </w:r>
                </w:p>
              </w:tc>
              <w:tc>
                <w:tcPr>
                  <w:tcW w:w="724" w:type="pct"/>
                  <w:shd w:val="clear" w:color="auto" w:fill="auto"/>
                  <w:noWrap/>
                  <w:vAlign w:val="center"/>
                </w:tcPr>
                <w:p w14:paraId="1838DC4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1t菜/1.35水</w:t>
                  </w:r>
                </w:p>
              </w:tc>
              <w:tc>
                <w:tcPr>
                  <w:tcW w:w="488" w:type="pct"/>
                  <w:shd w:val="clear" w:color="auto" w:fill="auto"/>
                  <w:noWrap/>
                  <w:vAlign w:val="center"/>
                </w:tcPr>
                <w:p w14:paraId="346EEC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5900</w:t>
                  </w:r>
                  <w:r>
                    <w:rPr>
                      <w:rFonts w:hint="default" w:ascii="Times New Roman" w:hAnsi="Times New Roman" w:eastAsia="宋体" w:cs="Times New Roman"/>
                      <w:i w:val="0"/>
                      <w:iCs w:val="0"/>
                      <w:color w:val="000000"/>
                      <w:kern w:val="0"/>
                      <w:sz w:val="22"/>
                      <w:szCs w:val="22"/>
                      <w:u w:val="none"/>
                      <w:lang w:val="en-US" w:eastAsia="zh-CN" w:bidi="ar"/>
                    </w:rPr>
                    <w:t>t菜</w:t>
                  </w:r>
                  <w:r>
                    <w:rPr>
                      <w:rFonts w:hint="eastAsia" w:ascii="Times New Roman" w:hAnsi="Times New Roman" w:eastAsia="宋体" w:cs="Times New Roman"/>
                      <w:i w:val="0"/>
                      <w:iCs w:val="0"/>
                      <w:color w:val="000000"/>
                      <w:kern w:val="0"/>
                      <w:sz w:val="22"/>
                      <w:szCs w:val="22"/>
                      <w:u w:val="none"/>
                      <w:lang w:val="en-US" w:eastAsia="zh-CN" w:bidi="ar"/>
                    </w:rPr>
                    <w:t>/a</w:t>
                  </w:r>
                </w:p>
              </w:tc>
              <w:tc>
                <w:tcPr>
                  <w:tcW w:w="879" w:type="pct"/>
                  <w:shd w:val="clear" w:color="auto" w:fill="auto"/>
                  <w:noWrap/>
                  <w:vAlign w:val="center"/>
                </w:tcPr>
                <w:p w14:paraId="7D26EFD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7965</w:t>
                  </w:r>
                </w:p>
              </w:tc>
              <w:tc>
                <w:tcPr>
                  <w:tcW w:w="439" w:type="pct"/>
                  <w:shd w:val="clear" w:color="auto" w:fill="auto"/>
                  <w:noWrap/>
                  <w:vAlign w:val="center"/>
                </w:tcPr>
                <w:p w14:paraId="668732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10%</w:t>
                  </w:r>
                </w:p>
              </w:tc>
              <w:tc>
                <w:tcPr>
                  <w:tcW w:w="733" w:type="pct"/>
                  <w:shd w:val="clear" w:color="auto" w:fill="auto"/>
                  <w:noWrap/>
                  <w:vAlign w:val="center"/>
                </w:tcPr>
                <w:p w14:paraId="015937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7168.5</w:t>
                  </w:r>
                </w:p>
              </w:tc>
              <w:tc>
                <w:tcPr>
                  <w:tcW w:w="595" w:type="pct"/>
                  <w:shd w:val="clear" w:color="auto" w:fill="auto"/>
                  <w:noWrap/>
                  <w:vAlign w:val="center"/>
                </w:tcPr>
                <w:p w14:paraId="6C0893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23.895</w:t>
                  </w:r>
                </w:p>
              </w:tc>
            </w:tr>
            <w:tr w14:paraId="1135A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noWrap/>
                  <w:vAlign w:val="center"/>
                </w:tcPr>
                <w:p w14:paraId="144CC1A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盐水渍菜</w:t>
                  </w:r>
                  <w:r>
                    <w:rPr>
                      <w:rFonts w:hint="default" w:ascii="Times New Roman" w:hAnsi="Times New Roman" w:eastAsia="宋体" w:cs="Times New Roman"/>
                      <w:i w:val="0"/>
                      <w:iCs w:val="0"/>
                      <w:color w:val="000000"/>
                      <w:kern w:val="0"/>
                      <w:sz w:val="22"/>
                      <w:szCs w:val="22"/>
                      <w:u w:val="none"/>
                      <w:lang w:val="en-US" w:eastAsia="zh-CN" w:bidi="ar"/>
                    </w:rPr>
                    <w:t>三次清洗用水</w:t>
                  </w:r>
                </w:p>
              </w:tc>
              <w:tc>
                <w:tcPr>
                  <w:tcW w:w="724" w:type="pct"/>
                  <w:shd w:val="clear" w:color="auto" w:fill="auto"/>
                  <w:noWrap/>
                  <w:vAlign w:val="center"/>
                </w:tcPr>
                <w:p w14:paraId="6A43FA8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1t菜/1t水</w:t>
                  </w:r>
                </w:p>
              </w:tc>
              <w:tc>
                <w:tcPr>
                  <w:tcW w:w="488" w:type="pct"/>
                  <w:shd w:val="clear" w:color="auto" w:fill="auto"/>
                  <w:noWrap/>
                  <w:vAlign w:val="center"/>
                </w:tcPr>
                <w:p w14:paraId="6B32BF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5900</w:t>
                  </w:r>
                  <w:r>
                    <w:rPr>
                      <w:rFonts w:hint="default" w:ascii="Times New Roman" w:hAnsi="Times New Roman" w:eastAsia="宋体" w:cs="Times New Roman"/>
                      <w:i w:val="0"/>
                      <w:iCs w:val="0"/>
                      <w:color w:val="000000"/>
                      <w:kern w:val="0"/>
                      <w:sz w:val="22"/>
                      <w:szCs w:val="22"/>
                      <w:u w:val="none"/>
                      <w:lang w:val="en-US" w:eastAsia="zh-CN" w:bidi="ar"/>
                    </w:rPr>
                    <w:t>t菜</w:t>
                  </w:r>
                  <w:r>
                    <w:rPr>
                      <w:rFonts w:hint="eastAsia" w:ascii="Times New Roman" w:hAnsi="Times New Roman" w:eastAsia="宋体" w:cs="Times New Roman"/>
                      <w:i w:val="0"/>
                      <w:iCs w:val="0"/>
                      <w:color w:val="000000"/>
                      <w:kern w:val="0"/>
                      <w:sz w:val="22"/>
                      <w:szCs w:val="22"/>
                      <w:u w:val="none"/>
                      <w:lang w:val="en-US" w:eastAsia="zh-CN" w:bidi="ar"/>
                    </w:rPr>
                    <w:t>/a</w:t>
                  </w:r>
                </w:p>
              </w:tc>
              <w:tc>
                <w:tcPr>
                  <w:tcW w:w="879" w:type="pct"/>
                  <w:shd w:val="clear" w:color="auto" w:fill="auto"/>
                  <w:noWrap/>
                  <w:vAlign w:val="center"/>
                </w:tcPr>
                <w:p w14:paraId="77F1AA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6785</w:t>
                  </w:r>
                </w:p>
              </w:tc>
              <w:tc>
                <w:tcPr>
                  <w:tcW w:w="439" w:type="pct"/>
                  <w:shd w:val="clear" w:color="auto" w:fill="auto"/>
                  <w:noWrap/>
                  <w:vAlign w:val="center"/>
                </w:tcPr>
                <w:p w14:paraId="1AE3D98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10%</w:t>
                  </w:r>
                </w:p>
              </w:tc>
              <w:tc>
                <w:tcPr>
                  <w:tcW w:w="733" w:type="pct"/>
                  <w:shd w:val="clear" w:color="auto" w:fill="auto"/>
                  <w:noWrap/>
                  <w:vAlign w:val="center"/>
                </w:tcPr>
                <w:p w14:paraId="7E87939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6106.5</w:t>
                  </w:r>
                </w:p>
              </w:tc>
              <w:tc>
                <w:tcPr>
                  <w:tcW w:w="595" w:type="pct"/>
                  <w:shd w:val="clear" w:color="auto" w:fill="auto"/>
                  <w:noWrap/>
                  <w:vAlign w:val="center"/>
                </w:tcPr>
                <w:p w14:paraId="034849D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20.355</w:t>
                  </w:r>
                </w:p>
              </w:tc>
            </w:tr>
            <w:tr w14:paraId="25BDC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vAlign w:val="center"/>
                </w:tcPr>
                <w:p w14:paraId="62E6D8D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干黄花菜</w:t>
                  </w:r>
                  <w:r>
                    <w:rPr>
                      <w:rFonts w:hint="eastAsia" w:ascii="Times New Roman" w:hAnsi="Times New Roman" w:eastAsia="宋体" w:cs="Times New Roman"/>
                      <w:i w:val="0"/>
                      <w:iCs w:val="0"/>
                      <w:color w:val="000000"/>
                      <w:kern w:val="0"/>
                      <w:sz w:val="22"/>
                      <w:szCs w:val="22"/>
                      <w:u w:val="none"/>
                      <w:lang w:val="en-US" w:eastAsia="zh-CN" w:bidi="ar"/>
                    </w:rPr>
                    <w:t>生产区地面</w:t>
                  </w:r>
                  <w:r>
                    <w:rPr>
                      <w:rFonts w:hint="default" w:ascii="Times New Roman" w:hAnsi="Times New Roman" w:eastAsia="宋体" w:cs="Times New Roman"/>
                      <w:i w:val="0"/>
                      <w:iCs w:val="0"/>
                      <w:color w:val="000000"/>
                      <w:kern w:val="0"/>
                      <w:sz w:val="22"/>
                      <w:szCs w:val="22"/>
                      <w:u w:val="none"/>
                      <w:lang w:val="en-US" w:eastAsia="zh-CN" w:bidi="ar"/>
                    </w:rPr>
                    <w:t>和设备冲洗用水</w:t>
                  </w:r>
                </w:p>
              </w:tc>
              <w:tc>
                <w:tcPr>
                  <w:tcW w:w="724" w:type="pct"/>
                  <w:shd w:val="clear" w:color="auto" w:fill="auto"/>
                  <w:noWrap/>
                  <w:vAlign w:val="center"/>
                </w:tcPr>
                <w:p w14:paraId="03A6967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2t/次</w:t>
                  </w:r>
                </w:p>
              </w:tc>
              <w:tc>
                <w:tcPr>
                  <w:tcW w:w="488" w:type="pct"/>
                  <w:shd w:val="clear" w:color="auto" w:fill="auto"/>
                  <w:noWrap/>
                  <w:vAlign w:val="center"/>
                </w:tcPr>
                <w:p w14:paraId="633C9A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3次/年</w:t>
                  </w:r>
                </w:p>
              </w:tc>
              <w:tc>
                <w:tcPr>
                  <w:tcW w:w="879" w:type="pct"/>
                  <w:shd w:val="clear" w:color="auto" w:fill="auto"/>
                  <w:noWrap/>
                  <w:vAlign w:val="center"/>
                </w:tcPr>
                <w:p w14:paraId="385375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6</w:t>
                  </w:r>
                </w:p>
              </w:tc>
              <w:tc>
                <w:tcPr>
                  <w:tcW w:w="439" w:type="pct"/>
                  <w:shd w:val="clear" w:color="auto" w:fill="auto"/>
                  <w:noWrap/>
                  <w:vAlign w:val="center"/>
                </w:tcPr>
                <w:p w14:paraId="5006293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0.85</w:t>
                  </w:r>
                </w:p>
              </w:tc>
              <w:tc>
                <w:tcPr>
                  <w:tcW w:w="733" w:type="pct"/>
                  <w:shd w:val="clear" w:color="auto" w:fill="auto"/>
                  <w:noWrap/>
                  <w:vAlign w:val="center"/>
                </w:tcPr>
                <w:p w14:paraId="5F9D0F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5.1</w:t>
                  </w:r>
                </w:p>
              </w:tc>
              <w:tc>
                <w:tcPr>
                  <w:tcW w:w="595" w:type="pct"/>
                  <w:shd w:val="clear" w:color="auto" w:fill="auto"/>
                  <w:noWrap/>
                  <w:vAlign w:val="center"/>
                </w:tcPr>
                <w:p w14:paraId="0D66084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1.7</w:t>
                  </w:r>
                </w:p>
              </w:tc>
            </w:tr>
            <w:tr w14:paraId="173A5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vAlign w:val="center"/>
                </w:tcPr>
                <w:p w14:paraId="2609570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即食黄花菜</w:t>
                  </w:r>
                  <w:r>
                    <w:rPr>
                      <w:rFonts w:hint="eastAsia" w:ascii="Times New Roman" w:hAnsi="Times New Roman" w:eastAsia="宋体" w:cs="Times New Roman"/>
                      <w:i w:val="0"/>
                      <w:iCs w:val="0"/>
                      <w:color w:val="000000"/>
                      <w:kern w:val="0"/>
                      <w:sz w:val="22"/>
                      <w:szCs w:val="22"/>
                      <w:u w:val="none"/>
                      <w:lang w:val="en-US" w:eastAsia="zh-CN" w:bidi="ar"/>
                    </w:rPr>
                    <w:t>生产区地面</w:t>
                  </w:r>
                  <w:r>
                    <w:rPr>
                      <w:rFonts w:hint="default" w:ascii="Times New Roman" w:hAnsi="Times New Roman" w:eastAsia="宋体" w:cs="Times New Roman"/>
                      <w:i w:val="0"/>
                      <w:iCs w:val="0"/>
                      <w:color w:val="000000"/>
                      <w:kern w:val="0"/>
                      <w:sz w:val="22"/>
                      <w:szCs w:val="22"/>
                      <w:u w:val="none"/>
                      <w:lang w:val="en-US" w:eastAsia="zh-CN" w:bidi="ar"/>
                    </w:rPr>
                    <w:t>和设备冲洗用水</w:t>
                  </w:r>
                </w:p>
              </w:tc>
              <w:tc>
                <w:tcPr>
                  <w:tcW w:w="724" w:type="pct"/>
                  <w:shd w:val="clear" w:color="auto" w:fill="auto"/>
                  <w:noWrap/>
                  <w:vAlign w:val="center"/>
                </w:tcPr>
                <w:p w14:paraId="0729738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2t/次</w:t>
                  </w:r>
                </w:p>
              </w:tc>
              <w:tc>
                <w:tcPr>
                  <w:tcW w:w="488" w:type="pct"/>
                  <w:shd w:val="clear" w:color="auto" w:fill="auto"/>
                  <w:noWrap/>
                  <w:vAlign w:val="center"/>
                </w:tcPr>
                <w:p w14:paraId="56C493D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2次/月</w:t>
                  </w:r>
                </w:p>
              </w:tc>
              <w:tc>
                <w:tcPr>
                  <w:tcW w:w="879" w:type="pct"/>
                  <w:shd w:val="clear" w:color="auto" w:fill="auto"/>
                  <w:noWrap/>
                  <w:vAlign w:val="center"/>
                </w:tcPr>
                <w:p w14:paraId="352F89C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40</w:t>
                  </w:r>
                </w:p>
              </w:tc>
              <w:tc>
                <w:tcPr>
                  <w:tcW w:w="439" w:type="pct"/>
                  <w:shd w:val="clear" w:color="auto" w:fill="auto"/>
                  <w:noWrap/>
                  <w:vAlign w:val="center"/>
                </w:tcPr>
                <w:p w14:paraId="7F1FD57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0.85</w:t>
                  </w:r>
                </w:p>
              </w:tc>
              <w:tc>
                <w:tcPr>
                  <w:tcW w:w="733" w:type="pct"/>
                  <w:shd w:val="clear" w:color="auto" w:fill="auto"/>
                  <w:noWrap/>
                  <w:vAlign w:val="center"/>
                </w:tcPr>
                <w:p w14:paraId="44F28F3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34</w:t>
                  </w:r>
                </w:p>
              </w:tc>
              <w:tc>
                <w:tcPr>
                  <w:tcW w:w="595" w:type="pct"/>
                  <w:shd w:val="clear" w:color="auto" w:fill="auto"/>
                  <w:noWrap/>
                  <w:vAlign w:val="center"/>
                </w:tcPr>
                <w:p w14:paraId="1CE2CEA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1.7</w:t>
                  </w:r>
                </w:p>
              </w:tc>
            </w:tr>
            <w:tr w14:paraId="4A021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vAlign w:val="center"/>
                </w:tcPr>
                <w:p w14:paraId="19F524B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盐水渍菜</w:t>
                  </w:r>
                  <w:r>
                    <w:rPr>
                      <w:rFonts w:hint="default" w:ascii="Times New Roman" w:hAnsi="Times New Roman" w:eastAsia="宋体" w:cs="Times New Roman"/>
                      <w:i w:val="0"/>
                      <w:iCs w:val="0"/>
                      <w:color w:val="000000"/>
                      <w:kern w:val="0"/>
                      <w:sz w:val="22"/>
                      <w:szCs w:val="22"/>
                      <w:u w:val="none"/>
                      <w:lang w:val="en-US" w:eastAsia="zh-CN" w:bidi="ar"/>
                    </w:rPr>
                    <w:t>生产车间和设备清洗用水</w:t>
                  </w:r>
                </w:p>
              </w:tc>
              <w:tc>
                <w:tcPr>
                  <w:tcW w:w="724" w:type="pct"/>
                  <w:shd w:val="clear" w:color="auto" w:fill="auto"/>
                  <w:noWrap/>
                  <w:vAlign w:val="center"/>
                </w:tcPr>
                <w:p w14:paraId="4A5998C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6t/次</w:t>
                  </w:r>
                </w:p>
              </w:tc>
              <w:tc>
                <w:tcPr>
                  <w:tcW w:w="488" w:type="pct"/>
                  <w:shd w:val="clear" w:color="auto" w:fill="auto"/>
                  <w:noWrap/>
                  <w:vAlign w:val="center"/>
                </w:tcPr>
                <w:p w14:paraId="1194676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2次/月</w:t>
                  </w:r>
                </w:p>
              </w:tc>
              <w:tc>
                <w:tcPr>
                  <w:tcW w:w="879" w:type="pct"/>
                  <w:shd w:val="clear" w:color="auto" w:fill="auto"/>
                  <w:noWrap/>
                  <w:vAlign w:val="center"/>
                </w:tcPr>
                <w:p w14:paraId="2EFA77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120</w:t>
                  </w:r>
                </w:p>
              </w:tc>
              <w:tc>
                <w:tcPr>
                  <w:tcW w:w="439" w:type="pct"/>
                  <w:shd w:val="clear" w:color="auto" w:fill="auto"/>
                  <w:noWrap/>
                  <w:vAlign w:val="center"/>
                </w:tcPr>
                <w:p w14:paraId="5738C93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0.85</w:t>
                  </w:r>
                </w:p>
              </w:tc>
              <w:tc>
                <w:tcPr>
                  <w:tcW w:w="733" w:type="pct"/>
                  <w:shd w:val="clear" w:color="auto" w:fill="auto"/>
                  <w:noWrap/>
                  <w:vAlign w:val="center"/>
                </w:tcPr>
                <w:p w14:paraId="48CD2A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102</w:t>
                  </w:r>
                </w:p>
              </w:tc>
              <w:tc>
                <w:tcPr>
                  <w:tcW w:w="595" w:type="pct"/>
                  <w:shd w:val="clear" w:color="auto" w:fill="auto"/>
                  <w:noWrap/>
                  <w:vAlign w:val="center"/>
                </w:tcPr>
                <w:p w14:paraId="3512395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5.1</w:t>
                  </w:r>
                </w:p>
              </w:tc>
            </w:tr>
            <w:tr w14:paraId="6BAB8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139" w:type="pct"/>
                  <w:shd w:val="clear" w:color="auto" w:fill="auto"/>
                  <w:noWrap/>
                  <w:vAlign w:val="center"/>
                </w:tcPr>
                <w:p w14:paraId="52AF947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员工生活用水</w:t>
                  </w:r>
                </w:p>
              </w:tc>
              <w:tc>
                <w:tcPr>
                  <w:tcW w:w="724" w:type="pct"/>
                  <w:shd w:val="clear" w:color="auto" w:fill="auto"/>
                  <w:noWrap/>
                  <w:vAlign w:val="center"/>
                </w:tcPr>
                <w:p w14:paraId="4DC19A0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38m</w:t>
                  </w:r>
                  <w:r>
                    <w:rPr>
                      <w:rFonts w:hint="default" w:ascii="Times New Roman" w:hAnsi="Times New Roman" w:eastAsia="宋体" w:cs="Times New Roman"/>
                      <w:i w:val="0"/>
                      <w:iCs w:val="0"/>
                      <w:color w:val="000000"/>
                      <w:kern w:val="0"/>
                      <w:sz w:val="22"/>
                      <w:szCs w:val="22"/>
                      <w:u w:val="none"/>
                      <w:vertAlign w:val="superscript"/>
                      <w:lang w:val="en-US" w:eastAsia="zh-CN" w:bidi="ar"/>
                    </w:rPr>
                    <w:t>3</w:t>
                  </w:r>
                  <w:r>
                    <w:rPr>
                      <w:rFonts w:hint="default" w:ascii="Times New Roman" w:hAnsi="Times New Roman" w:eastAsia="宋体" w:cs="Times New Roman"/>
                      <w:i w:val="0"/>
                      <w:iCs w:val="0"/>
                      <w:color w:val="000000"/>
                      <w:kern w:val="0"/>
                      <w:sz w:val="22"/>
                      <w:szCs w:val="22"/>
                      <w:u w:val="none"/>
                      <w:lang w:val="en-US" w:eastAsia="zh-CN" w:bidi="ar"/>
                    </w:rPr>
                    <w:t>/人·a</w:t>
                  </w:r>
                </w:p>
              </w:tc>
              <w:tc>
                <w:tcPr>
                  <w:tcW w:w="488" w:type="pct"/>
                  <w:shd w:val="clear" w:color="auto" w:fill="auto"/>
                  <w:noWrap/>
                  <w:vAlign w:val="center"/>
                </w:tcPr>
                <w:p w14:paraId="7B4097D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24人</w:t>
                  </w:r>
                </w:p>
              </w:tc>
              <w:tc>
                <w:tcPr>
                  <w:tcW w:w="879" w:type="pct"/>
                  <w:shd w:val="clear" w:color="auto" w:fill="auto"/>
                  <w:noWrap/>
                  <w:vAlign w:val="center"/>
                </w:tcPr>
                <w:p w14:paraId="18D0E7B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912</w:t>
                  </w:r>
                </w:p>
              </w:tc>
              <w:tc>
                <w:tcPr>
                  <w:tcW w:w="439" w:type="pct"/>
                  <w:shd w:val="clear" w:color="auto" w:fill="auto"/>
                  <w:noWrap/>
                  <w:vAlign w:val="center"/>
                </w:tcPr>
                <w:p w14:paraId="02D7B12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0.85</w:t>
                  </w:r>
                </w:p>
              </w:tc>
              <w:tc>
                <w:tcPr>
                  <w:tcW w:w="733" w:type="pct"/>
                  <w:shd w:val="clear" w:color="auto" w:fill="auto"/>
                  <w:noWrap/>
                  <w:vAlign w:val="center"/>
                </w:tcPr>
                <w:p w14:paraId="7205E68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775.2</w:t>
                  </w:r>
                </w:p>
              </w:tc>
              <w:tc>
                <w:tcPr>
                  <w:tcW w:w="595" w:type="pct"/>
                  <w:shd w:val="clear" w:color="auto" w:fill="auto"/>
                  <w:noWrap/>
                  <w:vAlign w:val="center"/>
                </w:tcPr>
                <w:p w14:paraId="021482D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2.584</w:t>
                  </w:r>
                </w:p>
              </w:tc>
            </w:tr>
            <w:tr w14:paraId="5D40F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noWrap/>
                  <w:vAlign w:val="center"/>
                </w:tcPr>
                <w:p w14:paraId="717FED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纯水制备用水</w:t>
                  </w:r>
                </w:p>
              </w:tc>
              <w:tc>
                <w:tcPr>
                  <w:tcW w:w="724" w:type="pct"/>
                  <w:shd w:val="clear" w:color="auto" w:fill="auto"/>
                  <w:vAlign w:val="center"/>
                </w:tcPr>
                <w:p w14:paraId="5981991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系统回收率75%</w:t>
                  </w:r>
                </w:p>
              </w:tc>
              <w:tc>
                <w:tcPr>
                  <w:tcW w:w="488" w:type="pct"/>
                  <w:shd w:val="clear" w:color="auto" w:fill="auto"/>
                  <w:noWrap/>
                  <w:vAlign w:val="center"/>
                </w:tcPr>
                <w:p w14:paraId="1BF1217E">
                  <w:pPr>
                    <w:keepNext w:val="0"/>
                    <w:keepLines w:val="0"/>
                    <w:pageBreakBefore w:val="0"/>
                    <w:widowControl/>
                    <w:kinsoku/>
                    <w:wordWrap/>
                    <w:overflowPunct/>
                    <w:topLinePunct w:val="0"/>
                    <w:autoSpaceDE/>
                    <w:autoSpaceDN/>
                    <w:bidi w:val="0"/>
                    <w:adjustRightInd/>
                    <w:snapToGrid/>
                    <w:spacing w:line="240" w:lineRule="auto"/>
                    <w:jc w:val="center"/>
                    <w:rPr>
                      <w:rFonts w:hint="eastAsia" w:ascii="Times New Roman" w:hAnsi="Times New Roman" w:eastAsia="宋体" w:cs="Times New Roman"/>
                      <w:i w:val="0"/>
                      <w:iCs w:val="0"/>
                      <w:color w:val="000000"/>
                      <w:sz w:val="22"/>
                      <w:szCs w:val="22"/>
                      <w:u w:val="none"/>
                      <w:lang w:val="en-US" w:eastAsia="zh-CN"/>
                    </w:rPr>
                  </w:pPr>
                  <w:r>
                    <w:rPr>
                      <w:rFonts w:hint="eastAsia" w:ascii="Times New Roman" w:hAnsi="Times New Roman" w:eastAsia="宋体" w:cs="Times New Roman"/>
                      <w:i w:val="0"/>
                      <w:iCs w:val="0"/>
                      <w:color w:val="000000"/>
                      <w:sz w:val="22"/>
                      <w:szCs w:val="22"/>
                      <w:u w:val="none"/>
                      <w:lang w:val="en-US" w:eastAsia="zh-CN"/>
                    </w:rPr>
                    <w:t>/</w:t>
                  </w:r>
                </w:p>
              </w:tc>
              <w:tc>
                <w:tcPr>
                  <w:tcW w:w="879" w:type="pct"/>
                  <w:shd w:val="clear" w:color="auto" w:fill="auto"/>
                  <w:noWrap/>
                  <w:vAlign w:val="center"/>
                </w:tcPr>
                <w:p w14:paraId="1CDDA2C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 xml:space="preserve">183.25 </w:t>
                  </w:r>
                </w:p>
              </w:tc>
              <w:tc>
                <w:tcPr>
                  <w:tcW w:w="439" w:type="pct"/>
                  <w:shd w:val="clear" w:color="auto" w:fill="auto"/>
                  <w:noWrap/>
                  <w:vAlign w:val="center"/>
                </w:tcPr>
                <w:p w14:paraId="3B76726C">
                  <w:pPr>
                    <w:keepNext w:val="0"/>
                    <w:keepLines w:val="0"/>
                    <w:pageBreakBefore w:val="0"/>
                    <w:widowControl/>
                    <w:kinsoku/>
                    <w:wordWrap/>
                    <w:overflowPunct/>
                    <w:topLinePunct w:val="0"/>
                    <w:autoSpaceDE/>
                    <w:autoSpaceDN/>
                    <w:bidi w:val="0"/>
                    <w:adjustRightInd/>
                    <w:snapToGrid/>
                    <w:spacing w:line="240" w:lineRule="auto"/>
                    <w:jc w:val="center"/>
                    <w:rPr>
                      <w:rFonts w:hint="eastAsia" w:ascii="Times New Roman" w:hAnsi="Times New Roman" w:eastAsia="宋体" w:cs="Times New Roman"/>
                      <w:i w:val="0"/>
                      <w:iCs w:val="0"/>
                      <w:color w:val="000000"/>
                      <w:sz w:val="22"/>
                      <w:szCs w:val="22"/>
                      <w:u w:val="none"/>
                      <w:lang w:val="en-US" w:eastAsia="zh-CN"/>
                    </w:rPr>
                  </w:pPr>
                  <w:r>
                    <w:rPr>
                      <w:rFonts w:hint="eastAsia" w:ascii="Times New Roman" w:hAnsi="Times New Roman" w:eastAsia="宋体" w:cs="Times New Roman"/>
                      <w:i w:val="0"/>
                      <w:iCs w:val="0"/>
                      <w:color w:val="000000"/>
                      <w:sz w:val="22"/>
                      <w:szCs w:val="22"/>
                      <w:u w:val="none"/>
                      <w:lang w:val="en-US" w:eastAsia="zh-CN"/>
                    </w:rPr>
                    <w:t>/</w:t>
                  </w:r>
                </w:p>
              </w:tc>
              <w:tc>
                <w:tcPr>
                  <w:tcW w:w="733" w:type="pct"/>
                  <w:shd w:val="clear" w:color="auto" w:fill="auto"/>
                  <w:noWrap/>
                  <w:vAlign w:val="center"/>
                </w:tcPr>
                <w:p w14:paraId="7C68DA8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45.81</w:t>
                  </w:r>
                  <w:r>
                    <w:rPr>
                      <w:rFonts w:hint="default" w:ascii="Times New Roman" w:hAnsi="Times New Roman" w:eastAsia="宋体" w:cs="Times New Roman"/>
                      <w:i w:val="0"/>
                      <w:iCs w:val="0"/>
                      <w:color w:val="000000"/>
                      <w:kern w:val="0"/>
                      <w:sz w:val="22"/>
                      <w:szCs w:val="22"/>
                      <w:u w:val="none"/>
                      <w:lang w:val="en-US" w:eastAsia="zh-CN" w:bidi="ar"/>
                    </w:rPr>
                    <w:t xml:space="preserve"> </w:t>
                  </w:r>
                </w:p>
              </w:tc>
              <w:tc>
                <w:tcPr>
                  <w:tcW w:w="595" w:type="pct"/>
                  <w:shd w:val="clear" w:color="auto" w:fill="auto"/>
                  <w:noWrap/>
                  <w:vAlign w:val="center"/>
                </w:tcPr>
                <w:p w14:paraId="6EEE32B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1.145</w:t>
                  </w:r>
                  <w:r>
                    <w:rPr>
                      <w:rFonts w:hint="default" w:ascii="Times New Roman" w:hAnsi="Times New Roman" w:eastAsia="宋体" w:cs="Times New Roman"/>
                      <w:i w:val="0"/>
                      <w:iCs w:val="0"/>
                      <w:color w:val="000000"/>
                      <w:kern w:val="0"/>
                      <w:sz w:val="22"/>
                      <w:szCs w:val="22"/>
                      <w:u w:val="none"/>
                      <w:lang w:val="en-US" w:eastAsia="zh-CN" w:bidi="ar"/>
                    </w:rPr>
                    <w:t xml:space="preserve"> </w:t>
                  </w:r>
                </w:p>
              </w:tc>
            </w:tr>
            <w:tr w14:paraId="03892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139" w:type="pct"/>
                  <w:shd w:val="clear" w:color="auto" w:fill="auto"/>
                  <w:noWrap/>
                  <w:vAlign w:val="center"/>
                </w:tcPr>
                <w:p w14:paraId="22131FA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锅炉排污水</w:t>
                  </w:r>
                </w:p>
              </w:tc>
              <w:tc>
                <w:tcPr>
                  <w:tcW w:w="724" w:type="pct"/>
                  <w:shd w:val="clear" w:color="auto" w:fill="auto"/>
                  <w:vAlign w:val="center"/>
                </w:tcPr>
                <w:p w14:paraId="0EF7721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lang w:val="en-US"/>
                    </w:rPr>
                  </w:pPr>
                  <w:r>
                    <w:rPr>
                      <w:rFonts w:hint="default" w:ascii="Times New Roman" w:hAnsi="Times New Roman" w:eastAsia="宋体" w:cs="Times New Roman"/>
                      <w:i w:val="0"/>
                      <w:iCs w:val="0"/>
                      <w:color w:val="000000"/>
                      <w:kern w:val="0"/>
                      <w:sz w:val="22"/>
                      <w:szCs w:val="22"/>
                      <w:u w:val="none"/>
                      <w:lang w:val="en-US" w:eastAsia="zh-CN" w:bidi="ar"/>
                    </w:rPr>
                    <w:t>0.259t/t·原料</w:t>
                  </w:r>
                </w:p>
              </w:tc>
              <w:tc>
                <w:tcPr>
                  <w:tcW w:w="488" w:type="pct"/>
                  <w:shd w:val="clear" w:color="auto" w:fill="auto"/>
                  <w:noWrap/>
                  <w:vAlign w:val="center"/>
                </w:tcPr>
                <w:p w14:paraId="543E8C7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22"/>
                      <w:szCs w:val="22"/>
                      <w:u w:val="none"/>
                      <w:lang w:val="en-US" w:eastAsia="zh-CN"/>
                    </w:rPr>
                  </w:pPr>
                  <w:r>
                    <w:rPr>
                      <w:rFonts w:hint="eastAsia" w:ascii="Times New Roman" w:hAnsi="Times New Roman" w:eastAsia="宋体" w:cs="Times New Roman"/>
                      <w:i w:val="0"/>
                      <w:iCs w:val="0"/>
                      <w:color w:val="000000"/>
                      <w:sz w:val="22"/>
                      <w:szCs w:val="22"/>
                      <w:u w:val="none"/>
                      <w:lang w:val="en-US" w:eastAsia="zh-CN"/>
                    </w:rPr>
                    <w:t>160t</w:t>
                  </w:r>
                </w:p>
              </w:tc>
              <w:tc>
                <w:tcPr>
                  <w:tcW w:w="879" w:type="pct"/>
                  <w:shd w:val="clear" w:color="auto" w:fill="auto"/>
                  <w:noWrap/>
                  <w:vAlign w:val="center"/>
                </w:tcPr>
                <w:p w14:paraId="35FA9A1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w:t>
                  </w:r>
                </w:p>
              </w:tc>
              <w:tc>
                <w:tcPr>
                  <w:tcW w:w="439" w:type="pct"/>
                  <w:shd w:val="clear" w:color="auto" w:fill="auto"/>
                  <w:noWrap/>
                  <w:vAlign w:val="center"/>
                </w:tcPr>
                <w:p w14:paraId="05CCF02D">
                  <w:pPr>
                    <w:keepNext w:val="0"/>
                    <w:keepLines w:val="0"/>
                    <w:pageBreakBefore w:val="0"/>
                    <w:widowControl/>
                    <w:kinsoku/>
                    <w:wordWrap/>
                    <w:overflowPunct/>
                    <w:topLinePunct w:val="0"/>
                    <w:autoSpaceDE/>
                    <w:autoSpaceDN/>
                    <w:bidi w:val="0"/>
                    <w:adjustRightInd/>
                    <w:snapToGrid/>
                    <w:spacing w:line="240" w:lineRule="auto"/>
                    <w:jc w:val="center"/>
                    <w:rPr>
                      <w:rFonts w:hint="eastAsia" w:ascii="Times New Roman" w:hAnsi="Times New Roman" w:eastAsia="宋体" w:cs="Times New Roman"/>
                      <w:i w:val="0"/>
                      <w:iCs w:val="0"/>
                      <w:color w:val="000000"/>
                      <w:sz w:val="22"/>
                      <w:szCs w:val="22"/>
                      <w:u w:val="none"/>
                      <w:lang w:val="en-US" w:eastAsia="zh-CN"/>
                    </w:rPr>
                  </w:pPr>
                  <w:r>
                    <w:rPr>
                      <w:rFonts w:hint="eastAsia" w:ascii="Times New Roman" w:hAnsi="Times New Roman" w:eastAsia="宋体" w:cs="Times New Roman"/>
                      <w:i w:val="0"/>
                      <w:iCs w:val="0"/>
                      <w:color w:val="000000"/>
                      <w:sz w:val="22"/>
                      <w:szCs w:val="22"/>
                      <w:u w:val="none"/>
                      <w:lang w:val="en-US" w:eastAsia="zh-CN"/>
                    </w:rPr>
                    <w:t>/</w:t>
                  </w:r>
                </w:p>
              </w:tc>
              <w:tc>
                <w:tcPr>
                  <w:tcW w:w="733" w:type="pct"/>
                  <w:shd w:val="clear" w:color="auto" w:fill="auto"/>
                  <w:noWrap/>
                  <w:vAlign w:val="center"/>
                </w:tcPr>
                <w:p w14:paraId="4963AF7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41.44</w:t>
                  </w:r>
                </w:p>
              </w:tc>
              <w:tc>
                <w:tcPr>
                  <w:tcW w:w="595" w:type="pct"/>
                  <w:shd w:val="clear" w:color="auto" w:fill="auto"/>
                  <w:noWrap/>
                  <w:vAlign w:val="center"/>
                </w:tcPr>
                <w:p w14:paraId="080F0B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 xml:space="preserve">1.036 </w:t>
                  </w:r>
                </w:p>
              </w:tc>
            </w:tr>
            <w:tr w14:paraId="3B869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139" w:type="pct"/>
                  <w:shd w:val="clear" w:color="auto" w:fill="auto"/>
                  <w:noWrap/>
                  <w:vAlign w:val="center"/>
                </w:tcPr>
                <w:p w14:paraId="333D743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盐水配制</w:t>
                  </w:r>
                </w:p>
              </w:tc>
              <w:tc>
                <w:tcPr>
                  <w:tcW w:w="724" w:type="pct"/>
                  <w:shd w:val="clear" w:color="auto" w:fill="auto"/>
                  <w:noWrap/>
                  <w:vAlign w:val="center"/>
                </w:tcPr>
                <w:p w14:paraId="0866ACE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22"/>
                      <w:szCs w:val="22"/>
                      <w:u w:val="none"/>
                      <w:lang w:val="en-US"/>
                    </w:rPr>
                  </w:pPr>
                  <w:r>
                    <w:rPr>
                      <w:rFonts w:hint="default" w:ascii="Times New Roman" w:hAnsi="Times New Roman" w:eastAsia="宋体" w:cs="Times New Roman"/>
                      <w:i w:val="0"/>
                      <w:iCs w:val="0"/>
                      <w:color w:val="000000"/>
                      <w:kern w:val="0"/>
                      <w:sz w:val="22"/>
                      <w:szCs w:val="22"/>
                      <w:u w:val="none"/>
                      <w:lang w:val="en-US" w:eastAsia="zh-CN" w:bidi="ar"/>
                    </w:rPr>
                    <w:t>1.5t菜/3.5t水</w:t>
                  </w:r>
                </w:p>
              </w:tc>
              <w:tc>
                <w:tcPr>
                  <w:tcW w:w="488" w:type="pct"/>
                  <w:shd w:val="clear" w:color="auto" w:fill="auto"/>
                  <w:noWrap/>
                  <w:vAlign w:val="center"/>
                </w:tcPr>
                <w:p w14:paraId="0FED4FA5">
                  <w:pPr>
                    <w:keepNext w:val="0"/>
                    <w:keepLines w:val="0"/>
                    <w:pageBreakBefore w:val="0"/>
                    <w:widowControl/>
                    <w:kinsoku/>
                    <w:wordWrap/>
                    <w:overflowPunct/>
                    <w:topLinePunct w:val="0"/>
                    <w:autoSpaceDE/>
                    <w:autoSpaceDN/>
                    <w:bidi w:val="0"/>
                    <w:adjustRightInd/>
                    <w:snapToGrid/>
                    <w:spacing w:line="240" w:lineRule="auto"/>
                    <w:jc w:val="center"/>
                    <w:rPr>
                      <w:rFonts w:hint="eastAsia" w:ascii="Times New Roman" w:hAnsi="Times New Roman" w:eastAsia="宋体" w:cs="Times New Roman"/>
                      <w:i w:val="0"/>
                      <w:iCs w:val="0"/>
                      <w:color w:val="000000"/>
                      <w:sz w:val="22"/>
                      <w:szCs w:val="22"/>
                      <w:u w:val="none"/>
                      <w:lang w:val="en-US" w:eastAsia="zh-CN"/>
                    </w:rPr>
                  </w:pPr>
                  <w:r>
                    <w:rPr>
                      <w:rFonts w:hint="eastAsia" w:ascii="Times New Roman" w:hAnsi="Times New Roman" w:eastAsia="宋体" w:cs="Times New Roman"/>
                      <w:i w:val="0"/>
                      <w:iCs w:val="0"/>
                      <w:color w:val="000000"/>
                      <w:sz w:val="22"/>
                      <w:szCs w:val="22"/>
                      <w:u w:val="none"/>
                      <w:lang w:val="en-US" w:eastAsia="zh-CN"/>
                    </w:rPr>
                    <w:t>/</w:t>
                  </w:r>
                </w:p>
              </w:tc>
              <w:tc>
                <w:tcPr>
                  <w:tcW w:w="879" w:type="pct"/>
                  <w:shd w:val="clear" w:color="auto" w:fill="auto"/>
                  <w:noWrap/>
                  <w:vAlign w:val="center"/>
                </w:tcPr>
                <w:p w14:paraId="1499A8F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 xml:space="preserve">13766.67 </w:t>
                  </w:r>
                </w:p>
              </w:tc>
              <w:tc>
                <w:tcPr>
                  <w:tcW w:w="439" w:type="pct"/>
                  <w:shd w:val="clear" w:color="auto" w:fill="auto"/>
                  <w:noWrap/>
                  <w:vAlign w:val="center"/>
                </w:tcPr>
                <w:p w14:paraId="6FF9CCAC">
                  <w:pPr>
                    <w:keepNext w:val="0"/>
                    <w:keepLines w:val="0"/>
                    <w:pageBreakBefore w:val="0"/>
                    <w:widowControl/>
                    <w:kinsoku/>
                    <w:wordWrap/>
                    <w:overflowPunct/>
                    <w:topLinePunct w:val="0"/>
                    <w:autoSpaceDE/>
                    <w:autoSpaceDN/>
                    <w:bidi w:val="0"/>
                    <w:adjustRightInd/>
                    <w:snapToGrid/>
                    <w:spacing w:line="240" w:lineRule="auto"/>
                    <w:jc w:val="center"/>
                    <w:rPr>
                      <w:rFonts w:hint="eastAsia" w:ascii="Times New Roman" w:hAnsi="Times New Roman" w:eastAsia="宋体" w:cs="Times New Roman"/>
                      <w:i w:val="0"/>
                      <w:iCs w:val="0"/>
                      <w:color w:val="000000"/>
                      <w:sz w:val="22"/>
                      <w:szCs w:val="22"/>
                      <w:u w:val="none"/>
                      <w:lang w:val="en-US" w:eastAsia="zh-CN"/>
                    </w:rPr>
                  </w:pPr>
                  <w:r>
                    <w:rPr>
                      <w:rFonts w:hint="eastAsia" w:ascii="Times New Roman" w:hAnsi="Times New Roman" w:eastAsia="宋体" w:cs="Times New Roman"/>
                      <w:i w:val="0"/>
                      <w:iCs w:val="0"/>
                      <w:color w:val="000000"/>
                      <w:sz w:val="22"/>
                      <w:szCs w:val="22"/>
                      <w:u w:val="none"/>
                      <w:lang w:val="en-US" w:eastAsia="zh-CN"/>
                    </w:rPr>
                    <w:t>/</w:t>
                  </w:r>
                </w:p>
              </w:tc>
              <w:tc>
                <w:tcPr>
                  <w:tcW w:w="733" w:type="pct"/>
                  <w:shd w:val="clear" w:color="auto" w:fill="auto"/>
                  <w:noWrap/>
                  <w:vAlign w:val="center"/>
                </w:tcPr>
                <w:p w14:paraId="76FAA1B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0</w:t>
                  </w:r>
                </w:p>
              </w:tc>
              <w:tc>
                <w:tcPr>
                  <w:tcW w:w="595" w:type="pct"/>
                  <w:shd w:val="clear" w:color="auto" w:fill="auto"/>
                  <w:noWrap/>
                  <w:vAlign w:val="center"/>
                </w:tcPr>
                <w:p w14:paraId="3B40D43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0</w:t>
                  </w:r>
                  <w:r>
                    <w:rPr>
                      <w:rFonts w:hint="default" w:ascii="Times New Roman" w:hAnsi="Times New Roman" w:eastAsia="宋体" w:cs="Times New Roman"/>
                      <w:i w:val="0"/>
                      <w:iCs w:val="0"/>
                      <w:color w:val="000000"/>
                      <w:kern w:val="0"/>
                      <w:sz w:val="22"/>
                      <w:szCs w:val="22"/>
                      <w:u w:val="none"/>
                      <w:lang w:val="en-US" w:eastAsia="zh-CN" w:bidi="ar"/>
                    </w:rPr>
                    <w:t xml:space="preserve"> </w:t>
                  </w:r>
                </w:p>
              </w:tc>
            </w:tr>
            <w:tr w14:paraId="2C10C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139" w:type="pct"/>
                  <w:shd w:val="clear" w:color="auto" w:fill="auto"/>
                  <w:noWrap/>
                  <w:vAlign w:val="center"/>
                </w:tcPr>
                <w:p w14:paraId="4D10C9E0">
                  <w:pPr>
                    <w:keepNext w:val="0"/>
                    <w:keepLines w:val="0"/>
                    <w:pageBreakBefore w:val="0"/>
                    <w:widowControl/>
                    <w:kinsoku/>
                    <w:wordWrap/>
                    <w:overflowPunct/>
                    <w:topLinePunct w:val="0"/>
                    <w:autoSpaceDE/>
                    <w:autoSpaceDN/>
                    <w:bidi w:val="0"/>
                    <w:adjustRightInd/>
                    <w:snapToGrid/>
                    <w:spacing w:line="240" w:lineRule="auto"/>
                    <w:jc w:val="center"/>
                    <w:rPr>
                      <w:rFonts w:hint="eastAsia" w:ascii="Times New Roman" w:hAnsi="Times New Roman" w:eastAsia="宋体" w:cs="Times New Roman"/>
                      <w:i w:val="0"/>
                      <w:iCs w:val="0"/>
                      <w:color w:val="000000"/>
                      <w:sz w:val="22"/>
                      <w:szCs w:val="22"/>
                      <w:u w:val="none"/>
                      <w:lang w:val="en-US" w:eastAsia="zh-CN"/>
                    </w:rPr>
                  </w:pPr>
                  <w:r>
                    <w:rPr>
                      <w:rFonts w:hint="eastAsia" w:ascii="Times New Roman" w:hAnsi="Times New Roman" w:eastAsia="宋体" w:cs="Times New Roman"/>
                      <w:i w:val="0"/>
                      <w:iCs w:val="0"/>
                      <w:color w:val="000000"/>
                      <w:sz w:val="22"/>
                      <w:szCs w:val="22"/>
                      <w:u w:val="none"/>
                      <w:lang w:val="en-US" w:eastAsia="zh-CN"/>
                    </w:rPr>
                    <w:t>合计</w:t>
                  </w:r>
                </w:p>
              </w:tc>
              <w:tc>
                <w:tcPr>
                  <w:tcW w:w="724" w:type="pct"/>
                  <w:shd w:val="clear" w:color="auto" w:fill="auto"/>
                  <w:noWrap/>
                  <w:vAlign w:val="center"/>
                </w:tcPr>
                <w:p w14:paraId="6B676A4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22"/>
                      <w:szCs w:val="22"/>
                      <w:u w:val="none"/>
                    </w:rPr>
                  </w:pPr>
                </w:p>
              </w:tc>
              <w:tc>
                <w:tcPr>
                  <w:tcW w:w="488" w:type="pct"/>
                  <w:shd w:val="clear" w:color="auto" w:fill="auto"/>
                  <w:noWrap/>
                  <w:vAlign w:val="center"/>
                </w:tcPr>
                <w:p w14:paraId="1351AF7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22"/>
                      <w:szCs w:val="22"/>
                      <w:u w:val="none"/>
                    </w:rPr>
                  </w:pPr>
                </w:p>
              </w:tc>
              <w:tc>
                <w:tcPr>
                  <w:tcW w:w="879" w:type="pct"/>
                  <w:shd w:val="clear" w:color="auto" w:fill="auto"/>
                  <w:noWrap/>
                  <w:vAlign w:val="center"/>
                </w:tcPr>
                <w:p w14:paraId="4DAB0C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 xml:space="preserve">42507.92 </w:t>
                  </w:r>
                </w:p>
              </w:tc>
              <w:tc>
                <w:tcPr>
                  <w:tcW w:w="439" w:type="pct"/>
                  <w:shd w:val="clear" w:color="auto" w:fill="auto"/>
                  <w:noWrap/>
                  <w:vAlign w:val="center"/>
                </w:tcPr>
                <w:p w14:paraId="395C154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22"/>
                      <w:szCs w:val="22"/>
                      <w:u w:val="none"/>
                    </w:rPr>
                  </w:pPr>
                </w:p>
              </w:tc>
              <w:tc>
                <w:tcPr>
                  <w:tcW w:w="733" w:type="pct"/>
                  <w:shd w:val="clear" w:color="auto" w:fill="auto"/>
                  <w:noWrap/>
                  <w:vAlign w:val="center"/>
                </w:tcPr>
                <w:p w14:paraId="1EB6592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lang w:val="en-US"/>
                    </w:rPr>
                  </w:pPr>
                  <w:r>
                    <w:rPr>
                      <w:rFonts w:hint="eastAsia" w:ascii="Times New Roman" w:hAnsi="Times New Roman" w:eastAsia="宋体" w:cs="Times New Roman"/>
                      <w:i w:val="0"/>
                      <w:iCs w:val="0"/>
                      <w:color w:val="000000"/>
                      <w:kern w:val="0"/>
                      <w:sz w:val="22"/>
                      <w:szCs w:val="22"/>
                      <w:u w:val="none"/>
                      <w:lang w:val="en-US" w:eastAsia="zh-CN" w:bidi="ar"/>
                    </w:rPr>
                    <w:t>25735.55</w:t>
                  </w:r>
                </w:p>
              </w:tc>
              <w:tc>
                <w:tcPr>
                  <w:tcW w:w="595" w:type="pct"/>
                  <w:shd w:val="clear" w:color="auto" w:fill="auto"/>
                  <w:noWrap/>
                  <w:vAlign w:val="center"/>
                </w:tcPr>
                <w:p w14:paraId="650844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22"/>
                      <w:szCs w:val="22"/>
                      <w:u w:val="none"/>
                    </w:rPr>
                  </w:pPr>
                  <w:r>
                    <w:rPr>
                      <w:rFonts w:hint="eastAsia" w:ascii="Times New Roman" w:hAnsi="Times New Roman" w:eastAsia="宋体" w:cs="Times New Roman"/>
                      <w:i w:val="0"/>
                      <w:iCs w:val="0"/>
                      <w:color w:val="000000"/>
                      <w:kern w:val="0"/>
                      <w:sz w:val="22"/>
                      <w:szCs w:val="22"/>
                      <w:u w:val="none"/>
                      <w:lang w:val="en-US" w:eastAsia="zh-CN" w:bidi="ar"/>
                    </w:rPr>
                    <w:t>107.99</w:t>
                  </w:r>
                  <w:r>
                    <w:rPr>
                      <w:rFonts w:hint="default" w:ascii="Times New Roman" w:hAnsi="Times New Roman" w:eastAsia="宋体" w:cs="Times New Roman"/>
                      <w:i w:val="0"/>
                      <w:iCs w:val="0"/>
                      <w:color w:val="000000"/>
                      <w:kern w:val="0"/>
                      <w:sz w:val="22"/>
                      <w:szCs w:val="22"/>
                      <w:u w:val="none"/>
                      <w:lang w:val="en-US" w:eastAsia="zh-CN" w:bidi="ar"/>
                    </w:rPr>
                    <w:t xml:space="preserve"> </w:t>
                  </w:r>
                </w:p>
              </w:tc>
            </w:tr>
          </w:tbl>
          <w:p w14:paraId="608911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s="Times New Roman"/>
                <w:b/>
                <w:bCs/>
                <w:color w:val="auto"/>
                <w:sz w:val="21"/>
                <w:szCs w:val="21"/>
                <w:highlight w:val="none"/>
                <w:lang w:val="en-US" w:eastAsia="zh-CN"/>
              </w:rPr>
            </w:pPr>
          </w:p>
          <w:p w14:paraId="5E59C088">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Lines="0" w:beforeAutospacing="0" w:after="0" w:afterAutospacing="0"/>
              <w:ind w:left="0" w:right="0" w:rightChars="0"/>
              <w:jc w:val="center"/>
              <w:textAlignment w:val="auto"/>
              <w:rPr>
                <w:rFonts w:hint="default" w:cs="Times New Roman"/>
                <w:color w:val="auto"/>
                <w:sz w:val="24"/>
                <w:highlight w:val="none"/>
                <w:u w:val="none"/>
                <w:lang w:val="en-US" w:eastAsia="zh-CN"/>
              </w:rPr>
            </w:pPr>
            <w:r>
              <w:rPr>
                <w:rFonts w:hint="default" w:cs="Times New Roman"/>
                <w:color w:val="auto"/>
                <w:sz w:val="24"/>
                <w:highlight w:val="none"/>
                <w:u w:val="none"/>
                <w:lang w:val="en-US" w:eastAsia="zh-CN"/>
              </w:rPr>
              <w:object>
                <v:shape id="_x0000_i1025" o:spt="75" type="#_x0000_t75" style="height:625.35pt;width:262.8pt;" o:ole="t" filled="f" o:preferrelative="t" stroked="f" coordsize="21600,21600">
                  <v:path/>
                  <v:fill on="f" focussize="0,0"/>
                  <v:stroke on="f"/>
                  <v:imagedata r:id="rId21" o:title=""/>
                  <o:lock v:ext="edit" aspectratio="f"/>
                  <w10:wrap type="none"/>
                  <w10:anchorlock/>
                </v:shape>
                <o:OLEObject Type="Embed" ProgID="Visio.Drawing.15" ShapeID="_x0000_i1025" DrawAspect="Content" ObjectID="_1468075725" r:id="rId20">
                  <o:LockedField>false</o:LockedField>
                </o:OLEObject>
              </w:object>
            </w:r>
          </w:p>
          <w:p w14:paraId="4F6C30FB">
            <w:pPr>
              <w:pStyle w:val="42"/>
              <w:keepNext w:val="0"/>
              <w:keepLines w:val="0"/>
              <w:suppressLineNumbers w:val="0"/>
              <w:spacing w:before="0" w:beforeAutospacing="0" w:after="0" w:afterAutospacing="0"/>
              <w:ind w:left="0" w:right="0"/>
              <w:jc w:val="center"/>
              <w:rPr>
                <w:rFonts w:hint="default" w:ascii="Times New Roman" w:cs="Times New Roman"/>
                <w:color w:val="auto"/>
                <w:highlight w:val="none"/>
                <w:u w:val="none"/>
                <w:lang w:val="en-US" w:eastAsia="zh-CN"/>
              </w:rPr>
            </w:pPr>
          </w:p>
          <w:p w14:paraId="45311688">
            <w:pPr>
              <w:keepNext w:val="0"/>
              <w:keepLines w:val="0"/>
              <w:suppressLineNumbers w:val="0"/>
              <w:spacing w:before="0" w:beforeAutospacing="0" w:after="0" w:afterAutospacing="0" w:line="360" w:lineRule="auto"/>
              <w:ind w:left="0" w:right="0" w:firstLine="422" w:firstLineChars="200"/>
              <w:jc w:val="center"/>
              <w:rPr>
                <w:rFonts w:hint="default" w:ascii="Times New Roman" w:hAnsi="Times New Roman" w:eastAsia="宋体" w:cs="Times New Roman"/>
                <w:b/>
                <w:bCs/>
                <w:color w:val="auto"/>
                <w:sz w:val="21"/>
                <w:szCs w:val="21"/>
                <w:highlight w:val="none"/>
                <w:u w:val="none"/>
                <w:lang w:val="en-US" w:eastAsia="zh-CN"/>
              </w:rPr>
            </w:pPr>
            <w:bookmarkStart w:id="12" w:name="_Toc344297472"/>
            <w:r>
              <w:rPr>
                <w:rFonts w:hint="default" w:cs="Times New Roman"/>
                <w:b/>
                <w:bCs/>
                <w:color w:val="auto"/>
                <w:sz w:val="21"/>
                <w:szCs w:val="21"/>
                <w:highlight w:val="none"/>
                <w:u w:val="none"/>
                <w:lang w:val="en-US" w:eastAsia="zh-CN"/>
              </w:rPr>
              <w:t>图</w:t>
            </w:r>
            <w:r>
              <w:rPr>
                <w:rFonts w:hint="default" w:ascii="Times New Roman" w:hAnsi="Times New Roman" w:cs="Times New Roman"/>
                <w:b/>
                <w:bCs/>
                <w:color w:val="auto"/>
                <w:sz w:val="21"/>
                <w:szCs w:val="21"/>
                <w:highlight w:val="none"/>
                <w:u w:val="none"/>
                <w:lang w:val="en-US" w:eastAsia="zh-CN"/>
              </w:rPr>
              <w:t>2</w:t>
            </w:r>
            <w:r>
              <w:rPr>
                <w:rFonts w:hint="default" w:cs="Times New Roman"/>
                <w:b/>
                <w:bCs/>
                <w:color w:val="auto"/>
                <w:sz w:val="21"/>
                <w:szCs w:val="21"/>
                <w:highlight w:val="none"/>
                <w:u w:val="none"/>
                <w:lang w:val="en-US" w:eastAsia="zh-CN"/>
              </w:rPr>
              <w:t>.1-</w:t>
            </w:r>
            <w:r>
              <w:rPr>
                <w:rFonts w:hint="default" w:ascii="Times New Roman" w:hAnsi="Times New Roman" w:cs="Times New Roman"/>
                <w:b/>
                <w:bCs/>
                <w:color w:val="auto"/>
                <w:sz w:val="21"/>
                <w:szCs w:val="21"/>
                <w:highlight w:val="none"/>
                <w:u w:val="none"/>
                <w:lang w:val="en-US" w:eastAsia="zh-CN"/>
              </w:rPr>
              <w:t>1</w:t>
            </w:r>
            <w:r>
              <w:rPr>
                <w:rFonts w:hint="default" w:cs="Times New Roman"/>
                <w:b/>
                <w:bCs/>
                <w:color w:val="auto"/>
                <w:sz w:val="21"/>
                <w:szCs w:val="21"/>
                <w:highlight w:val="none"/>
                <w:u w:val="none"/>
                <w:lang w:val="en-US" w:eastAsia="zh-CN"/>
              </w:rPr>
              <w:t xml:space="preserve"> 本项目水平衡图（单位：t/a）</w:t>
            </w:r>
          </w:p>
          <w:p w14:paraId="49818144">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cs="Times New Roman"/>
                <w:color w:val="auto"/>
                <w:sz w:val="24"/>
                <w:highlight w:val="none"/>
                <w:lang w:val="en-US" w:eastAsia="zh-CN"/>
              </w:rPr>
              <w:t>2</w:t>
            </w:r>
            <w:r>
              <w:rPr>
                <w:rFonts w:hint="default" w:ascii="Times New Roman" w:hAnsi="Times New Roman" w:eastAsia="宋体" w:cs="Times New Roman"/>
                <w:color w:val="auto"/>
                <w:sz w:val="24"/>
                <w:highlight w:val="none"/>
              </w:rPr>
              <w:t>、</w:t>
            </w:r>
            <w:bookmarkEnd w:id="12"/>
            <w:r>
              <w:rPr>
                <w:rFonts w:hint="default" w:ascii="Times New Roman" w:hAnsi="Times New Roman" w:eastAsia="宋体" w:cs="Times New Roman"/>
                <w:color w:val="auto"/>
                <w:sz w:val="24"/>
                <w:highlight w:val="none"/>
              </w:rPr>
              <w:t>供配电系统</w:t>
            </w:r>
          </w:p>
          <w:p w14:paraId="01104E79">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项目</w:t>
            </w:r>
            <w:r>
              <w:rPr>
                <w:rFonts w:hint="default" w:cs="Times New Roman"/>
                <w:color w:val="auto"/>
                <w:sz w:val="24"/>
                <w:highlight w:val="none"/>
                <w:lang w:val="en-US" w:eastAsia="zh-CN"/>
              </w:rPr>
              <w:t>用电</w:t>
            </w:r>
            <w:r>
              <w:rPr>
                <w:rFonts w:hint="default" w:ascii="Times New Roman" w:hAnsi="Times New Roman" w:eastAsia="宋体" w:cs="Times New Roman"/>
                <w:color w:val="auto"/>
                <w:sz w:val="24"/>
                <w:highlight w:val="none"/>
              </w:rPr>
              <w:t>由区域电网统一供电。</w:t>
            </w:r>
          </w:p>
          <w:p w14:paraId="7DBD744D">
            <w:pPr>
              <w:keepNext w:val="0"/>
              <w:keepLines w:val="0"/>
              <w:suppressLineNumbers w:val="0"/>
              <w:spacing w:before="0" w:beforeAutospacing="0" w:after="0" w:afterAutospacing="0" w:line="360" w:lineRule="auto"/>
              <w:ind w:left="0" w:right="0" w:firstLine="480" w:firstLineChars="200"/>
              <w:rPr>
                <w:rFonts w:hint="default" w:cs="Times New Roman"/>
                <w:color w:val="auto"/>
                <w:sz w:val="24"/>
                <w:highlight w:val="none"/>
                <w:vertAlign w:val="baseline"/>
                <w:lang w:val="en-US" w:eastAsia="zh-CN"/>
              </w:rPr>
            </w:pPr>
            <w:r>
              <w:rPr>
                <w:rFonts w:hint="eastAsia" w:cs="Times New Roman"/>
                <w:color w:val="auto"/>
                <w:sz w:val="24"/>
                <w:highlight w:val="none"/>
                <w:vertAlign w:val="baseline"/>
                <w:lang w:val="en-US" w:eastAsia="zh-CN"/>
              </w:rPr>
              <w:t>3</w:t>
            </w:r>
            <w:r>
              <w:rPr>
                <w:rFonts w:hint="default" w:cs="Times New Roman"/>
                <w:color w:val="auto"/>
                <w:sz w:val="24"/>
                <w:highlight w:val="none"/>
                <w:vertAlign w:val="baseline"/>
                <w:lang w:val="en-US" w:eastAsia="zh-CN"/>
              </w:rPr>
              <w:t>、消防系统</w:t>
            </w:r>
          </w:p>
          <w:p w14:paraId="2FDA275C">
            <w:pPr>
              <w:keepNext w:val="0"/>
              <w:keepLines w:val="0"/>
              <w:suppressLineNumbers w:val="0"/>
              <w:tabs>
                <w:tab w:val="left" w:pos="720"/>
              </w:tabs>
              <w:spacing w:before="0" w:beforeAutospacing="0" w:after="0" w:afterAutospacing="0" w:line="360" w:lineRule="auto"/>
              <w:ind w:left="0" w:right="0" w:firstLine="480" w:firstLineChars="200"/>
              <w:rPr>
                <w:rFonts w:hint="default"/>
                <w:color w:val="auto"/>
                <w:highlight w:val="none"/>
              </w:rPr>
            </w:pPr>
            <w:r>
              <w:rPr>
                <w:rFonts w:hint="default"/>
                <w:color w:val="auto"/>
                <w:highlight w:val="none"/>
                <w:lang w:val="en-US" w:eastAsia="zh-CN"/>
              </w:rPr>
              <w:t>项目厂区内</w:t>
            </w:r>
            <w:r>
              <w:rPr>
                <w:rFonts w:hint="default"/>
                <w:color w:val="auto"/>
                <w:highlight w:val="none"/>
              </w:rPr>
              <w:t>按规范设置一定数量的</w:t>
            </w:r>
            <w:r>
              <w:rPr>
                <w:rFonts w:hint="default"/>
                <w:color w:val="auto"/>
                <w:highlight w:val="none"/>
                <w:lang w:val="en-US" w:eastAsia="zh-CN"/>
              </w:rPr>
              <w:t>消火栓和</w:t>
            </w:r>
            <w:r>
              <w:rPr>
                <w:rFonts w:hint="default"/>
                <w:color w:val="auto"/>
                <w:highlight w:val="none"/>
              </w:rPr>
              <w:t>移动（手提）式灭火器。</w:t>
            </w:r>
          </w:p>
          <w:p w14:paraId="16625875">
            <w:pPr>
              <w:pStyle w:val="2"/>
              <w:keepLines w:val="0"/>
              <w:numPr>
                <w:ilvl w:val="0"/>
                <w:numId w:val="0"/>
              </w:numPr>
              <w:suppressLineNumbers w:val="0"/>
              <w:bidi w:val="0"/>
              <w:adjustRightInd w:val="0"/>
              <w:spacing w:before="0" w:beforeLines="0" w:beforeAutospacing="0" w:after="0" w:afterAutospacing="0"/>
              <w:ind w:leftChars="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2</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9</w:t>
            </w:r>
            <w:r>
              <w:rPr>
                <w:rFonts w:hint="default" w:cs="Times New Roman"/>
                <w:color w:val="auto"/>
                <w:highlight w:val="none"/>
                <w:lang w:val="en-US" w:eastAsia="zh-CN"/>
              </w:rPr>
              <w:t>总平面布置</w:t>
            </w:r>
          </w:p>
          <w:p w14:paraId="5C2BCC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color w:val="auto"/>
                <w:lang w:val="en-US" w:eastAsia="zh-CN"/>
              </w:rPr>
            </w:pPr>
            <w:r>
              <w:rPr>
                <w:rFonts w:hint="default" w:ascii="Times New Roman" w:hAnsi="Times New Roman" w:eastAsia="宋体" w:cs="Times New Roman"/>
                <w:color w:val="auto"/>
                <w:sz w:val="24"/>
                <w:highlight w:val="none"/>
                <w:lang w:val="en-US" w:eastAsia="zh-CN"/>
              </w:rPr>
              <w:t>本项目</w:t>
            </w:r>
            <w:r>
              <w:rPr>
                <w:rFonts w:hint="default" w:ascii="Times New Roman" w:hAnsi="Times New Roman" w:eastAsia="宋体" w:cs="Times New Roman"/>
                <w:color w:val="auto"/>
                <w:highlight w:val="none"/>
              </w:rPr>
              <w:t>位于</w:t>
            </w:r>
            <w:r>
              <w:rPr>
                <w:rFonts w:hint="eastAsia" w:cs="Times New Roman"/>
                <w:color w:val="auto"/>
                <w:highlight w:val="none"/>
                <w:lang w:val="en-US" w:eastAsia="zh-CN"/>
              </w:rPr>
              <w:t>祁东县官家嘴镇官家嘴村</w:t>
            </w:r>
            <w:r>
              <w:rPr>
                <w:rFonts w:hint="default" w:ascii="Times New Roman" w:hAnsi="Times New Roman" w:eastAsia="宋体" w:cs="Times New Roman"/>
                <w:bCs/>
                <w:color w:val="auto"/>
                <w:highlight w:val="none"/>
              </w:rPr>
              <w:t>（地理坐标：东经111°50′7.01271″，北纬26°56′12.55719″</w:t>
            </w:r>
            <w:r>
              <w:rPr>
                <w:rFonts w:hint="eastAsia" w:cs="Times New Roman"/>
                <w:bCs/>
                <w:color w:val="auto"/>
                <w:highlight w:val="none"/>
                <w:lang w:eastAsia="zh-CN"/>
              </w:rPr>
              <w:t>，</w:t>
            </w:r>
            <w:r>
              <w:rPr>
                <w:rFonts w:hint="eastAsia" w:cs="Times New Roman"/>
                <w:bCs/>
                <w:color w:val="auto"/>
                <w:highlight w:val="none"/>
                <w:lang w:val="en-US" w:eastAsia="zh-CN"/>
              </w:rPr>
              <w:t>地理位置图见附图1</w:t>
            </w:r>
            <w:r>
              <w:rPr>
                <w:rFonts w:hint="default" w:ascii="Times New Roman" w:hAnsi="Times New Roman" w:eastAsia="宋体" w:cs="Times New Roman"/>
                <w:bCs/>
                <w:color w:val="auto"/>
                <w:highlight w:val="none"/>
                <w:lang w:eastAsia="zh-CN"/>
              </w:rPr>
              <w:t>）。</w:t>
            </w:r>
            <w:r>
              <w:rPr>
                <w:rFonts w:hint="eastAsia"/>
                <w:color w:val="auto"/>
                <w:lang w:val="en-US" w:eastAsia="zh-CN"/>
              </w:rPr>
              <w:t>本项目根据厂区所处位置的交通情况，结合物料走向、工艺及装备特点，并遵循布局紧凑、节约用地、方便生产和办公的原则进行总平面布置。</w:t>
            </w:r>
          </w:p>
          <w:p w14:paraId="55752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color w:val="auto"/>
                <w:lang w:val="en-US" w:eastAsia="zh-CN"/>
              </w:rPr>
            </w:pPr>
            <w:r>
              <w:rPr>
                <w:rFonts w:hint="eastAsia"/>
                <w:color w:val="auto"/>
                <w:lang w:val="en-US" w:eastAsia="zh-CN"/>
              </w:rPr>
              <w:t>本项目入口位于厂区南侧，</w:t>
            </w:r>
            <w:r>
              <w:rPr>
                <w:rFonts w:hint="eastAsia" w:cs="Times New Roman"/>
                <w:bCs/>
                <w:color w:val="auto"/>
                <w:highlight w:val="none"/>
                <w:lang w:val="en-US" w:eastAsia="zh-CN"/>
              </w:rPr>
              <w:t>从西到东依次为1#、2#厂房、3#厂房、4#厂房、锅炉房以及办公楼，污水处理站位于厂区南面，处于各厂房及办公楼下风向</w:t>
            </w:r>
            <w:r>
              <w:rPr>
                <w:rFonts w:hint="eastAsia"/>
                <w:color w:val="auto"/>
                <w:lang w:val="en-US" w:eastAsia="zh-CN"/>
              </w:rPr>
              <w:t>。项目整体布局明确，生产线分明，生产线与车间四侧及车间出入口均留够足够的空间供人流来往、物料运输和员工进行相关操作。</w:t>
            </w:r>
          </w:p>
          <w:p w14:paraId="022D0B69">
            <w:pPr>
              <w:keepNext w:val="0"/>
              <w:keepLines w:val="0"/>
              <w:suppressLineNumbers w:val="0"/>
              <w:spacing w:before="0" w:beforeAutospacing="0" w:after="0" w:afterAutospacing="0" w:line="360" w:lineRule="auto"/>
              <w:ind w:left="0" w:right="0" w:firstLine="480" w:firstLineChars="200"/>
              <w:rPr>
                <w:rFonts w:hint="default"/>
                <w:color w:val="auto"/>
                <w:highlight w:val="yellow"/>
                <w:lang w:val="en-US" w:eastAsia="zh-CN"/>
              </w:rPr>
            </w:pPr>
            <w:r>
              <w:rPr>
                <w:rFonts w:hint="eastAsia"/>
                <w:color w:val="auto"/>
                <w:lang w:val="en-US" w:eastAsia="zh-CN"/>
              </w:rPr>
              <w:t>综上所述，</w:t>
            </w:r>
            <w:r>
              <w:rPr>
                <w:rFonts w:hint="default" w:ascii="Times New Roman" w:hAnsi="Times New Roman" w:eastAsia="宋体" w:cs="Times New Roman"/>
                <w:bCs/>
                <w:color w:val="auto"/>
                <w:highlight w:val="none"/>
                <w:lang w:val="en-US" w:eastAsia="zh-CN"/>
              </w:rPr>
              <w:t>本项目生产总体布局功能分区明确，原料、产品等均分开存放，杜绝了交叉污染</w:t>
            </w:r>
            <w:r>
              <w:rPr>
                <w:rFonts w:hint="eastAsia" w:cs="Times New Roman"/>
                <w:bCs/>
                <w:color w:val="auto"/>
                <w:highlight w:val="none"/>
                <w:lang w:val="en-US" w:eastAsia="zh-CN"/>
              </w:rPr>
              <w:t>，</w:t>
            </w:r>
            <w:r>
              <w:rPr>
                <w:rFonts w:hint="eastAsia"/>
                <w:color w:val="auto"/>
                <w:lang w:val="en-US" w:eastAsia="zh-CN"/>
              </w:rPr>
              <w:t>能够满足生产工艺的要求，因地制宜，使得功能布局合理，节约用地，满足安全、环保、卫生等要求。项目总平布置见附图2。</w:t>
            </w:r>
          </w:p>
        </w:tc>
      </w:tr>
      <w:tr w14:paraId="754C68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13" w:hRule="atLeast"/>
          <w:jc w:val="center"/>
        </w:trPr>
        <w:tc>
          <w:tcPr>
            <w:tcW w:w="235" w:type="pct"/>
            <w:noWrap w:val="0"/>
            <w:vAlign w:val="center"/>
          </w:tcPr>
          <w:p w14:paraId="7ED2DA30">
            <w:pPr>
              <w:pStyle w:val="24"/>
              <w:keepNext w:val="0"/>
              <w:keepLines w:val="0"/>
              <w:suppressLineNumbers w:val="0"/>
              <w:adjustRightInd w:val="0"/>
              <w:snapToGrid w:val="0"/>
              <w:spacing w:before="0" w:beforeLines="0" w:beforeAutospacing="0" w:after="0" w:afterAutospacing="0"/>
              <w:ind w:left="0" w:right="0"/>
              <w:jc w:val="center"/>
              <w:rPr>
                <w:rFonts w:hint="default" w:ascii="Times New Roman" w:hAnsi="Times New Roman" w:cs="Times New Roman"/>
                <w:color w:val="auto"/>
                <w:sz w:val="21"/>
                <w:szCs w:val="21"/>
                <w:highlight w:val="yellow"/>
              </w:rPr>
            </w:pPr>
            <w:r>
              <w:rPr>
                <w:rFonts w:hint="default" w:ascii="Times New Roman" w:hAnsi="Times New Roman" w:cs="Times New Roman"/>
                <w:color w:val="auto"/>
                <w:sz w:val="21"/>
                <w:szCs w:val="21"/>
                <w:highlight w:val="none"/>
              </w:rPr>
              <w:t>工艺流程和产排污环节</w:t>
            </w:r>
          </w:p>
        </w:tc>
        <w:tc>
          <w:tcPr>
            <w:tcW w:w="4764" w:type="pct"/>
            <w:noWrap w:val="0"/>
            <w:vAlign w:val="top"/>
          </w:tcPr>
          <w:p w14:paraId="518D7694">
            <w:pPr>
              <w:keepNext w:val="0"/>
              <w:keepLines w:val="0"/>
              <w:suppressLineNumbers w:val="0"/>
              <w:bidi w:val="0"/>
              <w:adjustRightInd w:val="0"/>
              <w:snapToGrid w:val="0"/>
              <w:spacing w:before="0" w:beforeLines="0" w:beforeAutospacing="0" w:after="0" w:afterAutospacing="0"/>
              <w:ind w:left="0" w:right="0"/>
              <w:rPr>
                <w:rFonts w:hint="default" w:cs="Times New Roman"/>
                <w:b/>
                <w:bCs/>
                <w:color w:val="auto"/>
                <w:highlight w:val="none"/>
                <w:lang w:val="en-US" w:eastAsia="zh-CN"/>
              </w:rPr>
            </w:pPr>
            <w:r>
              <w:rPr>
                <w:rFonts w:hint="default" w:ascii="Times New Roman" w:hAnsi="Times New Roman" w:cs="Times New Roman"/>
                <w:b/>
                <w:bCs/>
                <w:color w:val="auto"/>
                <w:highlight w:val="none"/>
                <w:lang w:val="en-US" w:eastAsia="zh-CN"/>
              </w:rPr>
              <w:t>2</w:t>
            </w:r>
            <w:r>
              <w:rPr>
                <w:rFonts w:hint="default" w:cs="Times New Roman"/>
                <w:b/>
                <w:bCs/>
                <w:color w:val="auto"/>
                <w:highlight w:val="none"/>
                <w:lang w:val="en-US" w:eastAsia="zh-CN"/>
              </w:rPr>
              <w:t>.</w:t>
            </w:r>
            <w:r>
              <w:rPr>
                <w:rFonts w:hint="default" w:ascii="Times New Roman" w:hAnsi="Times New Roman" w:cs="Times New Roman"/>
                <w:b/>
                <w:bCs/>
                <w:color w:val="auto"/>
                <w:highlight w:val="none"/>
                <w:lang w:val="en-US" w:eastAsia="zh-CN"/>
              </w:rPr>
              <w:t>2</w:t>
            </w:r>
            <w:r>
              <w:rPr>
                <w:rFonts w:hint="default" w:cs="Times New Roman"/>
                <w:b/>
                <w:bCs/>
                <w:color w:val="auto"/>
                <w:highlight w:val="none"/>
                <w:lang w:val="en-US" w:eastAsia="zh-CN"/>
              </w:rPr>
              <w:t>项目生产工艺流程及产排污环节</w:t>
            </w:r>
          </w:p>
          <w:p w14:paraId="5EBE266A">
            <w:pPr>
              <w:keepNext w:val="0"/>
              <w:keepLines w:val="0"/>
              <w:suppressLineNumbers w:val="0"/>
              <w:bidi w:val="0"/>
              <w:adjustRightInd w:val="0"/>
              <w:snapToGrid w:val="0"/>
              <w:spacing w:before="0" w:beforeLines="0" w:beforeAutospacing="0" w:after="0" w:afterAutospacing="0"/>
              <w:ind w:left="0" w:right="0"/>
              <w:rPr>
                <w:rFonts w:hint="default" w:cs="Times New Roman"/>
                <w:b/>
                <w:bCs/>
                <w:color w:val="auto"/>
                <w:highlight w:val="none"/>
                <w:shd w:val="clear" w:color="auto" w:fill="auto"/>
                <w:lang w:val="en-US" w:eastAsia="zh-CN"/>
              </w:rPr>
            </w:pPr>
            <w:r>
              <w:rPr>
                <w:rFonts w:hint="default" w:ascii="Times New Roman" w:hAnsi="Times New Roman" w:cs="Times New Roman"/>
                <w:b/>
                <w:bCs/>
                <w:color w:val="auto"/>
                <w:highlight w:val="none"/>
                <w:shd w:val="clear" w:color="auto" w:fill="auto"/>
                <w:lang w:val="en-US" w:eastAsia="zh-CN"/>
              </w:rPr>
              <w:t>2</w:t>
            </w:r>
            <w:r>
              <w:rPr>
                <w:rFonts w:hint="default" w:cs="Times New Roman"/>
                <w:b/>
                <w:bCs/>
                <w:color w:val="auto"/>
                <w:highlight w:val="none"/>
                <w:shd w:val="clear" w:color="auto" w:fill="auto"/>
                <w:lang w:val="en-US" w:eastAsia="zh-CN"/>
              </w:rPr>
              <w:t>.</w:t>
            </w:r>
            <w:r>
              <w:rPr>
                <w:rFonts w:hint="default" w:ascii="Times New Roman" w:hAnsi="Times New Roman" w:cs="Times New Roman"/>
                <w:b/>
                <w:bCs/>
                <w:color w:val="auto"/>
                <w:highlight w:val="none"/>
                <w:shd w:val="clear" w:color="auto" w:fill="auto"/>
                <w:lang w:val="en-US" w:eastAsia="zh-CN"/>
              </w:rPr>
              <w:t>2</w:t>
            </w:r>
            <w:r>
              <w:rPr>
                <w:rFonts w:hint="default" w:cs="Times New Roman"/>
                <w:b/>
                <w:bCs/>
                <w:color w:val="auto"/>
                <w:highlight w:val="none"/>
                <w:shd w:val="clear" w:color="auto" w:fill="auto"/>
                <w:lang w:val="en-US" w:eastAsia="zh-CN"/>
              </w:rPr>
              <w:t>.</w:t>
            </w:r>
            <w:r>
              <w:rPr>
                <w:rFonts w:hint="default" w:ascii="Times New Roman" w:hAnsi="Times New Roman" w:cs="Times New Roman"/>
                <w:b/>
                <w:bCs/>
                <w:color w:val="auto"/>
                <w:highlight w:val="none"/>
                <w:shd w:val="clear" w:color="auto" w:fill="auto"/>
                <w:lang w:val="en-US" w:eastAsia="zh-CN"/>
              </w:rPr>
              <w:t>1</w:t>
            </w:r>
            <w:r>
              <w:rPr>
                <w:rFonts w:hint="default" w:cs="Times New Roman"/>
                <w:b/>
                <w:bCs/>
                <w:color w:val="auto"/>
                <w:highlight w:val="none"/>
                <w:shd w:val="clear" w:color="auto" w:fill="auto"/>
                <w:lang w:val="en-US" w:eastAsia="zh-CN"/>
              </w:rPr>
              <w:t>施工期工艺流程</w:t>
            </w:r>
          </w:p>
          <w:p w14:paraId="776313A2">
            <w:pPr>
              <w:keepNext w:val="0"/>
              <w:keepLines w:val="0"/>
              <w:suppressLineNumbers w:val="0"/>
              <w:adjustRightInd w:val="0"/>
              <w:snapToGrid w:val="0"/>
              <w:spacing w:before="0" w:beforeAutospacing="0" w:after="0" w:afterAutospacing="0" w:line="360" w:lineRule="auto"/>
              <w:ind w:left="0" w:right="0" w:firstLine="480" w:firstLineChars="200"/>
              <w:jc w:val="left"/>
              <w:rPr>
                <w:rFonts w:hint="eastAsia"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本项目</w:t>
            </w:r>
            <w:r>
              <w:rPr>
                <w:rFonts w:hint="default" w:ascii="Times New Roman" w:hAnsi="Times New Roman" w:eastAsia="宋体" w:cs="Times New Roman"/>
                <w:color w:val="000000" w:themeColor="text1"/>
                <w:sz w:val="24"/>
                <w:lang w:val="en-US" w:eastAsia="zh-CN"/>
                <w14:textFill>
                  <w14:solidFill>
                    <w14:schemeClr w14:val="tx1"/>
                  </w14:solidFill>
                </w14:textFill>
              </w:rPr>
              <w:t>位于</w:t>
            </w:r>
            <w:r>
              <w:rPr>
                <w:rFonts w:hint="eastAsia" w:cs="Times New Roman"/>
                <w:color w:val="auto"/>
                <w:highlight w:val="none"/>
                <w:lang w:val="en-US" w:eastAsia="zh-CN"/>
              </w:rPr>
              <w:t>祁东县官家嘴镇官家嘴村</w:t>
            </w:r>
            <w:r>
              <w:rPr>
                <w:rFonts w:hint="default" w:ascii="Times New Roman" w:hAnsi="Times New Roman" w:eastAsia="宋体" w:cs="Times New Roman"/>
                <w:color w:val="000000" w:themeColor="text1"/>
                <w:sz w:val="24"/>
                <w14:textFill>
                  <w14:solidFill>
                    <w14:schemeClr w14:val="tx1"/>
                  </w14:solidFill>
                </w14:textFill>
              </w:rPr>
              <w:t>，</w:t>
            </w:r>
            <w:r>
              <w:rPr>
                <w:rFonts w:hint="default" w:ascii="Times New Roman" w:hAnsi="Times New Roman" w:eastAsia="宋体" w:cs="Times New Roman"/>
                <w:color w:val="000000" w:themeColor="text1"/>
                <w:sz w:val="24"/>
                <w:lang w:val="en-US" w:eastAsia="zh-CN"/>
                <w14:textFill>
                  <w14:solidFill>
                    <w14:schemeClr w14:val="tx1"/>
                  </w14:solidFill>
                </w14:textFill>
              </w:rPr>
              <w:t>项目属于未批先建；目前</w:t>
            </w:r>
            <w:r>
              <w:rPr>
                <w:rFonts w:hint="eastAsia" w:ascii="Times New Roman" w:hAnsi="Times New Roman" w:eastAsia="宋体" w:cs="Times New Roman"/>
                <w:color w:val="000000" w:themeColor="text1"/>
                <w:sz w:val="24"/>
                <w:lang w:val="en-US" w:eastAsia="zh-CN"/>
                <w14:textFill>
                  <w14:solidFill>
                    <w14:schemeClr w14:val="tx1"/>
                  </w14:solidFill>
                </w14:textFill>
              </w:rPr>
              <w:t>除办公楼外，</w:t>
            </w:r>
            <w:r>
              <w:rPr>
                <w:rFonts w:hint="default" w:ascii="Times New Roman" w:hAnsi="Times New Roman" w:eastAsia="宋体" w:cs="Times New Roman"/>
                <w:color w:val="000000" w:themeColor="text1"/>
                <w:sz w:val="24"/>
                <w:lang w:val="en-US" w:eastAsia="zh-CN"/>
                <w14:textFill>
                  <w14:solidFill>
                    <w14:schemeClr w14:val="tx1"/>
                  </w14:solidFill>
                </w14:textFill>
              </w:rPr>
              <w:t>厂房和辅助用房均已建好，且生产设备均已安装并投入运行。本次评价涉及的</w:t>
            </w:r>
            <w:r>
              <w:rPr>
                <w:rFonts w:hint="default" w:ascii="Times New Roman" w:hAnsi="Times New Roman" w:eastAsia="宋体" w:cs="Times New Roman"/>
                <w:color w:val="000000" w:themeColor="text1"/>
                <w:sz w:val="24"/>
                <w14:textFill>
                  <w14:solidFill>
                    <w14:schemeClr w14:val="tx1"/>
                  </w14:solidFill>
                </w14:textFill>
              </w:rPr>
              <w:t>施工期</w:t>
            </w:r>
            <w:r>
              <w:rPr>
                <w:rFonts w:hint="default" w:ascii="Times New Roman" w:hAnsi="Times New Roman" w:eastAsia="宋体" w:cs="Times New Roman"/>
                <w:color w:val="000000" w:themeColor="text1"/>
                <w:sz w:val="24"/>
                <w:lang w:val="en-US" w:eastAsia="zh-CN"/>
                <w14:textFill>
                  <w14:solidFill>
                    <w14:schemeClr w14:val="tx1"/>
                  </w14:solidFill>
                </w14:textFill>
              </w:rPr>
              <w:t>仅有</w:t>
            </w:r>
            <w:r>
              <w:rPr>
                <w:rFonts w:hint="eastAsia" w:ascii="Times New Roman" w:hAnsi="Times New Roman" w:eastAsia="宋体" w:cs="Times New Roman"/>
                <w:color w:val="000000" w:themeColor="text1"/>
                <w:sz w:val="24"/>
                <w:lang w:val="en-US" w:eastAsia="zh-CN"/>
                <w14:textFill>
                  <w14:solidFill>
                    <w14:schemeClr w14:val="tx1"/>
                  </w14:solidFill>
                </w14:textFill>
              </w:rPr>
              <w:t>办公楼建设以及</w:t>
            </w:r>
            <w:r>
              <w:rPr>
                <w:rFonts w:hint="default" w:ascii="Times New Roman" w:hAnsi="Times New Roman" w:eastAsia="宋体" w:cs="Times New Roman"/>
                <w:color w:val="000000" w:themeColor="text1"/>
                <w:sz w:val="24"/>
                <w:lang w:val="en-US" w:eastAsia="zh-CN"/>
                <w14:textFill>
                  <w14:solidFill>
                    <w14:schemeClr w14:val="tx1"/>
                  </w14:solidFill>
                </w14:textFill>
              </w:rPr>
              <w:t>环保设施的整改</w:t>
            </w:r>
            <w:r>
              <w:rPr>
                <w:rFonts w:hint="eastAsia" w:cs="Times New Roman"/>
                <w:color w:val="000000" w:themeColor="text1"/>
                <w:sz w:val="24"/>
                <w:lang w:eastAsia="zh-CN"/>
                <w14:textFill>
                  <w14:solidFill>
                    <w14:schemeClr w14:val="tx1"/>
                  </w14:solidFill>
                </w14:textFill>
              </w:rPr>
              <w:t>。</w:t>
            </w:r>
            <w:r>
              <w:rPr>
                <w:rFonts w:hint="eastAsia" w:ascii="Times New Roman" w:hAnsi="Times New Roman" w:eastAsia="宋体" w:cs="Times New Roman"/>
                <w:color w:val="000000" w:themeColor="text1"/>
                <w:sz w:val="24"/>
                <w:lang w:val="en-US" w:eastAsia="zh-CN"/>
                <w14:textFill>
                  <w14:solidFill>
                    <w14:schemeClr w14:val="tx1"/>
                  </w14:solidFill>
                </w14:textFill>
              </w:rPr>
              <w:t>且办公楼和环保设施整改</w:t>
            </w:r>
            <w:r>
              <w:rPr>
                <w:rFonts w:hint="default" w:ascii="Times New Roman" w:hAnsi="Times New Roman" w:eastAsia="宋体" w:cs="Times New Roman"/>
                <w:color w:val="000000" w:themeColor="text1"/>
                <w:sz w:val="24"/>
                <w14:textFill>
                  <w14:solidFill>
                    <w14:schemeClr w14:val="tx1"/>
                  </w14:solidFill>
                </w14:textFill>
              </w:rPr>
              <w:t>施工期短，随</w:t>
            </w:r>
            <w:r>
              <w:rPr>
                <w:rFonts w:hint="eastAsia" w:ascii="Times New Roman" w:hAnsi="Times New Roman" w:eastAsia="宋体" w:cs="Times New Roman"/>
                <w:color w:val="000000" w:themeColor="text1"/>
                <w:sz w:val="24"/>
                <w:lang w:val="en-US" w:eastAsia="zh-CN"/>
                <w14:textFill>
                  <w14:solidFill>
                    <w14:schemeClr w14:val="tx1"/>
                  </w14:solidFill>
                </w14:textFill>
              </w:rPr>
              <w:t>着</w:t>
            </w:r>
            <w:r>
              <w:rPr>
                <w:rFonts w:hint="default" w:ascii="Times New Roman" w:hAnsi="Times New Roman" w:eastAsia="宋体" w:cs="Times New Roman"/>
                <w:color w:val="000000" w:themeColor="text1"/>
                <w:sz w:val="24"/>
                <w14:textFill>
                  <w14:solidFill>
                    <w14:schemeClr w14:val="tx1"/>
                  </w14:solidFill>
                </w14:textFill>
              </w:rPr>
              <w:t>施工期结束，污染随着消失</w:t>
            </w: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14:textFill>
                  <w14:solidFill>
                    <w14:schemeClr w14:val="tx1"/>
                  </w14:solidFill>
                </w14:textFill>
              </w:rPr>
              <w:t>因此本次评价</w:t>
            </w:r>
            <w:r>
              <w:rPr>
                <w:rFonts w:hint="eastAsia" w:cs="Times New Roman"/>
                <w:color w:val="000000" w:themeColor="text1"/>
                <w:sz w:val="24"/>
                <w:lang w:val="en-US" w:eastAsia="zh-CN"/>
                <w14:textFill>
                  <w14:solidFill>
                    <w14:schemeClr w14:val="tx1"/>
                  </w14:solidFill>
                </w14:textFill>
              </w:rPr>
              <w:t>仅</w:t>
            </w:r>
            <w:r>
              <w:rPr>
                <w:rFonts w:hint="default" w:ascii="Times New Roman" w:hAnsi="Times New Roman" w:eastAsia="宋体" w:cs="Times New Roman"/>
                <w:color w:val="000000" w:themeColor="text1"/>
                <w:sz w:val="24"/>
                <w14:textFill>
                  <w14:solidFill>
                    <w14:schemeClr w14:val="tx1"/>
                  </w14:solidFill>
                </w14:textFill>
              </w:rPr>
              <w:t>对施工期</w:t>
            </w:r>
            <w:r>
              <w:rPr>
                <w:rFonts w:hint="eastAsia" w:cs="Times New Roman"/>
                <w:color w:val="000000" w:themeColor="text1"/>
                <w:sz w:val="24"/>
                <w:lang w:val="en-US" w:eastAsia="zh-CN"/>
                <w14:textFill>
                  <w14:solidFill>
                    <w14:schemeClr w14:val="tx1"/>
                  </w14:solidFill>
                </w14:textFill>
              </w:rPr>
              <w:t>产排污环节进行简单描述。</w:t>
            </w:r>
          </w:p>
          <w:p w14:paraId="73FAB9A0">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14:textFill>
                  <w14:solidFill>
                    <w14:schemeClr w14:val="tx1"/>
                  </w14:solidFill>
                </w14:textFill>
              </w:rPr>
            </w:pPr>
            <w:r>
              <w:rPr>
                <w:rFonts w:hint="eastAsia" w:cs="Times New Roman"/>
                <w:color w:val="000000" w:themeColor="text1"/>
                <w:sz w:val="24"/>
                <w:lang w:val="en-US" w:eastAsia="zh-CN"/>
                <w14:textFill>
                  <w14:solidFill>
                    <w14:schemeClr w14:val="tx1"/>
                  </w14:solidFill>
                </w14:textFill>
              </w:rPr>
              <w:t>本项目办公楼施工期产生的污染主要为机械噪声、扬尘、施工废水和固体废物</w:t>
            </w:r>
            <w:r>
              <w:rPr>
                <w:rFonts w:hint="default" w:ascii="Times New Roman" w:hAnsi="Times New Roman" w:eastAsia="宋体" w:cs="Times New Roman"/>
                <w:color w:val="000000" w:themeColor="text1"/>
                <w:sz w:val="24"/>
                <w14:textFill>
                  <w14:solidFill>
                    <w14:schemeClr w14:val="tx1"/>
                  </w14:solidFill>
                </w14:textFill>
              </w:rPr>
              <w:t>。</w:t>
            </w:r>
          </w:p>
          <w:p w14:paraId="7741D575">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default"/>
                <w:color w:val="auto"/>
                <w:sz w:val="24"/>
                <w:szCs w:val="24"/>
                <w:lang w:val="en-US" w:eastAsia="zh-CN"/>
              </w:rPr>
            </w:pPr>
            <w:r>
              <w:rPr>
                <w:rFonts w:hint="default"/>
                <w:color w:val="auto"/>
                <w:sz w:val="24"/>
                <w:szCs w:val="24"/>
                <w:lang w:val="en-US" w:eastAsia="zh-CN"/>
              </w:rPr>
              <w:t>①废气：</w:t>
            </w:r>
            <w:r>
              <w:rPr>
                <w:rFonts w:hint="eastAsia"/>
                <w:color w:val="auto"/>
                <w:sz w:val="24"/>
                <w:szCs w:val="24"/>
                <w:lang w:val="en-US" w:eastAsia="zh-CN"/>
              </w:rPr>
              <w:t>本项目施工期废气主要为</w:t>
            </w:r>
            <w:r>
              <w:rPr>
                <w:rFonts w:hint="default"/>
                <w:color w:val="auto"/>
                <w:sz w:val="24"/>
                <w:szCs w:val="24"/>
                <w:lang w:val="en-US" w:eastAsia="zh-CN"/>
              </w:rPr>
              <w:t>土方挖掘、建筑施工、</w:t>
            </w:r>
            <w:r>
              <w:rPr>
                <w:rFonts w:hint="eastAsia"/>
                <w:color w:val="auto"/>
                <w:lang w:val="en-US" w:eastAsia="zh-CN"/>
              </w:rPr>
              <w:t>建筑材料装卸</w:t>
            </w:r>
            <w:r>
              <w:rPr>
                <w:rFonts w:hint="default"/>
                <w:color w:val="auto"/>
                <w:lang w:val="en-US" w:eastAsia="zh-CN"/>
              </w:rPr>
              <w:t>和车辆运输产生的</w:t>
            </w:r>
            <w:r>
              <w:rPr>
                <w:rFonts w:hint="eastAsia"/>
                <w:color w:val="auto"/>
                <w:lang w:val="en-US" w:eastAsia="zh-CN"/>
              </w:rPr>
              <w:t>扬尘、汽车尾气</w:t>
            </w:r>
            <w:r>
              <w:rPr>
                <w:rFonts w:hint="default"/>
                <w:color w:val="auto"/>
                <w:sz w:val="24"/>
                <w:szCs w:val="24"/>
                <w:lang w:val="en-US" w:eastAsia="zh-CN"/>
              </w:rPr>
              <w:t>。</w:t>
            </w:r>
          </w:p>
          <w:p w14:paraId="29E8D583">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default"/>
                <w:color w:val="auto"/>
                <w:sz w:val="24"/>
                <w:szCs w:val="24"/>
                <w:lang w:val="en-US" w:eastAsia="zh-CN"/>
              </w:rPr>
            </w:pPr>
            <w:r>
              <w:rPr>
                <w:rFonts w:hint="default"/>
                <w:color w:val="auto"/>
                <w:sz w:val="24"/>
                <w:szCs w:val="24"/>
                <w:lang w:val="en-US" w:eastAsia="zh-CN"/>
              </w:rPr>
              <w:t>②废水：本项目施工期废水主要为施工废水和施工人员生活用水</w:t>
            </w:r>
            <w:r>
              <w:rPr>
                <w:rFonts w:hint="eastAsia"/>
                <w:color w:val="auto"/>
                <w:sz w:val="24"/>
                <w:szCs w:val="24"/>
                <w:lang w:val="en-US" w:eastAsia="zh-CN"/>
              </w:rPr>
              <w:t>。</w:t>
            </w:r>
          </w:p>
          <w:p w14:paraId="6240C3D1">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default"/>
                <w:color w:val="auto"/>
                <w:sz w:val="24"/>
                <w:szCs w:val="24"/>
                <w:lang w:val="en-US" w:eastAsia="zh-CN"/>
              </w:rPr>
            </w:pPr>
            <w:r>
              <w:rPr>
                <w:rFonts w:hint="default"/>
                <w:color w:val="auto"/>
                <w:sz w:val="24"/>
                <w:szCs w:val="24"/>
                <w:lang w:val="en-US" w:eastAsia="zh-CN"/>
              </w:rPr>
              <w:t>③噪声：</w:t>
            </w:r>
            <w:r>
              <w:rPr>
                <w:rFonts w:hint="eastAsia"/>
                <w:color w:val="auto"/>
                <w:lang w:val="en-US" w:eastAsia="zh-CN"/>
              </w:rPr>
              <w:t>本项目施工期噪声主要为</w:t>
            </w:r>
            <w:r>
              <w:rPr>
                <w:rFonts w:hint="default"/>
                <w:color w:val="auto"/>
                <w:lang w:val="en-US" w:eastAsia="zh-CN"/>
              </w:rPr>
              <w:t>挖土机械、升降机等施工机械设备噪声</w:t>
            </w:r>
            <w:r>
              <w:rPr>
                <w:rFonts w:hint="eastAsia"/>
                <w:color w:val="auto"/>
                <w:lang w:val="en-US" w:eastAsia="zh-CN"/>
              </w:rPr>
              <w:t>；</w:t>
            </w:r>
            <w:r>
              <w:rPr>
                <w:rFonts w:hint="default"/>
                <w:color w:val="auto"/>
                <w:lang w:val="en-US" w:eastAsia="zh-CN"/>
              </w:rPr>
              <w:t>土石方、</w:t>
            </w:r>
            <w:r>
              <w:rPr>
                <w:rFonts w:hint="eastAsia"/>
                <w:color w:val="auto"/>
                <w:lang w:val="en-US" w:eastAsia="zh-CN"/>
              </w:rPr>
              <w:t>建筑材料和建筑垃圾</w:t>
            </w:r>
            <w:r>
              <w:rPr>
                <w:rFonts w:hint="default"/>
                <w:color w:val="auto"/>
                <w:lang w:val="en-US" w:eastAsia="zh-CN"/>
              </w:rPr>
              <w:t>运输产生的施工车辆交通噪声</w:t>
            </w:r>
            <w:r>
              <w:rPr>
                <w:rFonts w:hint="eastAsia"/>
                <w:color w:val="auto"/>
                <w:lang w:val="en-US" w:eastAsia="zh-CN"/>
              </w:rPr>
              <w:t>；</w:t>
            </w:r>
            <w:r>
              <w:rPr>
                <w:rFonts w:hint="default"/>
                <w:color w:val="auto"/>
                <w:lang w:val="en-US" w:eastAsia="zh-CN"/>
              </w:rPr>
              <w:t>设备安装噪声。</w:t>
            </w:r>
          </w:p>
          <w:p w14:paraId="3C51ECF7">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eastAsia"/>
                <w:b/>
                <w:bCs/>
                <w:color w:val="auto"/>
                <w:lang w:val="en-US" w:eastAsia="zh-CN"/>
              </w:rPr>
            </w:pPr>
            <w:r>
              <w:rPr>
                <w:rFonts w:hint="default"/>
                <w:color w:val="auto"/>
                <w:sz w:val="24"/>
                <w:szCs w:val="24"/>
                <w:lang w:val="en-US" w:eastAsia="zh-CN"/>
              </w:rPr>
              <w:t>④固废：</w:t>
            </w:r>
            <w:r>
              <w:rPr>
                <w:rFonts w:hint="eastAsia"/>
                <w:color w:val="auto"/>
                <w:lang w:val="en-US" w:eastAsia="zh-CN"/>
              </w:rPr>
              <w:t>本项目施工期</w:t>
            </w:r>
            <w:r>
              <w:rPr>
                <w:rFonts w:hint="default"/>
                <w:color w:val="auto"/>
                <w:lang w:val="en-US" w:eastAsia="zh-CN"/>
              </w:rPr>
              <w:t>固体废物主要</w:t>
            </w:r>
            <w:r>
              <w:rPr>
                <w:rFonts w:hint="eastAsia"/>
                <w:color w:val="auto"/>
                <w:lang w:val="en-US" w:eastAsia="zh-CN"/>
              </w:rPr>
              <w:t>为</w:t>
            </w:r>
            <w:r>
              <w:rPr>
                <w:rFonts w:hint="default"/>
                <w:color w:val="auto"/>
                <w:lang w:val="en-US" w:eastAsia="zh-CN"/>
              </w:rPr>
              <w:t>开挖的土石方、</w:t>
            </w:r>
            <w:r>
              <w:rPr>
                <w:rFonts w:hint="eastAsia"/>
                <w:color w:val="auto"/>
                <w:lang w:val="en-US" w:eastAsia="zh-CN"/>
              </w:rPr>
              <w:t>建筑垃圾</w:t>
            </w:r>
            <w:r>
              <w:rPr>
                <w:rFonts w:hint="default"/>
                <w:color w:val="auto"/>
                <w:lang w:val="en-US" w:eastAsia="zh-CN"/>
              </w:rPr>
              <w:t>和施工人员产生的生活垃圾。</w:t>
            </w:r>
          </w:p>
          <w:p w14:paraId="74C97818">
            <w:pPr>
              <w:keepNext w:val="0"/>
              <w:keepLines w:val="0"/>
              <w:numPr>
                <w:ilvl w:val="0"/>
                <w:numId w:val="0"/>
              </w:numPr>
              <w:suppressLineNumbers w:val="0"/>
              <w:spacing w:before="0" w:beforeAutospacing="0" w:after="0" w:afterAutospacing="0"/>
              <w:ind w:left="0" w:right="0"/>
              <w:rPr>
                <w:rFonts w:hint="default" w:cs="Times New Roman"/>
                <w:b/>
                <w:bCs/>
                <w:color w:val="auto"/>
                <w:highlight w:val="none"/>
                <w:shd w:val="clear" w:color="auto" w:fill="auto"/>
                <w:lang w:val="en-US" w:eastAsia="zh-CN"/>
              </w:rPr>
            </w:pPr>
            <w:r>
              <w:rPr>
                <w:rFonts w:hint="default" w:ascii="Times New Roman" w:hAnsi="Times New Roman" w:cs="Times New Roman"/>
                <w:b/>
                <w:bCs/>
                <w:color w:val="auto"/>
                <w:highlight w:val="none"/>
                <w:shd w:val="clear" w:color="auto" w:fill="auto"/>
                <w:lang w:val="en-US" w:eastAsia="zh-CN"/>
              </w:rPr>
              <w:t>2</w:t>
            </w:r>
            <w:r>
              <w:rPr>
                <w:rFonts w:hint="default" w:cs="Times New Roman"/>
                <w:b/>
                <w:bCs/>
                <w:color w:val="auto"/>
                <w:highlight w:val="none"/>
                <w:shd w:val="clear" w:color="auto" w:fill="auto"/>
                <w:lang w:val="en-US" w:eastAsia="zh-CN"/>
              </w:rPr>
              <w:t>.</w:t>
            </w:r>
            <w:r>
              <w:rPr>
                <w:rFonts w:hint="default" w:ascii="Times New Roman" w:hAnsi="Times New Roman" w:cs="Times New Roman"/>
                <w:b/>
                <w:bCs/>
                <w:color w:val="auto"/>
                <w:highlight w:val="none"/>
                <w:shd w:val="clear" w:color="auto" w:fill="auto"/>
                <w:lang w:val="en-US" w:eastAsia="zh-CN"/>
              </w:rPr>
              <w:t>2</w:t>
            </w:r>
            <w:r>
              <w:rPr>
                <w:rFonts w:hint="default" w:cs="Times New Roman"/>
                <w:b/>
                <w:bCs/>
                <w:color w:val="auto"/>
                <w:highlight w:val="none"/>
                <w:shd w:val="clear" w:color="auto" w:fill="auto"/>
                <w:lang w:val="en-US" w:eastAsia="zh-CN"/>
              </w:rPr>
              <w:t>.2</w:t>
            </w:r>
            <w:r>
              <w:rPr>
                <w:rFonts w:hint="default" w:ascii="Times New Roman" w:hAnsi="Times New Roman" w:eastAsia="宋体" w:cs="Times New Roman"/>
                <w:b/>
                <w:bCs/>
                <w:color w:val="auto"/>
                <w:highlight w:val="none"/>
                <w:lang w:val="en-US" w:eastAsia="zh-CN"/>
              </w:rPr>
              <w:t>运营期</w:t>
            </w:r>
            <w:r>
              <w:rPr>
                <w:rFonts w:hint="default" w:cs="Times New Roman"/>
                <w:b/>
                <w:bCs/>
                <w:color w:val="auto"/>
                <w:highlight w:val="none"/>
                <w:shd w:val="clear" w:color="auto" w:fill="auto"/>
                <w:lang w:val="en-US" w:eastAsia="zh-CN"/>
              </w:rPr>
              <w:t>工艺流程</w:t>
            </w:r>
          </w:p>
          <w:p w14:paraId="0E1F8BBB">
            <w:pPr>
              <w:keepNext w:val="0"/>
              <w:keepLines w:val="0"/>
              <w:suppressLineNumbers w:val="0"/>
              <w:bidi w:val="0"/>
              <w:adjustRightInd w:val="0"/>
              <w:snapToGrid w:val="0"/>
              <w:spacing w:before="0" w:beforeLines="0" w:beforeAutospacing="0" w:after="0" w:afterAutospacing="0"/>
              <w:ind w:left="0" w:right="0"/>
              <w:rPr>
                <w:rFonts w:hint="default" w:cs="Times New Roman"/>
                <w:b/>
                <w:bCs/>
                <w:color w:val="auto"/>
                <w:highlight w:val="none"/>
                <w:lang w:val="en-US" w:eastAsia="zh-CN"/>
              </w:rPr>
            </w:pPr>
            <w:r>
              <w:rPr>
                <w:rFonts w:hint="default" w:cs="Times New Roman"/>
                <w:b/>
                <w:bCs/>
                <w:color w:val="auto"/>
                <w:highlight w:val="none"/>
                <w:lang w:val="en-US" w:eastAsia="zh-CN"/>
              </w:rPr>
              <w:t>2.2.2.1生产工艺</w:t>
            </w:r>
          </w:p>
          <w:p w14:paraId="3861513F">
            <w:pPr>
              <w:keepNext w:val="0"/>
              <w:keepLines w:val="0"/>
              <w:pageBreakBefore w:val="0"/>
              <w:widowControl w:val="0"/>
              <w:numPr>
                <w:ilvl w:val="0"/>
                <w:numId w:val="10"/>
              </w:numPr>
              <w:suppressLineNumbers w:val="0"/>
              <w:kinsoku/>
              <w:wordWrap/>
              <w:overflowPunct/>
              <w:topLinePunct w:val="0"/>
              <w:autoSpaceDE/>
              <w:autoSpaceDN/>
              <w:bidi w:val="0"/>
              <w:adjustRightInd w:val="0"/>
              <w:snapToGrid w:val="0"/>
              <w:spacing w:before="0" w:beforeLines="0" w:beforeAutospacing="0" w:after="0" w:afterAutospacing="0"/>
              <w:ind w:left="0" w:right="0" w:firstLine="482" w:firstLineChars="200"/>
              <w:textAlignment w:val="auto"/>
              <w:rPr>
                <w:rFonts w:hint="eastAsia" w:cs="Times New Roman"/>
                <w:b/>
                <w:bCs/>
                <w:color w:val="auto"/>
                <w:highlight w:val="none"/>
                <w:lang w:val="en-US" w:eastAsia="zh-CN"/>
              </w:rPr>
            </w:pPr>
            <w:r>
              <w:rPr>
                <w:rFonts w:hint="eastAsia" w:cs="Times New Roman"/>
                <w:b/>
                <w:bCs/>
                <w:color w:val="auto"/>
                <w:highlight w:val="none"/>
                <w:lang w:val="en-US" w:eastAsia="zh-CN"/>
              </w:rPr>
              <w:t>干黄花菜生产工艺流程</w:t>
            </w:r>
          </w:p>
          <w:p w14:paraId="0B594008">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Lines="0" w:beforeAutospacing="0" w:after="0" w:afterAutospacing="0"/>
              <w:ind w:left="0" w:right="0" w:rightChars="0"/>
              <w:jc w:val="center"/>
              <w:textAlignment w:val="auto"/>
              <w:rPr>
                <w:rFonts w:hint="default" w:cs="Times New Roman"/>
                <w:b/>
                <w:bCs/>
                <w:color w:val="auto"/>
                <w:highlight w:val="yellow"/>
                <w:lang w:val="en-US" w:eastAsia="zh-CN"/>
              </w:rPr>
            </w:pPr>
            <w:r>
              <w:rPr>
                <w:rFonts w:hint="default" w:cs="Times New Roman"/>
                <w:b/>
                <w:bCs/>
                <w:color w:val="auto"/>
                <w:highlight w:val="none"/>
                <w:lang w:val="en-US" w:eastAsia="zh-CN"/>
              </w:rPr>
              <w:object>
                <v:shape id="_x0000_i1026" o:spt="75" type="#_x0000_t75" style="height:181.7pt;width:400.9pt;" o:ole="t" filled="f" o:preferrelative="t" stroked="f" coordsize="21600,21600">
                  <v:path/>
                  <v:fill on="f" focussize="0,0"/>
                  <v:stroke on="f"/>
                  <v:imagedata r:id="rId23" o:title=""/>
                  <o:lock v:ext="edit" aspectratio="f"/>
                  <w10:wrap type="none"/>
                  <w10:anchorlock/>
                </v:shape>
                <o:OLEObject Type="Embed" ProgID="Visio.Drawing.15" ShapeID="_x0000_i1026" DrawAspect="Content" ObjectID="_1468075726" r:id="rId22">
                  <o:LockedField>false</o:LockedField>
                </o:OLEObject>
              </w:object>
            </w:r>
          </w:p>
          <w:p w14:paraId="3F43D135">
            <w:pPr>
              <w:pStyle w:val="42"/>
              <w:keepNext w:val="0"/>
              <w:keepLines w:val="0"/>
              <w:suppressLineNumbers w:val="0"/>
              <w:spacing w:before="0" w:beforeAutospacing="0" w:after="0" w:afterAutospacing="0"/>
              <w:ind w:left="0" w:right="0"/>
              <w:jc w:val="center"/>
              <w:rPr>
                <w:rStyle w:val="55"/>
                <w:rFonts w:hint="default" w:ascii="Times New Roman" w:cs="Times New Roman"/>
                <w:b/>
                <w:bCs/>
                <w:color w:val="auto"/>
                <w:highlight w:val="none"/>
                <w:lang w:val="en-US" w:eastAsia="zh-CN"/>
              </w:rPr>
            </w:pPr>
            <w:r>
              <w:rPr>
                <w:rFonts w:hint="default" w:ascii="Times New Roman" w:hAnsi="Times New Roman" w:eastAsia="宋体" w:cs="Times New Roman"/>
                <w:b/>
                <w:bCs/>
                <w:snapToGrid w:val="0"/>
                <w:color w:val="auto"/>
                <w:kern w:val="0"/>
                <w:sz w:val="21"/>
                <w:szCs w:val="21"/>
                <w:highlight w:val="none"/>
                <w:lang w:val="en-US" w:eastAsia="zh-CN" w:bidi="ar-SA"/>
              </w:rPr>
              <w:t>图</w:t>
            </w:r>
            <w:r>
              <w:rPr>
                <w:rFonts w:hint="default" w:ascii="Times New Roman" w:hAnsi="Times New Roman" w:cs="Times New Roman"/>
                <w:b/>
                <w:bCs/>
                <w:snapToGrid w:val="0"/>
                <w:color w:val="auto"/>
                <w:kern w:val="0"/>
                <w:sz w:val="21"/>
                <w:szCs w:val="21"/>
                <w:highlight w:val="none"/>
                <w:lang w:val="en-US" w:eastAsia="zh-CN" w:bidi="ar-SA"/>
              </w:rPr>
              <w:t>2</w:t>
            </w:r>
            <w:r>
              <w:rPr>
                <w:rFonts w:hint="default" w:ascii="Times New Roman" w:cs="Times New Roman"/>
                <w:b/>
                <w:bCs/>
                <w:snapToGrid w:val="0"/>
                <w:color w:val="auto"/>
                <w:kern w:val="0"/>
                <w:sz w:val="21"/>
                <w:szCs w:val="21"/>
                <w:highlight w:val="none"/>
                <w:lang w:val="en-US" w:eastAsia="zh-CN" w:bidi="ar-SA"/>
              </w:rPr>
              <w:t>.2-</w:t>
            </w:r>
            <w:r>
              <w:rPr>
                <w:rFonts w:hint="default" w:ascii="Times New Roman" w:hAnsi="Times New Roman" w:eastAsia="宋体" w:cs="Times New Roman"/>
                <w:b/>
                <w:bCs/>
                <w:snapToGrid w:val="0"/>
                <w:color w:val="auto"/>
                <w:kern w:val="0"/>
                <w:sz w:val="21"/>
                <w:szCs w:val="21"/>
                <w:highlight w:val="none"/>
                <w:lang w:val="en-US" w:eastAsia="zh-CN" w:bidi="ar-SA"/>
              </w:rPr>
              <w:t>1</w:t>
            </w:r>
            <w:r>
              <w:rPr>
                <w:rFonts w:hint="eastAsia" w:ascii="Times New Roman" w:cs="Times New Roman"/>
                <w:b/>
                <w:bCs/>
                <w:snapToGrid w:val="0"/>
                <w:color w:val="auto"/>
                <w:kern w:val="0"/>
                <w:sz w:val="21"/>
                <w:szCs w:val="21"/>
                <w:highlight w:val="none"/>
                <w:lang w:val="en-US" w:eastAsia="zh-CN" w:bidi="ar-SA"/>
              </w:rPr>
              <w:t xml:space="preserve">  </w:t>
            </w:r>
            <w:r>
              <w:rPr>
                <w:rStyle w:val="55"/>
                <w:rFonts w:hint="eastAsia" w:ascii="Times New Roman" w:cs="Times New Roman"/>
                <w:b/>
                <w:bCs/>
                <w:color w:val="auto"/>
                <w:highlight w:val="none"/>
                <w:lang w:val="en-US" w:eastAsia="zh-CN"/>
              </w:rPr>
              <w:t>干黄花菜</w:t>
            </w:r>
            <w:r>
              <w:rPr>
                <w:rStyle w:val="55"/>
                <w:rFonts w:hint="default" w:ascii="Times New Roman" w:cs="Times New Roman"/>
                <w:b/>
                <w:bCs/>
                <w:color w:val="auto"/>
                <w:highlight w:val="none"/>
                <w:lang w:val="en-US" w:eastAsia="zh-CN"/>
              </w:rPr>
              <w:t>工艺流程及产污环节示意图</w:t>
            </w:r>
          </w:p>
          <w:p w14:paraId="7BD48ABC">
            <w:pPr>
              <w:keepNext w:val="0"/>
              <w:keepLines w:val="0"/>
              <w:suppressLineNumbers w:val="0"/>
              <w:spacing w:before="0" w:beforeAutospacing="0" w:after="0" w:afterAutospacing="0" w:line="240" w:lineRule="auto"/>
              <w:ind w:left="0" w:right="0"/>
              <w:rPr>
                <w:rFonts w:hint="default" w:cs="Times New Roman"/>
                <w:color w:val="auto"/>
                <w:highlight w:val="yellow"/>
                <w:lang w:val="en-US" w:eastAsia="zh-CN"/>
              </w:rPr>
            </w:pPr>
          </w:p>
          <w:p w14:paraId="5C56C67B">
            <w:pPr>
              <w:keepNext w:val="0"/>
              <w:keepLines w:val="0"/>
              <w:suppressLineNumbers w:val="0"/>
              <w:adjustRightInd w:val="0"/>
              <w:snapToGrid w:val="0"/>
              <w:spacing w:before="0" w:beforeLines="0" w:beforeAutospacing="0" w:after="0" w:afterAutospacing="0"/>
              <w:ind w:left="0" w:right="0" w:firstLine="482" w:firstLineChars="200"/>
              <w:rPr>
                <w:rFonts w:hint="default" w:cs="Times New Roman"/>
                <w:b/>
                <w:bCs/>
                <w:color w:val="auto"/>
                <w:highlight w:val="none"/>
                <w:lang w:val="en-US" w:eastAsia="zh-CN"/>
              </w:rPr>
            </w:pPr>
            <w:r>
              <w:rPr>
                <w:rFonts w:hint="eastAsia" w:cs="Times New Roman"/>
                <w:b/>
                <w:bCs/>
                <w:color w:val="auto"/>
                <w:highlight w:val="none"/>
                <w:lang w:val="en-US" w:eastAsia="zh-CN"/>
              </w:rPr>
              <w:t>干黄花菜生产</w:t>
            </w:r>
            <w:r>
              <w:rPr>
                <w:rFonts w:hint="default" w:cs="Times New Roman"/>
                <w:b/>
                <w:bCs/>
                <w:color w:val="auto"/>
                <w:highlight w:val="none"/>
                <w:lang w:val="en-US" w:eastAsia="zh-CN"/>
              </w:rPr>
              <w:t>工艺流程说明：</w:t>
            </w:r>
          </w:p>
          <w:p w14:paraId="7C18C020">
            <w:pPr>
              <w:keepNext w:val="0"/>
              <w:keepLines w:val="0"/>
              <w:suppressLineNumbers w:val="0"/>
              <w:spacing w:before="0" w:beforeAutospacing="0" w:after="0" w:afterAutospacing="0" w:line="360" w:lineRule="auto"/>
              <w:ind w:left="0" w:right="0" w:firstLine="480" w:firstLineChars="20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（1）冷库保鲜：新采摘6小时以内的鲜黄花菜用塑料筐（入厂前已称重）暂存送入冷库冷藏保鲜（冷库温度0~零下5℃，最多冷藏48h。黄花菜采摘周期约40天，因此干黄花菜生产周期为40天/年）；</w:t>
            </w:r>
          </w:p>
          <w:p w14:paraId="7480B8CF">
            <w:pPr>
              <w:keepNext w:val="0"/>
              <w:keepLines w:val="0"/>
              <w:suppressLineNumbers w:val="0"/>
              <w:spacing w:before="0" w:beforeAutospacing="0" w:after="0" w:afterAutospacing="0" w:line="360" w:lineRule="auto"/>
              <w:ind w:left="0" w:right="0" w:firstLine="480" w:firstLineChars="20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（2）清洗：从冷库出来的鲜黄花菜先进入清洗槽采用自来水（清洗水用量约1t菜/0.3t水）进行清洗，</w:t>
            </w:r>
            <w:r>
              <w:rPr>
                <w:rFonts w:hint="default" w:ascii="Times New Roman" w:hAnsi="Times New Roman" w:cs="Times New Roman"/>
                <w:color w:val="000000" w:themeColor="text1"/>
                <w:lang w:val="en-US" w:eastAsia="zh-CN"/>
                <w14:textFill>
                  <w14:solidFill>
                    <w14:schemeClr w14:val="tx1"/>
                  </w14:solidFill>
                </w14:textFill>
              </w:rPr>
              <w:t>去</w:t>
            </w:r>
            <w:r>
              <w:rPr>
                <w:rFonts w:hint="eastAsia"/>
                <w:color w:val="000000" w:themeColor="text1"/>
                <w:lang w:val="en-US" w:eastAsia="zh-CN"/>
                <w14:textFill>
                  <w14:solidFill>
                    <w14:schemeClr w14:val="tx1"/>
                  </w14:solidFill>
                </w14:textFill>
              </w:rPr>
              <w:t>除表面的泥土、杂质后，一体化设备传输带自动传输至杀青环节。</w:t>
            </w:r>
          </w:p>
          <w:p w14:paraId="5E5434D6">
            <w:pPr>
              <w:keepNext w:val="0"/>
              <w:keepLines w:val="0"/>
              <w:suppressLineNumbers w:val="0"/>
              <w:spacing w:before="0" w:beforeAutospacing="0" w:after="0" w:afterAutospacing="0" w:line="360" w:lineRule="auto"/>
              <w:ind w:left="0" w:right="0" w:firstLine="480" w:firstLineChars="20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杀青及烘干：高温蒸煮的方式进行杀青处理（间接加热、温度约80℃），杀青后的黄花菜再通过传输带送入烘干区（间接加热，先经过高温区约120℃、再经过低温区约80℃）进行烘干处理，烘干后的黄花菜即成品，采用纸箱包装入库，包装后的干黄花菜成品在低温冷库中暂存（冷库温度0~5℃）。</w:t>
            </w:r>
          </w:p>
          <w:p w14:paraId="26752730">
            <w:pPr>
              <w:keepNext w:val="0"/>
              <w:keepLines w:val="0"/>
              <w:suppressLineNumbers w:val="0"/>
              <w:spacing w:before="0" w:beforeAutospacing="0" w:after="0" w:afterAutospacing="0" w:line="360" w:lineRule="auto"/>
              <w:ind w:left="0" w:right="0" w:firstLine="480" w:firstLineChars="20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干黄花菜生产主要产生废水、噪声、以及杀青和烘干工序产生的少量挥发性有机物。</w:t>
            </w:r>
          </w:p>
          <w:p w14:paraId="67904C4F">
            <w:pPr>
              <w:pStyle w:val="27"/>
              <w:keepNext w:val="0"/>
              <w:keepLines w:val="0"/>
              <w:suppressLineNumbers w:val="0"/>
              <w:spacing w:before="78" w:beforeAutospacing="0" w:afterAutospacing="0"/>
              <w:ind w:right="0"/>
              <w:rPr>
                <w:rFonts w:hint="default" w:ascii="Times New Roman" w:hAnsi="Times New Roman" w:eastAsia="宋体" w:cs="Times New Roman"/>
                <w:b/>
                <w:bCs/>
                <w:color w:val="auto"/>
                <w:sz w:val="24"/>
                <w:highlight w:val="none"/>
                <w:lang w:val="en-US" w:eastAsia="zh-CN"/>
              </w:rPr>
            </w:pPr>
            <w:r>
              <w:rPr>
                <w:rFonts w:hint="eastAsia" w:ascii="Times New Roman" w:cs="Times New Roman"/>
                <w:b/>
                <w:bCs/>
                <w:color w:val="auto"/>
                <w:sz w:val="24"/>
                <w:highlight w:val="none"/>
                <w:lang w:val="en-US" w:eastAsia="zh-CN"/>
              </w:rPr>
              <w:t>2、即食黄花菜生产工艺流程</w:t>
            </w:r>
          </w:p>
          <w:p w14:paraId="0F541C48">
            <w:pPr>
              <w:pStyle w:val="27"/>
              <w:keepNext w:val="0"/>
              <w:keepLines w:val="0"/>
              <w:suppressLineNumbers w:val="0"/>
              <w:spacing w:before="78" w:beforeAutospacing="0" w:afterAutospacing="0"/>
              <w:ind w:left="0" w:leftChars="0" w:right="0" w:firstLine="0" w:firstLineChars="0"/>
              <w:jc w:val="center"/>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object>
                <v:shape id="_x0000_i1027" o:spt="75" type="#_x0000_t75" style="height:166.55pt;width:420.15pt;" o:ole="t" filled="f" o:preferrelative="t" stroked="f" coordsize="21600,21600">
                  <v:path/>
                  <v:fill on="f" focussize="0,0"/>
                  <v:stroke on="f"/>
                  <v:imagedata r:id="rId25" o:title=""/>
                  <o:lock v:ext="edit" aspectratio="f"/>
                  <w10:wrap type="none"/>
                  <w10:anchorlock/>
                </v:shape>
                <o:OLEObject Type="Embed" ProgID="Visio.Drawing.15" ShapeID="_x0000_i1027" DrawAspect="Content" ObjectID="_1468075727" r:id="rId24">
                  <o:LockedField>false</o:LockedField>
                </o:OLEObject>
              </w:object>
            </w:r>
          </w:p>
          <w:p w14:paraId="2690E368">
            <w:pPr>
              <w:pStyle w:val="27"/>
              <w:keepNext w:val="0"/>
              <w:keepLines w:val="0"/>
              <w:suppressLineNumbers w:val="0"/>
              <w:spacing w:before="78" w:beforeAutospacing="0" w:afterAutospacing="0"/>
              <w:ind w:left="0" w:leftChars="0" w:right="0" w:firstLine="0" w:firstLineChars="0"/>
              <w:jc w:val="center"/>
              <w:rPr>
                <w:rFonts w:hint="default" w:ascii="Times New Roman" w:hAnsi="Times New Roman" w:eastAsia="宋体" w:cs="Times New Roman"/>
                <w:color w:val="auto"/>
                <w:sz w:val="24"/>
                <w:highlight w:val="none"/>
              </w:rPr>
            </w:pPr>
            <w:r>
              <w:rPr>
                <w:rFonts w:hint="default" w:ascii="Times New Roman" w:hAnsi="Times New Roman" w:eastAsia="宋体" w:cs="Times New Roman"/>
                <w:b/>
                <w:bCs/>
                <w:snapToGrid w:val="0"/>
                <w:color w:val="auto"/>
                <w:kern w:val="0"/>
                <w:sz w:val="21"/>
                <w:szCs w:val="21"/>
                <w:highlight w:val="none"/>
                <w:lang w:val="en-US" w:eastAsia="zh-CN" w:bidi="ar-SA"/>
              </w:rPr>
              <w:t>图</w:t>
            </w:r>
            <w:r>
              <w:rPr>
                <w:rFonts w:hint="default" w:ascii="Times New Roman" w:hAnsi="Times New Roman" w:cs="Times New Roman"/>
                <w:b/>
                <w:bCs/>
                <w:snapToGrid w:val="0"/>
                <w:color w:val="auto"/>
                <w:kern w:val="0"/>
                <w:sz w:val="21"/>
                <w:szCs w:val="21"/>
                <w:highlight w:val="none"/>
                <w:lang w:val="en-US" w:eastAsia="zh-CN" w:bidi="ar-SA"/>
              </w:rPr>
              <w:t>2</w:t>
            </w:r>
            <w:r>
              <w:rPr>
                <w:rFonts w:hint="default" w:ascii="Times New Roman" w:cs="Times New Roman"/>
                <w:b/>
                <w:bCs/>
                <w:snapToGrid w:val="0"/>
                <w:color w:val="auto"/>
                <w:kern w:val="0"/>
                <w:sz w:val="21"/>
                <w:szCs w:val="21"/>
                <w:highlight w:val="none"/>
                <w:lang w:val="en-US" w:eastAsia="zh-CN" w:bidi="ar-SA"/>
              </w:rPr>
              <w:t>.2-</w:t>
            </w:r>
            <w:r>
              <w:rPr>
                <w:rFonts w:hint="eastAsia" w:ascii="Times New Roman" w:hAnsi="Times New Roman" w:eastAsia="宋体" w:cs="Times New Roman"/>
                <w:b/>
                <w:bCs/>
                <w:snapToGrid w:val="0"/>
                <w:color w:val="auto"/>
                <w:kern w:val="0"/>
                <w:sz w:val="21"/>
                <w:szCs w:val="21"/>
                <w:highlight w:val="none"/>
                <w:lang w:val="en-US" w:eastAsia="zh-CN" w:bidi="ar-SA"/>
              </w:rPr>
              <w:t>2</w:t>
            </w:r>
            <w:r>
              <w:rPr>
                <w:rFonts w:hint="eastAsia" w:ascii="Times New Roman" w:cs="Times New Roman"/>
                <w:b/>
                <w:bCs/>
                <w:snapToGrid w:val="0"/>
                <w:color w:val="auto"/>
                <w:kern w:val="0"/>
                <w:sz w:val="21"/>
                <w:szCs w:val="21"/>
                <w:highlight w:val="none"/>
                <w:lang w:val="en-US" w:eastAsia="zh-CN" w:bidi="ar-SA"/>
              </w:rPr>
              <w:t xml:space="preserve">  </w:t>
            </w:r>
            <w:r>
              <w:rPr>
                <w:rStyle w:val="55"/>
                <w:rFonts w:hint="eastAsia" w:ascii="Times New Roman" w:cs="Times New Roman"/>
                <w:b/>
                <w:bCs/>
                <w:color w:val="auto"/>
                <w:highlight w:val="none"/>
                <w:lang w:val="en-US" w:eastAsia="zh-CN"/>
              </w:rPr>
              <w:t>即食黄花菜</w:t>
            </w:r>
            <w:r>
              <w:rPr>
                <w:rStyle w:val="55"/>
                <w:rFonts w:hint="default" w:ascii="Times New Roman" w:cs="Times New Roman"/>
                <w:b/>
                <w:bCs/>
                <w:color w:val="auto"/>
                <w:highlight w:val="none"/>
                <w:lang w:val="en-US" w:eastAsia="zh-CN"/>
              </w:rPr>
              <w:t>工艺流程及产污环节示意图</w:t>
            </w:r>
          </w:p>
          <w:p w14:paraId="340F59A7">
            <w:pPr>
              <w:keepNext w:val="0"/>
              <w:keepLines w:val="0"/>
              <w:suppressLineNumbers w:val="0"/>
              <w:adjustRightInd w:val="0"/>
              <w:snapToGrid w:val="0"/>
              <w:spacing w:before="0" w:beforeLines="0" w:beforeAutospacing="0" w:after="0" w:afterAutospacing="0"/>
              <w:ind w:left="0" w:right="0" w:firstLine="482" w:firstLineChars="200"/>
              <w:rPr>
                <w:rFonts w:hint="default" w:cs="Times New Roman"/>
                <w:b/>
                <w:bCs/>
                <w:color w:val="auto"/>
                <w:highlight w:val="none"/>
                <w:lang w:val="en-US" w:eastAsia="zh-CN"/>
              </w:rPr>
            </w:pPr>
            <w:r>
              <w:rPr>
                <w:rFonts w:hint="eastAsia" w:cs="Times New Roman"/>
                <w:b/>
                <w:bCs/>
                <w:color w:val="auto"/>
                <w:highlight w:val="none"/>
                <w:lang w:val="en-US" w:eastAsia="zh-CN"/>
              </w:rPr>
              <w:t>即食黄花菜生产</w:t>
            </w:r>
            <w:r>
              <w:rPr>
                <w:rFonts w:hint="default" w:cs="Times New Roman"/>
                <w:b/>
                <w:bCs/>
                <w:color w:val="auto"/>
                <w:highlight w:val="none"/>
                <w:lang w:val="en-US" w:eastAsia="zh-CN"/>
              </w:rPr>
              <w:t>工艺流程说明：</w:t>
            </w:r>
          </w:p>
          <w:p w14:paraId="67D05777">
            <w:pPr>
              <w:pStyle w:val="27"/>
              <w:keepNext w:val="0"/>
              <w:keepLines w:val="0"/>
              <w:numPr>
                <w:ilvl w:val="0"/>
                <w:numId w:val="11"/>
              </w:numPr>
              <w:suppressLineNumbers w:val="0"/>
              <w:spacing w:before="78" w:beforeAutospacing="0" w:afterAutospacing="0"/>
              <w:ind w:right="0"/>
              <w:rPr>
                <w:rFonts w:hint="eastAsia" w:ascii="Times New Roman" w:cs="Times New Roman"/>
                <w:color w:val="auto"/>
                <w:sz w:val="24"/>
                <w:highlight w:val="none"/>
                <w:lang w:val="en-US" w:eastAsia="zh-CN"/>
              </w:rPr>
            </w:pPr>
            <w:r>
              <w:rPr>
                <w:rFonts w:hint="eastAsia" w:ascii="Times New Roman" w:cs="Times New Roman"/>
                <w:color w:val="auto"/>
                <w:sz w:val="24"/>
                <w:highlight w:val="none"/>
                <w:lang w:val="en-US" w:eastAsia="zh-CN"/>
              </w:rPr>
              <w:t>浸泡清洗：小规模生产时，将干黄花菜放入不锈钢桶（带盖）中浸泡清洗，大规模生产时，则将干黄花菜放入浸泡清洗一体化设备中进行生产，清洗后的黄花菜仍用不锈钢桶（带盖）临时储存，进入下一步工序；</w:t>
            </w:r>
          </w:p>
          <w:p w14:paraId="3ED7B483">
            <w:pPr>
              <w:pStyle w:val="27"/>
              <w:keepNext w:val="0"/>
              <w:keepLines w:val="0"/>
              <w:numPr>
                <w:ilvl w:val="0"/>
                <w:numId w:val="11"/>
              </w:numPr>
              <w:suppressLineNumbers w:val="0"/>
              <w:spacing w:before="78" w:beforeAutospacing="0" w:afterAutospacing="0"/>
              <w:ind w:right="0"/>
              <w:rPr>
                <w:rFonts w:hint="eastAsia" w:ascii="Times New Roman" w:cs="Times New Roman"/>
                <w:color w:val="auto"/>
                <w:sz w:val="24"/>
                <w:highlight w:val="none"/>
                <w:lang w:val="en-US" w:eastAsia="zh-CN"/>
              </w:rPr>
            </w:pPr>
            <w:r>
              <w:rPr>
                <w:rFonts w:hint="eastAsia" w:ascii="Times New Roman" w:cs="Times New Roman"/>
                <w:color w:val="auto"/>
                <w:sz w:val="24"/>
                <w:highlight w:val="none"/>
                <w:lang w:val="en-US" w:eastAsia="zh-CN"/>
              </w:rPr>
              <w:t>烫煮：采用网筛将清洗后的黄花菜倒入烫煮锅内，用开水进行烫煮，主要目的是进行灭活黄花菜中的氧化酶、去除天然毒素和有害物质（如：秋水仙碱）；烫煮后的黄花菜任用不锈钢桶（带盖）储存后，进入下一步工序；</w:t>
            </w:r>
          </w:p>
          <w:p w14:paraId="4DD891AC">
            <w:pPr>
              <w:pStyle w:val="27"/>
              <w:keepNext w:val="0"/>
              <w:keepLines w:val="0"/>
              <w:numPr>
                <w:ilvl w:val="0"/>
                <w:numId w:val="11"/>
              </w:numPr>
              <w:suppressLineNumbers w:val="0"/>
              <w:spacing w:before="78" w:beforeAutospacing="0" w:afterAutospacing="0"/>
              <w:ind w:right="0"/>
              <w:rPr>
                <w:rFonts w:hint="eastAsia" w:ascii="Times New Roman" w:cs="Times New Roman"/>
                <w:color w:val="auto"/>
                <w:sz w:val="24"/>
                <w:highlight w:val="none"/>
                <w:lang w:val="en-US" w:eastAsia="zh-CN"/>
              </w:rPr>
            </w:pPr>
            <w:r>
              <w:rPr>
                <w:rFonts w:hint="eastAsia" w:ascii="Times New Roman" w:cs="Times New Roman"/>
                <w:color w:val="auto"/>
                <w:sz w:val="24"/>
                <w:highlight w:val="none"/>
                <w:lang w:val="en-US" w:eastAsia="zh-CN"/>
              </w:rPr>
              <w:t>风淋室杀菌：烫煮后的黄花菜通过风淋室进行杀菌，通过臭氧杀菌；</w:t>
            </w:r>
          </w:p>
          <w:p w14:paraId="708E9C30">
            <w:pPr>
              <w:pStyle w:val="27"/>
              <w:keepNext w:val="0"/>
              <w:keepLines w:val="0"/>
              <w:numPr>
                <w:ilvl w:val="0"/>
                <w:numId w:val="11"/>
              </w:numPr>
              <w:suppressLineNumbers w:val="0"/>
              <w:spacing w:before="78" w:beforeAutospacing="0" w:afterAutospacing="0"/>
              <w:ind w:right="0"/>
              <w:rPr>
                <w:rFonts w:hint="eastAsia" w:ascii="Times New Roman" w:cs="Times New Roman"/>
                <w:color w:val="auto"/>
                <w:sz w:val="24"/>
                <w:highlight w:val="none"/>
                <w:lang w:val="en-US" w:eastAsia="zh-CN"/>
              </w:rPr>
            </w:pPr>
            <w:r>
              <w:rPr>
                <w:rFonts w:hint="eastAsia" w:ascii="Times New Roman" w:cs="Times New Roman"/>
                <w:color w:val="auto"/>
                <w:sz w:val="24"/>
                <w:highlight w:val="none"/>
                <w:lang w:val="en-US" w:eastAsia="zh-CN"/>
              </w:rPr>
              <w:t>甩干：杀菌后的黄花菜倒入甩干机内进一步去除水分；</w:t>
            </w:r>
          </w:p>
          <w:p w14:paraId="41C58038">
            <w:pPr>
              <w:pStyle w:val="27"/>
              <w:keepNext w:val="0"/>
              <w:keepLines w:val="0"/>
              <w:numPr>
                <w:ilvl w:val="0"/>
                <w:numId w:val="11"/>
              </w:numPr>
              <w:suppressLineNumbers w:val="0"/>
              <w:spacing w:before="78" w:beforeAutospacing="0" w:afterAutospacing="0"/>
              <w:ind w:right="0"/>
              <w:rPr>
                <w:rFonts w:hint="eastAsia" w:ascii="Times New Roman" w:cs="Times New Roman"/>
                <w:color w:val="auto"/>
                <w:sz w:val="24"/>
                <w:highlight w:val="none"/>
                <w:lang w:val="en-US" w:eastAsia="zh-CN"/>
              </w:rPr>
            </w:pPr>
            <w:r>
              <w:rPr>
                <w:rFonts w:hint="eastAsia" w:ascii="Times New Roman" w:cs="Times New Roman"/>
                <w:color w:val="auto"/>
                <w:sz w:val="24"/>
                <w:highlight w:val="none"/>
                <w:lang w:val="en-US" w:eastAsia="zh-CN"/>
              </w:rPr>
              <w:t>搅拌：按照配方，依次将黄花菜、调味料、食品添加剂等倒入搅拌机中，再进行搅拌；搅拌完成后用盆装，进入下部工序；</w:t>
            </w:r>
          </w:p>
          <w:p w14:paraId="5084C963">
            <w:pPr>
              <w:pStyle w:val="27"/>
              <w:keepNext w:val="0"/>
              <w:keepLines w:val="0"/>
              <w:numPr>
                <w:ilvl w:val="0"/>
                <w:numId w:val="11"/>
              </w:numPr>
              <w:suppressLineNumbers w:val="0"/>
              <w:spacing w:before="78" w:beforeAutospacing="0" w:afterAutospacing="0"/>
              <w:ind w:right="0"/>
              <w:rPr>
                <w:rFonts w:hint="eastAsia" w:ascii="Times New Roman" w:cs="Times New Roman"/>
                <w:color w:val="auto"/>
                <w:sz w:val="24"/>
                <w:highlight w:val="none"/>
                <w:lang w:val="en-US" w:eastAsia="zh-CN"/>
              </w:rPr>
            </w:pPr>
            <w:r>
              <w:rPr>
                <w:rFonts w:hint="eastAsia" w:ascii="Times New Roman" w:cs="Times New Roman"/>
                <w:color w:val="auto"/>
                <w:sz w:val="24"/>
                <w:highlight w:val="none"/>
                <w:lang w:val="en-US" w:eastAsia="zh-CN"/>
              </w:rPr>
              <w:t>小袋包装：工作人员将搅拌好后的黄花菜依次放入自动包机上的小碗中（自动称重），进行自动包装（包装机自带紫外杀菌），包装规格约20g/袋；</w:t>
            </w:r>
          </w:p>
          <w:p w14:paraId="1AF2ECB8">
            <w:pPr>
              <w:pStyle w:val="27"/>
              <w:keepNext w:val="0"/>
              <w:keepLines w:val="0"/>
              <w:numPr>
                <w:ilvl w:val="0"/>
                <w:numId w:val="11"/>
              </w:numPr>
              <w:suppressLineNumbers w:val="0"/>
              <w:spacing w:before="78" w:beforeAutospacing="0" w:afterAutospacing="0"/>
              <w:ind w:right="0"/>
              <w:rPr>
                <w:rFonts w:hint="default" w:ascii="Times New Roman" w:hAnsi="Times New Roman" w:cs="Times New Roman"/>
                <w:color w:val="auto"/>
                <w:sz w:val="24"/>
                <w:highlight w:val="none"/>
                <w:lang w:val="en-US" w:eastAsia="zh-CN"/>
              </w:rPr>
            </w:pPr>
            <w:r>
              <w:rPr>
                <w:rFonts w:hint="eastAsia" w:ascii="Times New Roman" w:cs="Times New Roman"/>
                <w:color w:val="auto"/>
                <w:sz w:val="24"/>
                <w:highlight w:val="none"/>
                <w:lang w:val="en-US" w:eastAsia="zh-CN"/>
              </w:rPr>
              <w:t>消毒杀菌干燥：小袋包装后的黄花菜进入消毒杀菌干燥一体化设备中，主要包括巴氏杀菌、浮力选包（分拣包装不严品）、高温杀菌（采用电加热）、汽</w:t>
            </w:r>
            <w:r>
              <w:rPr>
                <w:rFonts w:hint="default" w:ascii="Times New Roman" w:hAnsi="Times New Roman" w:cs="Times New Roman"/>
                <w:color w:val="auto"/>
                <w:sz w:val="24"/>
                <w:highlight w:val="none"/>
                <w:lang w:val="en-US" w:eastAsia="zh-CN"/>
              </w:rPr>
              <w:t>泡冷却、风干后进入下一步工序；</w:t>
            </w:r>
          </w:p>
          <w:p w14:paraId="291C883A">
            <w:pPr>
              <w:pStyle w:val="27"/>
              <w:keepNext w:val="0"/>
              <w:keepLines w:val="0"/>
              <w:numPr>
                <w:ilvl w:val="0"/>
                <w:numId w:val="11"/>
              </w:numPr>
              <w:suppressLineNumbers w:val="0"/>
              <w:spacing w:before="78" w:beforeAutospacing="0" w:afterAutospacing="0"/>
              <w:ind w:right="0"/>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包装：风干后的小袋包装即为成品，采用盒装后入库，</w:t>
            </w:r>
            <w:r>
              <w:rPr>
                <w:rFonts w:hint="default" w:ascii="Times New Roman" w:hAnsi="Times New Roman" w:cs="Times New Roman"/>
                <w:color w:val="000000" w:themeColor="text1"/>
                <w:lang w:val="en-US" w:eastAsia="zh-CN"/>
                <w14:textFill>
                  <w14:solidFill>
                    <w14:schemeClr w14:val="tx1"/>
                  </w14:solidFill>
                </w14:textFill>
              </w:rPr>
              <w:t>包装后的即食黄花菜成品在低温冷库中暂存（冷库温度0~5℃）</w:t>
            </w:r>
            <w:r>
              <w:rPr>
                <w:rFonts w:hint="default" w:ascii="Times New Roman" w:hAnsi="Times New Roman" w:cs="Times New Roman"/>
                <w:color w:val="auto"/>
                <w:sz w:val="24"/>
                <w:highlight w:val="none"/>
                <w:lang w:val="en-US" w:eastAsia="zh-CN"/>
              </w:rPr>
              <w:t>；</w:t>
            </w:r>
          </w:p>
          <w:p w14:paraId="753D9EEC">
            <w:pPr>
              <w:pStyle w:val="27"/>
              <w:keepNext w:val="0"/>
              <w:keepLines w:val="0"/>
              <w:suppressLineNumbers w:val="0"/>
              <w:spacing w:before="78" w:beforeAutospacing="0" w:afterAutospacing="0"/>
              <w:ind w:right="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即食黄花菜生产主要产生废水、噪声、搅拌过程产生的少量调味料挥发异味。</w:t>
            </w:r>
          </w:p>
          <w:p w14:paraId="119C1AAE">
            <w:pPr>
              <w:pStyle w:val="27"/>
              <w:keepNext w:val="0"/>
              <w:keepLines w:val="0"/>
              <w:suppressLineNumbers w:val="0"/>
              <w:spacing w:before="78" w:beforeAutospacing="0" w:afterAutospacing="0"/>
              <w:ind w:right="0"/>
              <w:rPr>
                <w:rFonts w:hint="default"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3、</w:t>
            </w:r>
            <w:r>
              <w:rPr>
                <w:rFonts w:hint="eastAsia" w:ascii="Times New Roman" w:cs="Times New Roman"/>
                <w:b/>
                <w:bCs/>
                <w:color w:val="auto"/>
                <w:sz w:val="24"/>
                <w:highlight w:val="none"/>
                <w:lang w:val="en-US" w:eastAsia="zh-CN"/>
              </w:rPr>
              <w:t>盐水渍菜</w:t>
            </w:r>
            <w:r>
              <w:rPr>
                <w:rFonts w:hint="eastAsia" w:ascii="Times New Roman" w:hAnsi="Times New Roman" w:eastAsia="宋体" w:cs="Times New Roman"/>
                <w:b/>
                <w:bCs/>
                <w:color w:val="auto"/>
                <w:sz w:val="24"/>
                <w:highlight w:val="none"/>
                <w:lang w:val="en-US" w:eastAsia="zh-CN"/>
              </w:rPr>
              <w:t>生产工艺流程</w:t>
            </w:r>
          </w:p>
          <w:p w14:paraId="79C636D0">
            <w:pPr>
              <w:pStyle w:val="27"/>
              <w:keepNext w:val="0"/>
              <w:keepLines w:val="0"/>
              <w:suppressLineNumbers w:val="0"/>
              <w:spacing w:before="78" w:beforeAutospacing="0" w:afterAutospacing="0"/>
              <w:ind w:left="0" w:leftChars="0" w:right="0" w:firstLine="0" w:firstLineChars="0"/>
              <w:jc w:val="center"/>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object>
                <v:shape id="_x0000_i1028" o:spt="75" type="#_x0000_t75" style="height:142.95pt;width:420.15pt;" o:ole="t" filled="f" o:preferrelative="t" stroked="f" coordsize="21600,21600">
                  <v:path/>
                  <v:fill on="f" focussize="0,0"/>
                  <v:stroke on="f"/>
                  <v:imagedata r:id="rId27" o:title=""/>
                  <o:lock v:ext="edit" aspectratio="f"/>
                  <w10:wrap type="none"/>
                  <w10:anchorlock/>
                </v:shape>
                <o:OLEObject Type="Embed" ProgID="Visio.Drawing.15" ShapeID="_x0000_i1028" DrawAspect="Content" ObjectID="_1468075728" r:id="rId26">
                  <o:LockedField>false</o:LockedField>
                </o:OLEObject>
              </w:object>
            </w:r>
          </w:p>
          <w:p w14:paraId="3FC0BB06">
            <w:pPr>
              <w:pStyle w:val="27"/>
              <w:keepNext w:val="0"/>
              <w:keepLines w:val="0"/>
              <w:suppressLineNumbers w:val="0"/>
              <w:spacing w:before="78" w:beforeAutospacing="0" w:afterAutospacing="0"/>
              <w:ind w:left="0" w:leftChars="0" w:right="0" w:firstLine="0" w:firstLineChars="0"/>
              <w:jc w:val="center"/>
              <w:rPr>
                <w:rFonts w:hint="eastAsia"/>
                <w:color w:val="000000" w:themeColor="text1"/>
                <w:highlight w:val="none"/>
                <w:lang w:val="en-US" w:eastAsia="zh-CN"/>
                <w14:textFill>
                  <w14:solidFill>
                    <w14:schemeClr w14:val="tx1"/>
                  </w14:solidFill>
                </w14:textFill>
              </w:rPr>
            </w:pPr>
            <w:r>
              <w:rPr>
                <w:rFonts w:hint="default" w:ascii="Times New Roman" w:hAnsi="Times New Roman" w:eastAsia="宋体" w:cs="Times New Roman"/>
                <w:b/>
                <w:bCs/>
                <w:snapToGrid w:val="0"/>
                <w:color w:val="auto"/>
                <w:kern w:val="0"/>
                <w:sz w:val="21"/>
                <w:szCs w:val="21"/>
                <w:highlight w:val="none"/>
                <w:lang w:val="en-US" w:eastAsia="zh-CN" w:bidi="ar-SA"/>
              </w:rPr>
              <w:t>图</w:t>
            </w:r>
            <w:r>
              <w:rPr>
                <w:rFonts w:hint="default" w:ascii="Times New Roman" w:hAnsi="Times New Roman" w:cs="Times New Roman"/>
                <w:b/>
                <w:bCs/>
                <w:snapToGrid w:val="0"/>
                <w:color w:val="auto"/>
                <w:kern w:val="0"/>
                <w:sz w:val="21"/>
                <w:szCs w:val="21"/>
                <w:highlight w:val="none"/>
                <w:lang w:val="en-US" w:eastAsia="zh-CN" w:bidi="ar-SA"/>
              </w:rPr>
              <w:t>2</w:t>
            </w:r>
            <w:r>
              <w:rPr>
                <w:rFonts w:hint="default" w:ascii="Times New Roman" w:cs="Times New Roman"/>
                <w:b/>
                <w:bCs/>
                <w:snapToGrid w:val="0"/>
                <w:color w:val="auto"/>
                <w:kern w:val="0"/>
                <w:sz w:val="21"/>
                <w:szCs w:val="21"/>
                <w:highlight w:val="none"/>
                <w:lang w:val="en-US" w:eastAsia="zh-CN" w:bidi="ar-SA"/>
              </w:rPr>
              <w:t>.2-</w:t>
            </w:r>
            <w:r>
              <w:rPr>
                <w:rFonts w:hint="eastAsia" w:ascii="Times New Roman" w:hAnsi="Times New Roman" w:eastAsia="宋体" w:cs="Times New Roman"/>
                <w:b/>
                <w:bCs/>
                <w:snapToGrid w:val="0"/>
                <w:color w:val="auto"/>
                <w:kern w:val="0"/>
                <w:sz w:val="21"/>
                <w:szCs w:val="21"/>
                <w:highlight w:val="none"/>
                <w:lang w:val="en-US" w:eastAsia="zh-CN" w:bidi="ar-SA"/>
              </w:rPr>
              <w:t>3</w:t>
            </w:r>
            <w:r>
              <w:rPr>
                <w:rFonts w:hint="eastAsia" w:ascii="Times New Roman" w:cs="Times New Roman"/>
                <w:b/>
                <w:bCs/>
                <w:snapToGrid w:val="0"/>
                <w:color w:val="auto"/>
                <w:kern w:val="0"/>
                <w:sz w:val="21"/>
                <w:szCs w:val="21"/>
                <w:highlight w:val="none"/>
                <w:lang w:val="en-US" w:eastAsia="zh-CN" w:bidi="ar-SA"/>
              </w:rPr>
              <w:t xml:space="preserve">  </w:t>
            </w:r>
            <w:r>
              <w:rPr>
                <w:rStyle w:val="55"/>
                <w:rFonts w:hint="eastAsia" w:ascii="Times New Roman" w:cs="Times New Roman"/>
                <w:b/>
                <w:bCs/>
                <w:color w:val="auto"/>
                <w:highlight w:val="none"/>
                <w:lang w:val="en-US" w:eastAsia="zh-CN"/>
              </w:rPr>
              <w:t>盐水渍菜</w:t>
            </w:r>
            <w:r>
              <w:rPr>
                <w:rStyle w:val="55"/>
                <w:rFonts w:hint="default" w:ascii="Times New Roman" w:cs="Times New Roman"/>
                <w:b/>
                <w:bCs/>
                <w:color w:val="auto"/>
                <w:highlight w:val="none"/>
                <w:lang w:val="en-US" w:eastAsia="zh-CN"/>
              </w:rPr>
              <w:t>工艺流程及产污环节示意图</w:t>
            </w:r>
          </w:p>
          <w:p w14:paraId="19899816">
            <w:pPr>
              <w:keepNext w:val="0"/>
              <w:keepLines w:val="0"/>
              <w:suppressLineNumbers w:val="0"/>
              <w:adjustRightInd w:val="0"/>
              <w:snapToGrid w:val="0"/>
              <w:spacing w:before="0" w:beforeLines="0" w:beforeAutospacing="0" w:after="0" w:afterAutospacing="0"/>
              <w:ind w:left="0" w:right="0" w:firstLine="482" w:firstLineChars="200"/>
              <w:rPr>
                <w:rFonts w:hint="default" w:ascii="Times New Roman" w:hAnsi="Times New Roman" w:eastAsia="宋体" w:cs="Times New Roman"/>
                <w:b/>
                <w:bCs/>
                <w:color w:val="auto"/>
                <w:highlight w:val="none"/>
                <w:lang w:val="en-US" w:eastAsia="zh-CN"/>
              </w:rPr>
            </w:pPr>
            <w:r>
              <w:rPr>
                <w:rFonts w:hint="eastAsia" w:cs="Times New Roman"/>
                <w:b/>
                <w:bCs/>
                <w:color w:val="auto"/>
                <w:highlight w:val="none"/>
                <w:lang w:val="en-US" w:eastAsia="zh-CN"/>
              </w:rPr>
              <w:t>盐水渍菜</w:t>
            </w:r>
            <w:r>
              <w:rPr>
                <w:rFonts w:hint="eastAsia" w:ascii="Times New Roman" w:hAnsi="Times New Roman" w:eastAsia="宋体" w:cs="Times New Roman"/>
                <w:b/>
                <w:bCs/>
                <w:color w:val="auto"/>
                <w:highlight w:val="none"/>
                <w:lang w:val="en-US" w:eastAsia="zh-CN"/>
              </w:rPr>
              <w:t>生产工艺流程说明：</w:t>
            </w:r>
          </w:p>
          <w:p w14:paraId="744DA480">
            <w:pPr>
              <w:pStyle w:val="27"/>
              <w:keepNext w:val="0"/>
              <w:keepLines w:val="0"/>
              <w:numPr>
                <w:ilvl w:val="0"/>
                <w:numId w:val="12"/>
              </w:numPr>
              <w:suppressLineNumbers w:val="0"/>
              <w:spacing w:before="78" w:beforeAutospacing="0" w:afterAutospacing="0"/>
              <w:ind w:right="0"/>
              <w:rPr>
                <w:rFonts w:hint="default" w:ascii="Times New Roman" w:hAnsi="Times New Roman"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lang w:val="en-US" w:eastAsia="zh-CN"/>
                <w14:textFill>
                  <w14:solidFill>
                    <w14:schemeClr w14:val="tx1"/>
                  </w14:solidFill>
                </w14:textFill>
              </w:rPr>
              <w:t>保鲜：将新鲜采摘的黄花菜采用塑料袋装，装袋过程中同时添加食品添加剂（添加比例约5%）进行保鲜</w:t>
            </w:r>
            <w:r>
              <w:rPr>
                <w:rFonts w:hint="eastAsia" w:ascii="Times New Roman" w:cs="Times New Roman"/>
                <w:color w:val="000000" w:themeColor="text1"/>
                <w:highlight w:val="none"/>
                <w:lang w:val="en-US" w:eastAsia="zh-CN"/>
                <w14:textFill>
                  <w14:solidFill>
                    <w14:schemeClr w14:val="tx1"/>
                  </w14:solidFill>
                </w14:textFill>
              </w:rPr>
              <w:t>，保鲜周期可达300天以上</w:t>
            </w:r>
            <w:r>
              <w:rPr>
                <w:rFonts w:hint="default" w:ascii="Times New Roman" w:hAnsi="Times New Roman" w:cs="Times New Roman"/>
                <w:color w:val="000000" w:themeColor="text1"/>
                <w:highlight w:val="none"/>
                <w:lang w:val="en-US" w:eastAsia="zh-CN"/>
                <w14:textFill>
                  <w14:solidFill>
                    <w14:schemeClr w14:val="tx1"/>
                  </w14:solidFill>
                </w14:textFill>
              </w:rPr>
              <w:t>；</w:t>
            </w:r>
          </w:p>
          <w:p w14:paraId="0124F492">
            <w:pPr>
              <w:pStyle w:val="27"/>
              <w:keepNext w:val="0"/>
              <w:keepLines w:val="0"/>
              <w:numPr>
                <w:ilvl w:val="0"/>
                <w:numId w:val="12"/>
              </w:numPr>
              <w:suppressLineNumbers w:val="0"/>
              <w:spacing w:before="78" w:beforeAutospacing="0" w:afterAutospacing="0"/>
              <w:ind w:right="0"/>
              <w:rPr>
                <w:rFonts w:hint="default" w:ascii="Times New Roman" w:hAnsi="Times New Roman"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lang w:val="en-US" w:eastAsia="zh-CN"/>
                <w14:textFill>
                  <w14:solidFill>
                    <w14:schemeClr w14:val="tx1"/>
                  </w14:solidFill>
                </w14:textFill>
              </w:rPr>
              <w:t>清洗：</w:t>
            </w:r>
            <w:r>
              <w:rPr>
                <w:rFonts w:hint="default" w:ascii="Times New Roman" w:hAnsi="Times New Roman" w:cs="Times New Roman"/>
                <w:color w:val="000000" w:themeColor="text1"/>
                <w:lang w:val="en-US" w:eastAsia="zh-CN"/>
                <w14:textFill>
                  <w14:solidFill>
                    <w14:schemeClr w14:val="tx1"/>
                  </w14:solidFill>
                </w14:textFill>
              </w:rPr>
              <w:t>在成品出库前，黄花菜需要经过三次严格的浸泡清洗（均采用自来水），以确保最终产品的纯净度和安全性。第一次清洗需浸泡12h（用水量约1t菜/2t水）、第二次清洗需浸泡5h（用水量约1t菜/1.35t水）、第三次清洗需浸泡2h（用水量约1t菜/1.15t水）。</w:t>
            </w:r>
          </w:p>
          <w:p w14:paraId="77719A07">
            <w:pPr>
              <w:pStyle w:val="27"/>
              <w:keepNext w:val="0"/>
              <w:keepLines w:val="0"/>
              <w:numPr>
                <w:ilvl w:val="0"/>
                <w:numId w:val="12"/>
              </w:numPr>
              <w:suppressLineNumbers w:val="0"/>
              <w:spacing w:before="78" w:beforeAutospacing="0" w:afterAutospacing="0"/>
              <w:ind w:right="0"/>
              <w:rPr>
                <w:rFonts w:hint="default" w:ascii="Times New Roman" w:hAnsi="Times New Roman"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包装：盐水渍菜需要带盐水包装，菜与盐水比例约1.5:3.5，盐水配制采用自来水，并按配方添加食品添加剂；包装过程采用自动包装机包装（由人工将清洗后的黄花菜放入包装机配套的自动称量机上，自动注水、封袋）。</w:t>
            </w:r>
          </w:p>
          <w:p w14:paraId="209D8EDA">
            <w:pPr>
              <w:pStyle w:val="27"/>
              <w:keepNext w:val="0"/>
              <w:keepLines w:val="0"/>
              <w:numPr>
                <w:ilvl w:val="0"/>
                <w:numId w:val="0"/>
              </w:numPr>
              <w:suppressLineNumbers w:val="0"/>
              <w:spacing w:before="78" w:beforeAutospacing="0" w:afterAutospacing="0"/>
              <w:ind w:left="527" w:leftChars="0" w:right="0" w:rightChars="0"/>
              <w:rPr>
                <w:rFonts w:hint="default" w:ascii="Times New Roman" w:hAnsi="Times New Roman"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盐水渍菜生产过程中主要产生废水、噪声</w:t>
            </w:r>
            <w:r>
              <w:rPr>
                <w:rFonts w:hint="eastAsia" w:ascii="Times New Roman" w:hAnsi="Times New Roman" w:cs="Times New Roman"/>
                <w:color w:val="000000" w:themeColor="text1"/>
                <w:lang w:val="en-US" w:eastAsia="zh-CN"/>
                <w14:textFill>
                  <w14:solidFill>
                    <w14:schemeClr w14:val="tx1"/>
                  </w14:solidFill>
                </w14:textFill>
              </w:rPr>
              <w:t>以及少量异味</w:t>
            </w:r>
            <w:r>
              <w:rPr>
                <w:rFonts w:hint="default" w:ascii="Times New Roman" w:hAnsi="Times New Roman" w:cs="Times New Roman"/>
                <w:color w:val="000000" w:themeColor="text1"/>
                <w:lang w:val="en-US" w:eastAsia="zh-CN"/>
                <w14:textFill>
                  <w14:solidFill>
                    <w14:schemeClr w14:val="tx1"/>
                  </w14:solidFill>
                </w14:textFill>
              </w:rPr>
              <w:t>。</w:t>
            </w:r>
          </w:p>
          <w:p w14:paraId="1E9D33E5">
            <w:pPr>
              <w:keepNext w:val="0"/>
              <w:keepLines w:val="0"/>
              <w:suppressLineNumbers w:val="0"/>
              <w:bidi w:val="0"/>
              <w:adjustRightInd w:val="0"/>
              <w:snapToGrid w:val="0"/>
              <w:spacing w:before="0" w:beforeLines="0" w:beforeAutospacing="0" w:after="0" w:afterAutospacing="0"/>
              <w:ind w:left="0" w:right="0"/>
              <w:rPr>
                <w:rFonts w:hint="default" w:cs="Times New Roman"/>
                <w:b/>
                <w:bCs/>
                <w:color w:val="auto"/>
                <w:highlight w:val="none"/>
                <w:lang w:val="en-US" w:eastAsia="zh-CN"/>
              </w:rPr>
            </w:pPr>
            <w:r>
              <w:rPr>
                <w:rFonts w:hint="default" w:cs="Times New Roman"/>
                <w:b/>
                <w:bCs/>
                <w:color w:val="auto"/>
                <w:highlight w:val="none"/>
                <w:lang w:val="en-US" w:eastAsia="zh-CN"/>
              </w:rPr>
              <w:t>2.2.2.2运营期产排污情况</w:t>
            </w:r>
          </w:p>
          <w:p w14:paraId="30D8CA4A">
            <w:pPr>
              <w:keepNext w:val="0"/>
              <w:keepLines w:val="0"/>
              <w:suppressLineNumbers w:val="0"/>
              <w:spacing w:before="0" w:beforeAutospacing="0" w:after="0" w:afterAutospacing="0" w:line="360" w:lineRule="auto"/>
              <w:ind w:left="0" w:right="0" w:firstLine="480"/>
              <w:rPr>
                <w:rFonts w:hint="default" w:cs="Times New Roman"/>
                <w:b w:val="0"/>
                <w:bCs w:val="0"/>
                <w:color w:val="auto"/>
                <w:highlight w:val="none"/>
                <w:lang w:val="en-US" w:eastAsia="zh-CN"/>
              </w:rPr>
            </w:pPr>
            <w:r>
              <w:rPr>
                <w:rFonts w:hint="default" w:cs="Times New Roman"/>
                <w:b w:val="0"/>
                <w:bCs w:val="0"/>
                <w:color w:val="auto"/>
                <w:highlight w:val="none"/>
                <w:lang w:val="en-US" w:eastAsia="zh-CN"/>
              </w:rPr>
              <w:t>废气：主要为</w:t>
            </w:r>
            <w:r>
              <w:rPr>
                <w:rFonts w:hint="eastAsia" w:cs="Times New Roman"/>
                <w:b w:val="0"/>
                <w:bCs w:val="0"/>
                <w:color w:val="auto"/>
                <w:highlight w:val="none"/>
                <w:lang w:val="en-US" w:eastAsia="zh-CN"/>
              </w:rPr>
              <w:t>生物质锅炉燃烧废气</w:t>
            </w:r>
            <w:r>
              <w:rPr>
                <w:rFonts w:hint="default" w:cs="Times New Roman"/>
                <w:b w:val="0"/>
                <w:bCs w:val="0"/>
                <w:color w:val="auto"/>
                <w:highlight w:val="none"/>
                <w:lang w:val="en-US" w:eastAsia="zh-CN"/>
              </w:rPr>
              <w:t>、</w:t>
            </w:r>
            <w:r>
              <w:rPr>
                <w:rFonts w:hint="eastAsia" w:cs="Times New Roman"/>
                <w:b w:val="0"/>
                <w:bCs w:val="0"/>
                <w:color w:val="auto"/>
                <w:highlight w:val="none"/>
                <w:lang w:val="en-US" w:eastAsia="zh-CN"/>
              </w:rPr>
              <w:t>污水处理站恶臭、干黄花菜生产杀青及烘干过程挥发性有机物以及各生产车间异味</w:t>
            </w:r>
            <w:r>
              <w:rPr>
                <w:rFonts w:hint="default" w:cs="Times New Roman"/>
                <w:b w:val="0"/>
                <w:bCs w:val="0"/>
                <w:color w:val="auto"/>
                <w:highlight w:val="none"/>
                <w:lang w:val="en-US" w:eastAsia="zh-CN"/>
              </w:rPr>
              <w:t>。</w:t>
            </w:r>
          </w:p>
          <w:p w14:paraId="540E7652">
            <w:pPr>
              <w:keepNext w:val="0"/>
              <w:keepLines w:val="0"/>
              <w:suppressLineNumbers w:val="0"/>
              <w:spacing w:before="0" w:beforeAutospacing="0" w:after="0" w:afterAutospacing="0" w:line="360" w:lineRule="auto"/>
              <w:ind w:left="0" w:right="0" w:firstLine="480"/>
              <w:rPr>
                <w:rFonts w:hint="default" w:cs="Times New Roman"/>
                <w:b w:val="0"/>
                <w:bCs w:val="0"/>
                <w:color w:val="auto"/>
                <w:highlight w:val="none"/>
                <w:lang w:val="en-US" w:eastAsia="zh-CN"/>
              </w:rPr>
            </w:pPr>
            <w:r>
              <w:rPr>
                <w:rFonts w:hint="default" w:cs="Times New Roman"/>
                <w:b w:val="0"/>
                <w:bCs w:val="0"/>
                <w:color w:val="auto"/>
                <w:highlight w:val="none"/>
                <w:lang w:val="en-US" w:eastAsia="zh-CN"/>
              </w:rPr>
              <w:t>废水：</w:t>
            </w:r>
            <w:r>
              <w:rPr>
                <w:rFonts w:hint="eastAsia" w:cs="Times New Roman"/>
                <w:color w:val="auto"/>
                <w:sz w:val="24"/>
                <w:highlight w:val="none"/>
                <w:lang w:val="en-US" w:eastAsia="zh-CN"/>
              </w:rPr>
              <w:t>主要包括</w:t>
            </w:r>
            <w:r>
              <w:rPr>
                <w:rFonts w:hint="default" w:ascii="Times New Roman" w:hAnsi="Times New Roman" w:cs="Times New Roman"/>
                <w:highlight w:val="none"/>
                <w:u w:val="none"/>
                <w:lang w:val="en-US" w:eastAsia="zh-CN"/>
              </w:rPr>
              <w:t>黄花菜清洗</w:t>
            </w:r>
            <w:r>
              <w:rPr>
                <w:rFonts w:hint="eastAsia" w:cs="Times New Roman"/>
                <w:highlight w:val="none"/>
                <w:u w:val="none"/>
                <w:lang w:val="en-US" w:eastAsia="zh-CN"/>
              </w:rPr>
              <w:t>废水（包括鲜黄花菜清洗废水、干黄花菜浸泡清洗及烫煮废水、盐水渍菜清洗废水）、</w:t>
            </w:r>
            <w:r>
              <w:rPr>
                <w:rFonts w:hint="default" w:ascii="Times New Roman" w:hAnsi="Times New Roman" w:cs="Times New Roman"/>
                <w:highlight w:val="none"/>
                <w:u w:val="none"/>
                <w:lang w:val="en-US" w:eastAsia="zh-CN"/>
              </w:rPr>
              <w:t>车间地面以及设备清洗</w:t>
            </w:r>
            <w:r>
              <w:rPr>
                <w:rFonts w:hint="eastAsia" w:cs="Times New Roman"/>
                <w:highlight w:val="none"/>
                <w:u w:val="none"/>
                <w:lang w:val="en-US" w:eastAsia="zh-CN"/>
              </w:rPr>
              <w:t>废水（干黄花菜生产区地面及设备、即食菜生产区地面及设备、盐水渍菜生产车间地面及设备）</w:t>
            </w:r>
            <w:r>
              <w:rPr>
                <w:rFonts w:hint="eastAsia" w:cs="Times New Roman"/>
                <w:color w:val="auto"/>
                <w:sz w:val="24"/>
                <w:highlight w:val="none"/>
                <w:lang w:val="en-US" w:eastAsia="zh-CN"/>
              </w:rPr>
              <w:t>、锅炉排污水、纯水制备浓水</w:t>
            </w:r>
            <w:r>
              <w:rPr>
                <w:rFonts w:hint="eastAsia" w:ascii="Times New Roman" w:hAnsi="Times New Roman" w:cs="Times New Roman"/>
                <w:color w:val="auto"/>
                <w:highlight w:val="none"/>
                <w:lang w:val="en-US" w:eastAsia="zh-CN"/>
              </w:rPr>
              <w:t>以及员工生活污水。</w:t>
            </w:r>
            <w:r>
              <w:rPr>
                <w:rFonts w:hint="eastAsia" w:cs="Times New Roman"/>
                <w:color w:val="auto"/>
                <w:highlight w:val="none"/>
                <w:lang w:val="en-US" w:eastAsia="zh-CN"/>
              </w:rPr>
              <w:t>项目生产、生活废水经</w:t>
            </w:r>
            <w:r>
              <w:rPr>
                <w:rFonts w:hint="default" w:ascii="Times New Roman" w:hAnsi="Times New Roman" w:cs="Times New Roman"/>
                <w:color w:val="auto"/>
                <w:highlight w:val="none"/>
                <w:lang w:val="en-US" w:eastAsia="zh-CN"/>
              </w:rPr>
              <w:t>厂内自建污水处理站处理后排入官家嘴镇污水处理站进一步处理</w:t>
            </w:r>
            <w:r>
              <w:rPr>
                <w:rFonts w:hint="default" w:cs="Times New Roman"/>
                <w:b w:val="0"/>
                <w:bCs w:val="0"/>
                <w:color w:val="auto"/>
                <w:highlight w:val="none"/>
                <w:lang w:val="en-US" w:eastAsia="zh-CN"/>
              </w:rPr>
              <w:t>。</w:t>
            </w:r>
          </w:p>
          <w:p w14:paraId="1BE86959">
            <w:pPr>
              <w:keepNext w:val="0"/>
              <w:keepLines w:val="0"/>
              <w:suppressLineNumbers w:val="0"/>
              <w:spacing w:before="0" w:beforeAutospacing="0" w:after="0" w:afterAutospacing="0" w:line="360" w:lineRule="auto"/>
              <w:ind w:left="0" w:right="0" w:firstLine="480"/>
              <w:rPr>
                <w:rFonts w:hint="default" w:cs="Times New Roman"/>
                <w:b w:val="0"/>
                <w:bCs w:val="0"/>
                <w:color w:val="auto"/>
                <w:highlight w:val="none"/>
                <w:u w:val="none"/>
                <w:lang w:val="en-US" w:eastAsia="zh-CN"/>
              </w:rPr>
            </w:pPr>
            <w:r>
              <w:rPr>
                <w:rFonts w:hint="default" w:cs="Times New Roman"/>
                <w:b w:val="0"/>
                <w:bCs w:val="0"/>
                <w:color w:val="auto"/>
                <w:highlight w:val="none"/>
                <w:u w:val="none"/>
                <w:lang w:val="en-US" w:eastAsia="zh-CN"/>
              </w:rPr>
              <w:t>固体废物：</w:t>
            </w:r>
            <w:r>
              <w:rPr>
                <w:rFonts w:hint="default" w:ascii="Times New Roman" w:hAnsi="Times New Roman" w:eastAsia="宋体" w:cs="Times New Roman"/>
                <w:i w:val="0"/>
                <w:iCs w:val="0"/>
                <w:color w:val="auto"/>
                <w:sz w:val="24"/>
                <w:szCs w:val="24"/>
                <w:highlight w:val="none"/>
                <w:u w:val="none"/>
              </w:rPr>
              <w:t>本项目产生的固废主要为</w:t>
            </w:r>
            <w:r>
              <w:rPr>
                <w:rFonts w:hint="eastAsia" w:cs="Times New Roman"/>
                <w:i w:val="0"/>
                <w:iCs w:val="0"/>
                <w:color w:val="auto"/>
                <w:sz w:val="24"/>
                <w:szCs w:val="24"/>
                <w:highlight w:val="none"/>
                <w:u w:val="none"/>
                <w:lang w:val="en-US" w:eastAsia="zh-CN"/>
              </w:rPr>
              <w:t>生物质锅炉废气除尘系统收尘灰、生物质锅炉炉渣、废包装袋（食品添加剂、调味料以及水处理药剂）、纯水制备废物（废活性炭、废过滤膜、废滤芯）、污水处理站栅渣、污泥、检修废物（废机油、废油桶、废含油抹布和手套）以及生活垃圾</w:t>
            </w:r>
            <w:r>
              <w:rPr>
                <w:rFonts w:hint="default" w:cs="Times New Roman"/>
                <w:b w:val="0"/>
                <w:bCs w:val="0"/>
                <w:color w:val="auto"/>
                <w:highlight w:val="none"/>
                <w:u w:val="none"/>
                <w:lang w:val="en-US" w:eastAsia="zh-CN"/>
              </w:rPr>
              <w:t>。</w:t>
            </w:r>
          </w:p>
          <w:p w14:paraId="44E4F7CF">
            <w:pPr>
              <w:keepNext w:val="0"/>
              <w:keepLines w:val="0"/>
              <w:suppressLineNumbers w:val="0"/>
              <w:spacing w:before="0" w:beforeAutospacing="0" w:after="0" w:afterAutospacing="0" w:line="360" w:lineRule="auto"/>
              <w:ind w:left="0" w:right="0" w:firstLine="480"/>
              <w:rPr>
                <w:rFonts w:hint="default" w:ascii="Times New Roman" w:hAnsi="Times New Roman" w:eastAsia="宋体" w:cs="Times New Roman"/>
                <w:color w:val="auto"/>
                <w:sz w:val="24"/>
                <w:highlight w:val="none"/>
              </w:rPr>
            </w:pPr>
            <w:r>
              <w:rPr>
                <w:rFonts w:hint="default" w:cs="Times New Roman"/>
                <w:b w:val="0"/>
                <w:bCs w:val="0"/>
                <w:color w:val="auto"/>
                <w:highlight w:val="none"/>
                <w:lang w:val="en-US" w:eastAsia="zh-CN"/>
              </w:rPr>
              <w:t>噪声：整个生产工艺中各个机器设备在运行过程中产生的噪声</w:t>
            </w:r>
            <w:r>
              <w:rPr>
                <w:rFonts w:hint="default" w:ascii="Times New Roman" w:hAnsi="Times New Roman" w:eastAsia="宋体" w:cs="Times New Roman"/>
                <w:color w:val="auto"/>
                <w:sz w:val="24"/>
                <w:highlight w:val="none"/>
              </w:rPr>
              <w:t>。</w:t>
            </w:r>
          </w:p>
          <w:p w14:paraId="55BDE810">
            <w:pPr>
              <w:keepNext w:val="0"/>
              <w:keepLines w:val="0"/>
              <w:suppressLineNumbers w:val="0"/>
              <w:spacing w:before="0" w:beforeAutospacing="0" w:after="0" w:afterAutospacing="0" w:line="360" w:lineRule="auto"/>
              <w:ind w:left="0" w:right="0" w:firstLine="480"/>
              <w:rPr>
                <w:rFonts w:hint="default" w:cs="Times New Roman"/>
                <w:color w:val="auto"/>
                <w:sz w:val="24"/>
                <w:highlight w:val="none"/>
                <w:lang w:val="en-US" w:eastAsia="zh-CN"/>
              </w:rPr>
            </w:pPr>
            <w:r>
              <w:rPr>
                <w:rFonts w:hint="default" w:cs="Times New Roman"/>
                <w:color w:val="auto"/>
                <w:sz w:val="24"/>
                <w:highlight w:val="none"/>
                <w:lang w:val="en-US" w:eastAsia="zh-CN"/>
              </w:rPr>
              <w:t>结合本项目工艺流程，主要产排污环节具体见下表。</w:t>
            </w:r>
          </w:p>
          <w:p w14:paraId="455A0440">
            <w:pPr>
              <w:pStyle w:val="36"/>
              <w:keepLines w:val="0"/>
              <w:numPr>
                <w:ilvl w:val="0"/>
                <w:numId w:val="0"/>
              </w:numPr>
              <w:suppressLineNumbers w:val="0"/>
              <w:bidi w:val="0"/>
              <w:spacing w:before="0" w:beforeAutospacing="0" w:after="0" w:afterAutospacing="0"/>
              <w:ind w:left="0" w:leftChars="0" w:right="0" w:firstLine="0" w:firstLineChars="0"/>
              <w:rPr>
                <w:rFonts w:hint="default" w:cs="Times New Roman"/>
                <w:color w:val="auto"/>
                <w:highlight w:val="none"/>
                <w:lang w:val="en-US" w:eastAsia="zh-CN"/>
              </w:rPr>
            </w:pPr>
            <w:r>
              <w:rPr>
                <w:rFonts w:hint="default" w:ascii="Times New Roman" w:hAnsi="Times New Roman" w:eastAsia="宋体" w:cs="Times New Roman"/>
                <w:b/>
                <w:bCs/>
                <w:color w:val="auto"/>
                <w:kern w:val="2"/>
                <w:sz w:val="21"/>
                <w:szCs w:val="21"/>
                <w:highlight w:val="none"/>
                <w:lang w:val="en-US" w:eastAsia="zh-CN" w:bidi="ar-SA"/>
              </w:rPr>
              <w:t>表</w:t>
            </w:r>
            <w:r>
              <w:rPr>
                <w:rFonts w:hint="default" w:ascii="Times New Roman" w:hAnsi="Times New Roman" w:cs="Times New Roman"/>
                <w:b/>
                <w:bCs/>
                <w:color w:val="auto"/>
                <w:kern w:val="2"/>
                <w:sz w:val="21"/>
                <w:szCs w:val="21"/>
                <w:highlight w:val="none"/>
                <w:lang w:val="en-US" w:eastAsia="zh-CN" w:bidi="ar-SA"/>
              </w:rPr>
              <w:t>2</w:t>
            </w:r>
            <w:r>
              <w:rPr>
                <w:rFonts w:hint="default" w:cs="Times New Roman"/>
                <w:b/>
                <w:bCs/>
                <w:color w:val="auto"/>
                <w:kern w:val="2"/>
                <w:sz w:val="21"/>
                <w:szCs w:val="21"/>
                <w:highlight w:val="none"/>
                <w:lang w:val="en-US" w:eastAsia="zh-CN" w:bidi="ar-SA"/>
              </w:rPr>
              <w:t>.2-1</w:t>
            </w:r>
            <w:r>
              <w:rPr>
                <w:rFonts w:hint="default" w:cs="Times New Roman"/>
                <w:color w:val="auto"/>
                <w:highlight w:val="none"/>
                <w:lang w:val="en-US" w:eastAsia="zh-CN"/>
              </w:rPr>
              <w:t>项目营运期主要产排污情况一览表</w:t>
            </w:r>
          </w:p>
          <w:tbl>
            <w:tblPr>
              <w:tblStyle w:val="28"/>
              <w:tblW w:w="846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37"/>
              <w:gridCol w:w="1358"/>
              <w:gridCol w:w="1668"/>
              <w:gridCol w:w="1692"/>
              <w:gridCol w:w="3009"/>
            </w:tblGrid>
            <w:tr w14:paraId="31706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18774">
                  <w:pPr>
                    <w:pStyle w:val="37"/>
                    <w:keepNext w:val="0"/>
                    <w:keepLines w:val="0"/>
                    <w:suppressLineNumbers w:val="0"/>
                    <w:bidi w:val="0"/>
                    <w:spacing w:before="0" w:beforeAutospacing="0" w:after="0" w:afterAutospacing="0"/>
                    <w:ind w:left="0" w:right="0"/>
                    <w:jc w:val="center"/>
                    <w:rPr>
                      <w:rFonts w:hint="default"/>
                      <w:b/>
                      <w:bCs/>
                      <w:color w:val="auto"/>
                      <w:highlight w:val="none"/>
                    </w:rPr>
                  </w:pPr>
                  <w:r>
                    <w:rPr>
                      <w:rFonts w:hint="default"/>
                      <w:b/>
                      <w:bCs/>
                      <w:color w:val="auto"/>
                      <w:highlight w:val="none"/>
                      <w:lang w:val="en-US" w:eastAsia="zh-CN"/>
                    </w:rPr>
                    <w:t>类型</w:t>
                  </w: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9D119">
                  <w:pPr>
                    <w:pStyle w:val="37"/>
                    <w:keepNext w:val="0"/>
                    <w:keepLines w:val="0"/>
                    <w:suppressLineNumbers w:val="0"/>
                    <w:bidi w:val="0"/>
                    <w:spacing w:before="0" w:beforeAutospacing="0" w:after="0" w:afterAutospacing="0"/>
                    <w:ind w:left="0" w:right="0"/>
                    <w:jc w:val="center"/>
                    <w:rPr>
                      <w:rFonts w:hint="default"/>
                      <w:b/>
                      <w:bCs/>
                      <w:color w:val="auto"/>
                      <w:highlight w:val="none"/>
                    </w:rPr>
                  </w:pPr>
                  <w:r>
                    <w:rPr>
                      <w:rFonts w:hint="default"/>
                      <w:b/>
                      <w:bCs/>
                      <w:color w:val="auto"/>
                      <w:highlight w:val="none"/>
                      <w:lang w:val="en-US" w:eastAsia="zh-CN"/>
                    </w:rPr>
                    <w:t>产生工序</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CAE96">
                  <w:pPr>
                    <w:pStyle w:val="37"/>
                    <w:keepNext w:val="0"/>
                    <w:keepLines w:val="0"/>
                    <w:suppressLineNumbers w:val="0"/>
                    <w:bidi w:val="0"/>
                    <w:spacing w:before="0" w:beforeAutospacing="0" w:after="0" w:afterAutospacing="0"/>
                    <w:ind w:left="0" w:right="0"/>
                    <w:jc w:val="center"/>
                    <w:rPr>
                      <w:rFonts w:hint="default"/>
                      <w:b/>
                      <w:bCs/>
                      <w:color w:val="auto"/>
                      <w:highlight w:val="none"/>
                    </w:rPr>
                  </w:pPr>
                  <w:r>
                    <w:rPr>
                      <w:rFonts w:hint="default"/>
                      <w:b/>
                      <w:bCs/>
                      <w:color w:val="auto"/>
                      <w:highlight w:val="none"/>
                      <w:lang w:val="en-US" w:eastAsia="zh-CN"/>
                    </w:rPr>
                    <w:t>污染源名称</w:t>
                  </w:r>
                </w:p>
              </w:tc>
              <w:tc>
                <w:tcPr>
                  <w:tcW w:w="9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C9A82">
                  <w:pPr>
                    <w:pStyle w:val="37"/>
                    <w:keepNext w:val="0"/>
                    <w:keepLines w:val="0"/>
                    <w:suppressLineNumbers w:val="0"/>
                    <w:bidi w:val="0"/>
                    <w:spacing w:before="0" w:beforeAutospacing="0" w:after="0" w:afterAutospacing="0"/>
                    <w:ind w:left="0" w:right="0"/>
                    <w:jc w:val="center"/>
                    <w:rPr>
                      <w:rFonts w:hint="default"/>
                      <w:b/>
                      <w:bCs/>
                      <w:color w:val="auto"/>
                      <w:highlight w:val="none"/>
                    </w:rPr>
                  </w:pPr>
                  <w:r>
                    <w:rPr>
                      <w:rFonts w:hint="default"/>
                      <w:b/>
                      <w:bCs/>
                      <w:color w:val="auto"/>
                      <w:highlight w:val="none"/>
                      <w:lang w:val="en-US" w:eastAsia="zh-CN"/>
                    </w:rPr>
                    <w:t>主要污染因子</w:t>
                  </w:r>
                </w:p>
              </w:tc>
              <w:tc>
                <w:tcPr>
                  <w:tcW w:w="1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8D799">
                  <w:pPr>
                    <w:pStyle w:val="37"/>
                    <w:keepNext w:val="0"/>
                    <w:keepLines w:val="0"/>
                    <w:suppressLineNumbers w:val="0"/>
                    <w:bidi w:val="0"/>
                    <w:spacing w:before="0" w:beforeAutospacing="0" w:after="0" w:afterAutospacing="0"/>
                    <w:ind w:left="0" w:right="0"/>
                    <w:jc w:val="center"/>
                    <w:rPr>
                      <w:rFonts w:hint="default"/>
                      <w:b/>
                      <w:bCs/>
                      <w:color w:val="auto"/>
                      <w:highlight w:val="none"/>
                    </w:rPr>
                  </w:pPr>
                  <w:r>
                    <w:rPr>
                      <w:rFonts w:hint="default"/>
                      <w:b/>
                      <w:bCs/>
                      <w:color w:val="auto"/>
                      <w:highlight w:val="none"/>
                      <w:lang w:val="en-US" w:eastAsia="zh-CN"/>
                    </w:rPr>
                    <w:t>处理措施</w:t>
                  </w:r>
                </w:p>
              </w:tc>
            </w:tr>
            <w:tr w14:paraId="039AE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restart"/>
                  <w:tcBorders>
                    <w:top w:val="single" w:color="000000" w:sz="4" w:space="0"/>
                    <w:left w:val="single" w:color="000000" w:sz="4" w:space="0"/>
                    <w:right w:val="single" w:color="000000" w:sz="4" w:space="0"/>
                  </w:tcBorders>
                  <w:shd w:val="clear" w:color="auto" w:fill="auto"/>
                  <w:vAlign w:val="center"/>
                </w:tcPr>
                <w:p w14:paraId="29ADD797">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废气</w:t>
                  </w: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ED2C66">
                  <w:pPr>
                    <w:pStyle w:val="37"/>
                    <w:keepNext w:val="0"/>
                    <w:keepLines w:val="0"/>
                    <w:suppressLineNumbers w:val="0"/>
                    <w:bidi w:val="0"/>
                    <w:spacing w:before="0" w:beforeAutospacing="0" w:after="0" w:afterAutospacing="0"/>
                    <w:ind w:left="0" w:right="0"/>
                    <w:jc w:val="center"/>
                    <w:rPr>
                      <w:rFonts w:hint="default"/>
                      <w:color w:val="auto"/>
                      <w:highlight w:val="none"/>
                      <w:lang w:val="en-US"/>
                    </w:rPr>
                  </w:pPr>
                  <w:r>
                    <w:rPr>
                      <w:rFonts w:hint="eastAsia"/>
                      <w:color w:val="auto"/>
                      <w:highlight w:val="none"/>
                      <w:lang w:val="en-US" w:eastAsia="zh-CN"/>
                    </w:rPr>
                    <w:t>生物质锅炉</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C8236">
                  <w:pPr>
                    <w:pStyle w:val="37"/>
                    <w:keepNext w:val="0"/>
                    <w:keepLines w:val="0"/>
                    <w:suppressLineNumbers w:val="0"/>
                    <w:bidi w:val="0"/>
                    <w:spacing w:before="0" w:beforeAutospacing="0" w:after="0" w:afterAutospacing="0"/>
                    <w:ind w:left="0" w:right="0"/>
                    <w:jc w:val="center"/>
                    <w:rPr>
                      <w:rFonts w:hint="default"/>
                      <w:color w:val="auto"/>
                      <w:highlight w:val="none"/>
                      <w:lang w:val="en-US"/>
                    </w:rPr>
                  </w:pPr>
                  <w:r>
                    <w:rPr>
                      <w:rFonts w:hint="eastAsia"/>
                      <w:color w:val="auto"/>
                      <w:highlight w:val="none"/>
                      <w:lang w:val="en-US" w:eastAsia="zh-CN"/>
                    </w:rPr>
                    <w:t>燃烧废气</w:t>
                  </w:r>
                </w:p>
              </w:tc>
              <w:tc>
                <w:tcPr>
                  <w:tcW w:w="9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D019D">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颗粒物、SO</w:t>
                  </w:r>
                  <w:r>
                    <w:rPr>
                      <w:rFonts w:hint="default"/>
                      <w:color w:val="auto"/>
                      <w:highlight w:val="none"/>
                      <w:vertAlign w:val="subscript"/>
                      <w:lang w:val="en-US" w:eastAsia="zh-CN"/>
                    </w:rPr>
                    <w:t>2</w:t>
                  </w:r>
                  <w:r>
                    <w:rPr>
                      <w:rFonts w:hint="default"/>
                      <w:color w:val="auto"/>
                      <w:highlight w:val="none"/>
                      <w:lang w:val="en-US" w:eastAsia="zh-CN"/>
                    </w:rPr>
                    <w:t>、NOx</w:t>
                  </w:r>
                </w:p>
              </w:tc>
              <w:tc>
                <w:tcPr>
                  <w:tcW w:w="1777" w:type="pct"/>
                  <w:tcBorders>
                    <w:top w:val="single" w:color="000000" w:sz="4" w:space="0"/>
                    <w:left w:val="single" w:color="000000" w:sz="4" w:space="0"/>
                    <w:right w:val="single" w:color="000000" w:sz="4" w:space="0"/>
                  </w:tcBorders>
                  <w:shd w:val="clear" w:color="auto" w:fill="auto"/>
                  <w:vAlign w:val="center"/>
                </w:tcPr>
                <w:p w14:paraId="410A2B52">
                  <w:pPr>
                    <w:pStyle w:val="37"/>
                    <w:keepNext w:val="0"/>
                    <w:keepLines w:val="0"/>
                    <w:suppressLineNumbers w:val="0"/>
                    <w:bidi w:val="0"/>
                    <w:spacing w:before="0" w:beforeAutospacing="0" w:after="0" w:afterAutospacing="0"/>
                    <w:ind w:left="0" w:right="0"/>
                    <w:jc w:val="center"/>
                    <w:rPr>
                      <w:rFonts w:hint="default"/>
                      <w:color w:val="auto"/>
                      <w:highlight w:val="none"/>
                      <w:lang w:val="en-US"/>
                    </w:rPr>
                  </w:pPr>
                  <w:r>
                    <w:rPr>
                      <w:rFonts w:hint="eastAsia" w:cs="Times New Roman"/>
                      <w:color w:val="auto"/>
                      <w:highlight w:val="none"/>
                      <w:lang w:val="en-US" w:eastAsia="zh-CN"/>
                    </w:rPr>
                    <w:t>旋风除尘+布袋除尘+30m排气筒（DA001）</w:t>
                  </w:r>
                </w:p>
              </w:tc>
            </w:tr>
            <w:tr w14:paraId="66307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left w:val="single" w:color="000000" w:sz="4" w:space="0"/>
                    <w:right w:val="single" w:color="000000" w:sz="4" w:space="0"/>
                  </w:tcBorders>
                  <w:shd w:val="clear" w:color="auto" w:fill="auto"/>
                  <w:vAlign w:val="center"/>
                </w:tcPr>
                <w:p w14:paraId="6C8A2D12">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5506B">
                  <w:pPr>
                    <w:pStyle w:val="37"/>
                    <w:keepNext w:val="0"/>
                    <w:keepLines w:val="0"/>
                    <w:suppressLineNumbers w:val="0"/>
                    <w:bidi w:val="0"/>
                    <w:spacing w:before="0" w:beforeAutospacing="0" w:after="0" w:afterAutospacing="0"/>
                    <w:ind w:left="0" w:right="0"/>
                    <w:jc w:val="center"/>
                    <w:rPr>
                      <w:rFonts w:hint="default"/>
                      <w:color w:val="auto"/>
                      <w:highlight w:val="none"/>
                      <w:lang w:val="en-US"/>
                    </w:rPr>
                  </w:pPr>
                  <w:r>
                    <w:rPr>
                      <w:rFonts w:hint="eastAsia"/>
                      <w:color w:val="auto"/>
                      <w:highlight w:val="none"/>
                      <w:lang w:val="en-US" w:eastAsia="zh-CN"/>
                    </w:rPr>
                    <w:t>污水处理站恶臭</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4520E">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eastAsia"/>
                      <w:color w:val="auto"/>
                      <w:highlight w:val="none"/>
                      <w:lang w:val="en-US" w:eastAsia="zh-CN"/>
                    </w:rPr>
                    <w:t>恶臭</w:t>
                  </w:r>
                </w:p>
              </w:tc>
              <w:tc>
                <w:tcPr>
                  <w:tcW w:w="9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60C1D">
                  <w:pPr>
                    <w:pStyle w:val="37"/>
                    <w:keepNext w:val="0"/>
                    <w:keepLines w:val="0"/>
                    <w:suppressLineNumbers w:val="0"/>
                    <w:bidi w:val="0"/>
                    <w:spacing w:before="0" w:beforeAutospacing="0" w:after="0" w:afterAutospacing="0"/>
                    <w:ind w:left="0" w:right="0"/>
                    <w:jc w:val="center"/>
                    <w:rPr>
                      <w:rFonts w:hint="default"/>
                      <w:color w:val="auto"/>
                      <w:highlight w:val="none"/>
                      <w:lang w:val="en-US"/>
                    </w:rPr>
                  </w:pPr>
                  <w:r>
                    <w:rPr>
                      <w:rFonts w:hint="eastAsia"/>
                      <w:color w:val="auto"/>
                      <w:highlight w:val="none"/>
                      <w:lang w:val="en-US" w:eastAsia="zh-CN"/>
                    </w:rPr>
                    <w:t>氨、硫化氢等</w:t>
                  </w:r>
                </w:p>
              </w:tc>
              <w:tc>
                <w:tcPr>
                  <w:tcW w:w="1777" w:type="pct"/>
                  <w:tcBorders>
                    <w:top w:val="single" w:color="000000" w:sz="4" w:space="0"/>
                    <w:left w:val="single" w:color="000000" w:sz="4" w:space="0"/>
                    <w:right w:val="single" w:color="000000" w:sz="4" w:space="0"/>
                  </w:tcBorders>
                  <w:shd w:val="clear" w:color="auto" w:fill="auto"/>
                  <w:vAlign w:val="center"/>
                </w:tcPr>
                <w:p w14:paraId="2E8D8B5C">
                  <w:pPr>
                    <w:pStyle w:val="37"/>
                    <w:keepNext w:val="0"/>
                    <w:keepLines w:val="0"/>
                    <w:suppressLineNumbers w:val="0"/>
                    <w:bidi w:val="0"/>
                    <w:spacing w:before="0" w:beforeAutospacing="0" w:after="0" w:afterAutospacing="0"/>
                    <w:ind w:left="0" w:right="0"/>
                    <w:jc w:val="center"/>
                    <w:rPr>
                      <w:rFonts w:hint="default" w:eastAsia="宋体"/>
                      <w:color w:val="auto"/>
                      <w:highlight w:val="none"/>
                      <w:lang w:val="en-US" w:eastAsia="zh-CN"/>
                    </w:rPr>
                  </w:pPr>
                  <w:r>
                    <w:rPr>
                      <w:rFonts w:hint="eastAsia"/>
                      <w:color w:val="auto"/>
                      <w:highlight w:val="none"/>
                      <w:lang w:val="en-US" w:eastAsia="zh-CN"/>
                    </w:rPr>
                    <w:t>定期喷洒除臭剂，无组织排放</w:t>
                  </w:r>
                </w:p>
              </w:tc>
            </w:tr>
            <w:tr w14:paraId="32022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left w:val="single" w:color="000000" w:sz="4" w:space="0"/>
                    <w:right w:val="single" w:color="000000" w:sz="4" w:space="0"/>
                  </w:tcBorders>
                  <w:shd w:val="clear" w:color="auto" w:fill="auto"/>
                  <w:vAlign w:val="center"/>
                </w:tcPr>
                <w:p w14:paraId="5A168FAD">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D4899">
                  <w:pPr>
                    <w:pStyle w:val="37"/>
                    <w:keepNext w:val="0"/>
                    <w:keepLines w:val="0"/>
                    <w:suppressLineNumbers w:val="0"/>
                    <w:bidi w:val="0"/>
                    <w:spacing w:before="0" w:beforeAutospacing="0" w:after="0" w:afterAutospacing="0"/>
                    <w:ind w:left="0" w:right="0"/>
                    <w:jc w:val="center"/>
                    <w:rPr>
                      <w:rFonts w:hint="default"/>
                      <w:color w:val="auto"/>
                      <w:highlight w:val="none"/>
                      <w:lang w:val="en-US" w:eastAsia="zh-CN"/>
                    </w:rPr>
                  </w:pPr>
                  <w:r>
                    <w:rPr>
                      <w:rFonts w:hint="eastAsia"/>
                      <w:color w:val="auto"/>
                      <w:highlight w:val="none"/>
                      <w:lang w:val="en-US" w:eastAsia="zh-CN"/>
                    </w:rPr>
                    <w:t>干黄花菜生产杀青及烘干过程以及各生产车间异味</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86E15">
                  <w:pPr>
                    <w:pStyle w:val="37"/>
                    <w:keepNext w:val="0"/>
                    <w:keepLines w:val="0"/>
                    <w:suppressLineNumbers w:val="0"/>
                    <w:bidi w:val="0"/>
                    <w:spacing w:before="0" w:beforeAutospacing="0" w:after="0" w:afterAutospacing="0"/>
                    <w:ind w:left="0" w:right="0"/>
                    <w:jc w:val="center"/>
                    <w:rPr>
                      <w:rFonts w:hint="eastAsia"/>
                      <w:color w:val="auto"/>
                      <w:highlight w:val="none"/>
                      <w:lang w:val="en-US" w:eastAsia="zh-CN"/>
                    </w:rPr>
                  </w:pPr>
                  <w:r>
                    <w:rPr>
                      <w:rFonts w:hint="eastAsia"/>
                      <w:color w:val="auto"/>
                      <w:highlight w:val="none"/>
                      <w:lang w:val="en-US" w:eastAsia="zh-CN"/>
                    </w:rPr>
                    <w:t>干黄花菜生产杀青及烘干过程挥发性有机物以及各生产车间异味</w:t>
                  </w:r>
                </w:p>
              </w:tc>
              <w:tc>
                <w:tcPr>
                  <w:tcW w:w="9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DB999">
                  <w:pPr>
                    <w:pStyle w:val="37"/>
                    <w:keepNext w:val="0"/>
                    <w:keepLines w:val="0"/>
                    <w:suppressLineNumbers w:val="0"/>
                    <w:bidi w:val="0"/>
                    <w:spacing w:before="0" w:beforeAutospacing="0" w:after="0" w:afterAutospacing="0"/>
                    <w:ind w:left="0" w:right="0"/>
                    <w:jc w:val="center"/>
                    <w:rPr>
                      <w:rFonts w:hint="eastAsia"/>
                      <w:color w:val="auto"/>
                      <w:highlight w:val="none"/>
                      <w:lang w:val="en-US" w:eastAsia="zh-CN"/>
                    </w:rPr>
                  </w:pPr>
                  <w:r>
                    <w:rPr>
                      <w:rFonts w:hint="eastAsia"/>
                      <w:color w:val="auto"/>
                      <w:highlight w:val="none"/>
                      <w:lang w:val="en-US" w:eastAsia="zh-CN"/>
                    </w:rPr>
                    <w:t>VOCs</w:t>
                  </w:r>
                </w:p>
              </w:tc>
              <w:tc>
                <w:tcPr>
                  <w:tcW w:w="1777" w:type="pct"/>
                  <w:tcBorders>
                    <w:top w:val="single" w:color="000000" w:sz="4" w:space="0"/>
                    <w:left w:val="single" w:color="000000" w:sz="4" w:space="0"/>
                    <w:right w:val="single" w:color="000000" w:sz="4" w:space="0"/>
                  </w:tcBorders>
                  <w:shd w:val="clear" w:color="auto" w:fill="auto"/>
                  <w:vAlign w:val="center"/>
                </w:tcPr>
                <w:p w14:paraId="6DC725C1">
                  <w:pPr>
                    <w:pStyle w:val="37"/>
                    <w:keepNext w:val="0"/>
                    <w:keepLines w:val="0"/>
                    <w:suppressLineNumbers w:val="0"/>
                    <w:bidi w:val="0"/>
                    <w:spacing w:before="0" w:beforeAutospacing="0" w:after="0" w:afterAutospacing="0"/>
                    <w:ind w:left="0" w:right="0"/>
                    <w:jc w:val="center"/>
                    <w:rPr>
                      <w:rFonts w:hint="default"/>
                      <w:color w:val="auto"/>
                      <w:highlight w:val="none"/>
                      <w:lang w:val="en-US" w:eastAsia="zh-CN"/>
                    </w:rPr>
                  </w:pPr>
                  <w:r>
                    <w:rPr>
                      <w:rFonts w:hint="eastAsia"/>
                      <w:color w:val="auto"/>
                      <w:highlight w:val="none"/>
                      <w:lang w:val="en-US" w:eastAsia="zh-CN"/>
                    </w:rPr>
                    <w:t>车间通风、无组织排放</w:t>
                  </w:r>
                </w:p>
              </w:tc>
            </w:tr>
            <w:tr w14:paraId="24D05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jc w:val="center"/>
              </w:trPr>
              <w:tc>
                <w:tcPr>
                  <w:tcW w:w="435" w:type="pct"/>
                  <w:vMerge w:val="restart"/>
                  <w:tcBorders>
                    <w:top w:val="single" w:color="000000" w:sz="4" w:space="0"/>
                    <w:left w:val="single" w:color="000000" w:sz="4" w:space="0"/>
                    <w:right w:val="single" w:color="000000" w:sz="4" w:space="0"/>
                  </w:tcBorders>
                  <w:shd w:val="clear" w:color="auto" w:fill="auto"/>
                  <w:vAlign w:val="center"/>
                </w:tcPr>
                <w:p w14:paraId="3ECC5325">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废水</w:t>
                  </w: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283F4">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职工生活</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E2166">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生活污水</w:t>
                  </w:r>
                </w:p>
              </w:tc>
              <w:tc>
                <w:tcPr>
                  <w:tcW w:w="999" w:type="pct"/>
                  <w:vMerge w:val="restart"/>
                  <w:tcBorders>
                    <w:top w:val="single" w:color="000000" w:sz="4" w:space="0"/>
                    <w:left w:val="single" w:color="000000" w:sz="4" w:space="0"/>
                    <w:right w:val="single" w:color="000000" w:sz="4" w:space="0"/>
                  </w:tcBorders>
                  <w:shd w:val="clear" w:color="auto" w:fill="auto"/>
                  <w:vAlign w:val="center"/>
                </w:tcPr>
                <w:p w14:paraId="1329955F">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COD、SS、NH</w:t>
                  </w:r>
                  <w:r>
                    <w:rPr>
                      <w:rFonts w:hint="default"/>
                      <w:color w:val="auto"/>
                      <w:highlight w:val="none"/>
                      <w:vertAlign w:val="subscript"/>
                      <w:lang w:val="en-US" w:eastAsia="zh-CN"/>
                    </w:rPr>
                    <w:t>3</w:t>
                  </w:r>
                  <w:r>
                    <w:rPr>
                      <w:rFonts w:hint="default"/>
                      <w:color w:val="auto"/>
                      <w:highlight w:val="none"/>
                      <w:lang w:val="en-US" w:eastAsia="zh-CN"/>
                    </w:rPr>
                    <w:t>-N</w:t>
                  </w:r>
                  <w:r>
                    <w:rPr>
                      <w:rFonts w:hint="eastAsia"/>
                      <w:color w:val="auto"/>
                      <w:highlight w:val="none"/>
                      <w:u w:val="none"/>
                      <w:lang w:val="en-US" w:eastAsia="zh-CN"/>
                    </w:rPr>
                    <w:t>、总磷、总氮</w:t>
                  </w:r>
                </w:p>
              </w:tc>
              <w:tc>
                <w:tcPr>
                  <w:tcW w:w="1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B844D">
                  <w:pPr>
                    <w:pStyle w:val="37"/>
                    <w:keepNext w:val="0"/>
                    <w:keepLines w:val="0"/>
                    <w:suppressLineNumbers w:val="0"/>
                    <w:bidi w:val="0"/>
                    <w:spacing w:before="0" w:beforeAutospacing="0" w:after="0" w:afterAutospacing="0"/>
                    <w:ind w:left="0" w:right="0"/>
                    <w:jc w:val="center"/>
                    <w:rPr>
                      <w:rFonts w:hint="default"/>
                      <w:color w:val="auto"/>
                      <w:highlight w:val="none"/>
                      <w:lang w:val="en-US"/>
                    </w:rPr>
                  </w:pPr>
                  <w:r>
                    <w:rPr>
                      <w:rFonts w:hint="eastAsia"/>
                      <w:color w:val="auto"/>
                      <w:highlight w:val="none"/>
                      <w:lang w:val="en-US" w:eastAsia="zh-CN"/>
                    </w:rPr>
                    <w:t>化粪池</w:t>
                  </w:r>
                  <w:r>
                    <w:rPr>
                      <w:rFonts w:hint="default"/>
                      <w:color w:val="auto"/>
                      <w:highlight w:val="none"/>
                      <w:lang w:val="en-US" w:eastAsia="zh-CN"/>
                    </w:rPr>
                    <w:t>处理后进入</w:t>
                  </w:r>
                  <w:r>
                    <w:rPr>
                      <w:rFonts w:hint="eastAsia"/>
                      <w:color w:val="auto"/>
                      <w:highlight w:val="none"/>
                      <w:lang w:val="en-US" w:eastAsia="zh-CN"/>
                    </w:rPr>
                    <w:t>厂内自建污水处理站处理后排入官家嘴镇污水处理站进一步处理</w:t>
                  </w:r>
                </w:p>
              </w:tc>
            </w:tr>
            <w:tr w14:paraId="62E23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left w:val="single" w:color="000000" w:sz="4" w:space="0"/>
                    <w:right w:val="single" w:color="000000" w:sz="4" w:space="0"/>
                  </w:tcBorders>
                  <w:shd w:val="clear" w:color="auto" w:fill="auto"/>
                  <w:vAlign w:val="center"/>
                </w:tcPr>
                <w:p w14:paraId="7A02EC2A">
                  <w:pPr>
                    <w:pStyle w:val="37"/>
                    <w:keepNext w:val="0"/>
                    <w:keepLines w:val="0"/>
                    <w:suppressLineNumbers w:val="0"/>
                    <w:bidi w:val="0"/>
                    <w:spacing w:before="0" w:beforeAutospacing="0" w:after="0" w:afterAutospacing="0"/>
                    <w:ind w:left="0" w:right="0"/>
                    <w:jc w:val="center"/>
                    <w:rPr>
                      <w:rFonts w:hint="default"/>
                      <w:color w:val="auto"/>
                      <w:highlight w:val="yellow"/>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C1397">
                  <w:pPr>
                    <w:pStyle w:val="37"/>
                    <w:keepNext w:val="0"/>
                    <w:keepLines w:val="0"/>
                    <w:suppressLineNumbers w:val="0"/>
                    <w:bidi w:val="0"/>
                    <w:spacing w:before="0" w:beforeAutospacing="0" w:after="0" w:afterAutospacing="0"/>
                    <w:ind w:left="0" w:right="0"/>
                    <w:jc w:val="center"/>
                    <w:rPr>
                      <w:rFonts w:hint="default" w:eastAsia="宋体"/>
                      <w:color w:val="auto"/>
                      <w:highlight w:val="none"/>
                      <w:u w:val="none"/>
                      <w:lang w:val="en-US" w:eastAsia="zh-CN"/>
                    </w:rPr>
                  </w:pPr>
                  <w:r>
                    <w:rPr>
                      <w:rFonts w:hint="eastAsia"/>
                      <w:color w:val="auto"/>
                      <w:highlight w:val="none"/>
                      <w:u w:val="none"/>
                      <w:lang w:val="en-US" w:eastAsia="zh-CN"/>
                    </w:rPr>
                    <w:t>鲜黄花菜清洗</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01F50">
                  <w:pPr>
                    <w:pStyle w:val="37"/>
                    <w:keepNext w:val="0"/>
                    <w:keepLines w:val="0"/>
                    <w:suppressLineNumbers w:val="0"/>
                    <w:bidi w:val="0"/>
                    <w:spacing w:before="0" w:beforeAutospacing="0" w:after="0" w:afterAutospacing="0"/>
                    <w:ind w:left="0" w:right="0"/>
                    <w:jc w:val="center"/>
                    <w:rPr>
                      <w:rFonts w:hint="default" w:eastAsia="宋体"/>
                      <w:color w:val="auto"/>
                      <w:highlight w:val="none"/>
                      <w:u w:val="none"/>
                      <w:lang w:val="en-US" w:eastAsia="zh-CN"/>
                    </w:rPr>
                  </w:pPr>
                  <w:r>
                    <w:rPr>
                      <w:rFonts w:hint="eastAsia"/>
                      <w:color w:val="auto"/>
                      <w:highlight w:val="none"/>
                      <w:u w:val="none"/>
                      <w:lang w:val="en-US" w:eastAsia="zh-CN"/>
                    </w:rPr>
                    <w:t>清洗废水</w:t>
                  </w:r>
                </w:p>
              </w:tc>
              <w:tc>
                <w:tcPr>
                  <w:tcW w:w="999" w:type="pct"/>
                  <w:vMerge w:val="continue"/>
                  <w:tcBorders>
                    <w:left w:val="single" w:color="000000" w:sz="4" w:space="0"/>
                    <w:right w:val="single" w:color="000000" w:sz="4" w:space="0"/>
                  </w:tcBorders>
                  <w:shd w:val="clear" w:color="auto" w:fill="auto"/>
                  <w:vAlign w:val="center"/>
                </w:tcPr>
                <w:p w14:paraId="1E18D7FB">
                  <w:pPr>
                    <w:pStyle w:val="37"/>
                    <w:keepNext w:val="0"/>
                    <w:keepLines w:val="0"/>
                    <w:suppressLineNumbers w:val="0"/>
                    <w:bidi w:val="0"/>
                    <w:spacing w:before="0" w:beforeAutospacing="0" w:after="0" w:afterAutospacing="0"/>
                    <w:ind w:left="0" w:right="0"/>
                    <w:jc w:val="center"/>
                    <w:rPr>
                      <w:rFonts w:hint="default" w:eastAsia="宋体"/>
                      <w:color w:val="auto"/>
                      <w:highlight w:val="none"/>
                      <w:u w:val="none"/>
                      <w:lang w:val="en-US" w:eastAsia="zh-CN"/>
                    </w:rPr>
                  </w:pPr>
                </w:p>
              </w:tc>
              <w:tc>
                <w:tcPr>
                  <w:tcW w:w="1777" w:type="pct"/>
                  <w:vMerge w:val="restart"/>
                  <w:tcBorders>
                    <w:top w:val="single" w:color="000000" w:sz="4" w:space="0"/>
                    <w:left w:val="single" w:color="000000" w:sz="4" w:space="0"/>
                    <w:right w:val="single" w:color="000000" w:sz="4" w:space="0"/>
                  </w:tcBorders>
                  <w:shd w:val="clear" w:color="auto" w:fill="auto"/>
                  <w:vAlign w:val="center"/>
                </w:tcPr>
                <w:p w14:paraId="1CD8F7B5">
                  <w:pPr>
                    <w:pStyle w:val="37"/>
                    <w:keepNext w:val="0"/>
                    <w:keepLines w:val="0"/>
                    <w:suppressLineNumbers w:val="0"/>
                    <w:bidi w:val="0"/>
                    <w:spacing w:before="0" w:beforeAutospacing="0" w:after="0" w:afterAutospacing="0"/>
                    <w:ind w:left="0" w:right="0"/>
                    <w:jc w:val="center"/>
                    <w:rPr>
                      <w:rFonts w:hint="default"/>
                      <w:color w:val="auto"/>
                      <w:highlight w:val="yellow"/>
                      <w:lang w:val="en-US"/>
                    </w:rPr>
                  </w:pPr>
                  <w:r>
                    <w:rPr>
                      <w:rFonts w:hint="eastAsia"/>
                      <w:color w:val="auto"/>
                      <w:highlight w:val="none"/>
                      <w:lang w:val="en-US" w:eastAsia="zh-CN"/>
                    </w:rPr>
                    <w:t>经厂内自建污水处理站处理后排入官家嘴镇污水处理站进一步处理</w:t>
                  </w:r>
                </w:p>
              </w:tc>
            </w:tr>
            <w:tr w14:paraId="7E171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left w:val="single" w:color="000000" w:sz="4" w:space="0"/>
                    <w:right w:val="single" w:color="000000" w:sz="4" w:space="0"/>
                  </w:tcBorders>
                  <w:shd w:val="clear" w:color="auto" w:fill="auto"/>
                  <w:vAlign w:val="center"/>
                </w:tcPr>
                <w:p w14:paraId="3367A106">
                  <w:pPr>
                    <w:pStyle w:val="37"/>
                    <w:keepNext w:val="0"/>
                    <w:keepLines w:val="0"/>
                    <w:suppressLineNumbers w:val="0"/>
                    <w:bidi w:val="0"/>
                    <w:spacing w:before="0" w:beforeAutospacing="0" w:after="0" w:afterAutospacing="0"/>
                    <w:ind w:left="0" w:right="0"/>
                    <w:jc w:val="center"/>
                    <w:rPr>
                      <w:rFonts w:hint="default"/>
                      <w:color w:val="auto"/>
                      <w:highlight w:val="yellow"/>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1EF08">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eastAsia" w:cs="Times New Roman"/>
                      <w:highlight w:val="none"/>
                      <w:u w:val="none"/>
                      <w:lang w:val="en-US" w:eastAsia="zh-CN"/>
                    </w:rPr>
                    <w:t>干黄花菜浸泡清洗及烫煮</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86411">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eastAsia"/>
                      <w:color w:val="auto"/>
                      <w:highlight w:val="none"/>
                      <w:u w:val="none"/>
                      <w:lang w:val="en-US" w:eastAsia="zh-CN"/>
                    </w:rPr>
                    <w:t>清洗、烫煮废水</w:t>
                  </w:r>
                </w:p>
              </w:tc>
              <w:tc>
                <w:tcPr>
                  <w:tcW w:w="999" w:type="pct"/>
                  <w:vMerge w:val="continue"/>
                  <w:tcBorders>
                    <w:left w:val="single" w:color="000000" w:sz="4" w:space="0"/>
                    <w:right w:val="single" w:color="000000" w:sz="4" w:space="0"/>
                  </w:tcBorders>
                  <w:shd w:val="clear" w:color="auto" w:fill="auto"/>
                  <w:vAlign w:val="center"/>
                </w:tcPr>
                <w:p w14:paraId="34DB99CE">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p>
              </w:tc>
              <w:tc>
                <w:tcPr>
                  <w:tcW w:w="1777" w:type="pct"/>
                  <w:vMerge w:val="continue"/>
                  <w:tcBorders>
                    <w:left w:val="single" w:color="000000" w:sz="4" w:space="0"/>
                    <w:right w:val="single" w:color="000000" w:sz="4" w:space="0"/>
                  </w:tcBorders>
                  <w:shd w:val="clear" w:color="auto" w:fill="auto"/>
                  <w:vAlign w:val="center"/>
                </w:tcPr>
                <w:p w14:paraId="20F0573E">
                  <w:pPr>
                    <w:pStyle w:val="37"/>
                    <w:keepNext w:val="0"/>
                    <w:keepLines w:val="0"/>
                    <w:suppressLineNumbers w:val="0"/>
                    <w:bidi w:val="0"/>
                    <w:spacing w:before="0" w:beforeAutospacing="0" w:after="0" w:afterAutospacing="0"/>
                    <w:ind w:left="0" w:right="0"/>
                    <w:jc w:val="center"/>
                    <w:rPr>
                      <w:rFonts w:hint="default"/>
                      <w:color w:val="auto"/>
                      <w:highlight w:val="yellow"/>
                      <w:u w:val="single"/>
                      <w:lang w:val="en-US" w:eastAsia="zh-CN"/>
                    </w:rPr>
                  </w:pPr>
                </w:p>
              </w:tc>
            </w:tr>
            <w:tr w14:paraId="2CA18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left w:val="single" w:color="000000" w:sz="4" w:space="0"/>
                    <w:right w:val="single" w:color="000000" w:sz="4" w:space="0"/>
                  </w:tcBorders>
                  <w:shd w:val="clear" w:color="auto" w:fill="auto"/>
                  <w:vAlign w:val="center"/>
                </w:tcPr>
                <w:p w14:paraId="7D7390FB">
                  <w:pPr>
                    <w:pStyle w:val="37"/>
                    <w:keepNext w:val="0"/>
                    <w:keepLines w:val="0"/>
                    <w:suppressLineNumbers w:val="0"/>
                    <w:bidi w:val="0"/>
                    <w:spacing w:before="0" w:beforeAutospacing="0" w:after="0" w:afterAutospacing="0"/>
                    <w:ind w:left="0" w:right="0"/>
                    <w:jc w:val="center"/>
                    <w:rPr>
                      <w:rFonts w:hint="default"/>
                      <w:color w:val="auto"/>
                      <w:highlight w:val="yellow"/>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76A31">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eastAsia" w:cs="Times New Roman"/>
                      <w:highlight w:val="none"/>
                      <w:u w:val="none"/>
                      <w:lang w:val="en-US" w:eastAsia="zh-CN"/>
                    </w:rPr>
                    <w:t>干黄花菜生产区地面及设备</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23991">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eastAsia"/>
                      <w:color w:val="auto"/>
                      <w:highlight w:val="none"/>
                      <w:u w:val="none"/>
                      <w:lang w:val="en-US" w:eastAsia="zh-CN"/>
                    </w:rPr>
                    <w:t>清洗废水</w:t>
                  </w:r>
                </w:p>
              </w:tc>
              <w:tc>
                <w:tcPr>
                  <w:tcW w:w="999" w:type="pct"/>
                  <w:vMerge w:val="continue"/>
                  <w:tcBorders>
                    <w:left w:val="single" w:color="000000" w:sz="4" w:space="0"/>
                    <w:right w:val="single" w:color="000000" w:sz="4" w:space="0"/>
                  </w:tcBorders>
                  <w:shd w:val="clear" w:color="auto" w:fill="auto"/>
                  <w:vAlign w:val="center"/>
                </w:tcPr>
                <w:p w14:paraId="124C736D">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p>
              </w:tc>
              <w:tc>
                <w:tcPr>
                  <w:tcW w:w="1777" w:type="pct"/>
                  <w:vMerge w:val="continue"/>
                  <w:tcBorders>
                    <w:left w:val="single" w:color="000000" w:sz="4" w:space="0"/>
                    <w:right w:val="single" w:color="000000" w:sz="4" w:space="0"/>
                  </w:tcBorders>
                  <w:shd w:val="clear" w:color="auto" w:fill="auto"/>
                  <w:vAlign w:val="center"/>
                </w:tcPr>
                <w:p w14:paraId="1F17CC8C">
                  <w:pPr>
                    <w:pStyle w:val="37"/>
                    <w:keepNext w:val="0"/>
                    <w:keepLines w:val="0"/>
                    <w:suppressLineNumbers w:val="0"/>
                    <w:bidi w:val="0"/>
                    <w:spacing w:before="0" w:beforeAutospacing="0" w:after="0" w:afterAutospacing="0"/>
                    <w:ind w:left="0" w:right="0"/>
                    <w:jc w:val="center"/>
                    <w:rPr>
                      <w:rFonts w:hint="default"/>
                      <w:color w:val="auto"/>
                      <w:highlight w:val="yellow"/>
                      <w:u w:val="single"/>
                      <w:lang w:val="en-US" w:eastAsia="zh-CN"/>
                    </w:rPr>
                  </w:pPr>
                </w:p>
              </w:tc>
            </w:tr>
            <w:tr w14:paraId="0093D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left w:val="single" w:color="000000" w:sz="4" w:space="0"/>
                    <w:right w:val="single" w:color="000000" w:sz="4" w:space="0"/>
                  </w:tcBorders>
                  <w:shd w:val="clear" w:color="auto" w:fill="auto"/>
                  <w:vAlign w:val="center"/>
                </w:tcPr>
                <w:p w14:paraId="18557CD1">
                  <w:pPr>
                    <w:pStyle w:val="37"/>
                    <w:keepNext w:val="0"/>
                    <w:keepLines w:val="0"/>
                    <w:suppressLineNumbers w:val="0"/>
                    <w:bidi w:val="0"/>
                    <w:spacing w:before="0" w:beforeAutospacing="0" w:after="0" w:afterAutospacing="0"/>
                    <w:ind w:left="0" w:right="0"/>
                    <w:jc w:val="center"/>
                    <w:rPr>
                      <w:rFonts w:hint="default"/>
                      <w:color w:val="auto"/>
                      <w:highlight w:val="yellow"/>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E6137">
                  <w:pPr>
                    <w:pStyle w:val="37"/>
                    <w:keepNext w:val="0"/>
                    <w:keepLines w:val="0"/>
                    <w:suppressLineNumbers w:val="0"/>
                    <w:bidi w:val="0"/>
                    <w:spacing w:before="0" w:beforeAutospacing="0" w:after="0" w:afterAutospacing="0"/>
                    <w:ind w:left="0" w:right="0"/>
                    <w:jc w:val="center"/>
                    <w:rPr>
                      <w:rFonts w:hint="eastAsia"/>
                      <w:color w:val="auto"/>
                      <w:highlight w:val="none"/>
                      <w:u w:val="none"/>
                      <w:lang w:val="en-US" w:eastAsia="zh-CN"/>
                    </w:rPr>
                  </w:pPr>
                  <w:r>
                    <w:rPr>
                      <w:rFonts w:hint="eastAsia" w:cs="Times New Roman"/>
                      <w:highlight w:val="none"/>
                      <w:u w:val="none"/>
                      <w:lang w:val="en-US" w:eastAsia="zh-CN"/>
                    </w:rPr>
                    <w:t>即食菜生产区地面及设备</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11DC2">
                  <w:pPr>
                    <w:pStyle w:val="37"/>
                    <w:keepNext w:val="0"/>
                    <w:keepLines w:val="0"/>
                    <w:suppressLineNumbers w:val="0"/>
                    <w:bidi w:val="0"/>
                    <w:spacing w:before="0" w:beforeAutospacing="0" w:after="0" w:afterAutospacing="0"/>
                    <w:ind w:left="0" w:right="0"/>
                    <w:jc w:val="center"/>
                    <w:rPr>
                      <w:rFonts w:hint="eastAsia"/>
                      <w:color w:val="auto"/>
                      <w:highlight w:val="none"/>
                      <w:u w:val="none"/>
                      <w:lang w:val="en-US" w:eastAsia="zh-CN"/>
                    </w:rPr>
                  </w:pPr>
                  <w:r>
                    <w:rPr>
                      <w:rFonts w:hint="eastAsia"/>
                      <w:color w:val="auto"/>
                      <w:highlight w:val="none"/>
                      <w:u w:val="none"/>
                      <w:lang w:val="en-US" w:eastAsia="zh-CN"/>
                    </w:rPr>
                    <w:t>清洗废水</w:t>
                  </w:r>
                </w:p>
              </w:tc>
              <w:tc>
                <w:tcPr>
                  <w:tcW w:w="999" w:type="pct"/>
                  <w:vMerge w:val="continue"/>
                  <w:tcBorders>
                    <w:left w:val="single" w:color="000000" w:sz="4" w:space="0"/>
                    <w:bottom w:val="single" w:color="000000" w:sz="4" w:space="0"/>
                    <w:right w:val="single" w:color="000000" w:sz="4" w:space="0"/>
                  </w:tcBorders>
                  <w:shd w:val="clear" w:color="auto" w:fill="auto"/>
                  <w:vAlign w:val="center"/>
                </w:tcPr>
                <w:p w14:paraId="352B14C5">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p>
              </w:tc>
              <w:tc>
                <w:tcPr>
                  <w:tcW w:w="1777" w:type="pct"/>
                  <w:vMerge w:val="continue"/>
                  <w:tcBorders>
                    <w:left w:val="single" w:color="000000" w:sz="4" w:space="0"/>
                    <w:right w:val="single" w:color="000000" w:sz="4" w:space="0"/>
                  </w:tcBorders>
                  <w:shd w:val="clear" w:color="auto" w:fill="auto"/>
                  <w:vAlign w:val="center"/>
                </w:tcPr>
                <w:p w14:paraId="385D51E6">
                  <w:pPr>
                    <w:pStyle w:val="37"/>
                    <w:keepNext w:val="0"/>
                    <w:keepLines w:val="0"/>
                    <w:suppressLineNumbers w:val="0"/>
                    <w:bidi w:val="0"/>
                    <w:spacing w:before="0" w:beforeAutospacing="0" w:after="0" w:afterAutospacing="0"/>
                    <w:ind w:left="0" w:right="0"/>
                    <w:jc w:val="center"/>
                    <w:rPr>
                      <w:rFonts w:hint="default"/>
                      <w:color w:val="auto"/>
                      <w:highlight w:val="yellow"/>
                      <w:u w:val="single"/>
                      <w:lang w:val="en-US" w:eastAsia="zh-CN"/>
                    </w:rPr>
                  </w:pPr>
                </w:p>
              </w:tc>
            </w:tr>
            <w:tr w14:paraId="1BF04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left w:val="single" w:color="000000" w:sz="4" w:space="0"/>
                    <w:right w:val="single" w:color="000000" w:sz="4" w:space="0"/>
                  </w:tcBorders>
                  <w:shd w:val="clear" w:color="auto" w:fill="auto"/>
                  <w:vAlign w:val="center"/>
                </w:tcPr>
                <w:p w14:paraId="6D07C4F8">
                  <w:pPr>
                    <w:pStyle w:val="37"/>
                    <w:keepNext w:val="0"/>
                    <w:keepLines w:val="0"/>
                    <w:suppressLineNumbers w:val="0"/>
                    <w:bidi w:val="0"/>
                    <w:spacing w:before="0" w:beforeAutospacing="0" w:after="0" w:afterAutospacing="0"/>
                    <w:ind w:left="0" w:right="0"/>
                    <w:jc w:val="center"/>
                    <w:rPr>
                      <w:rFonts w:hint="default"/>
                      <w:color w:val="auto"/>
                      <w:highlight w:val="yellow"/>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DE042">
                  <w:pPr>
                    <w:pStyle w:val="37"/>
                    <w:keepNext w:val="0"/>
                    <w:keepLines w:val="0"/>
                    <w:suppressLineNumbers w:val="0"/>
                    <w:bidi w:val="0"/>
                    <w:spacing w:before="0" w:beforeAutospacing="0" w:after="0" w:afterAutospacing="0"/>
                    <w:ind w:left="0" w:leftChars="0" w:right="0" w:rightChars="0"/>
                    <w:jc w:val="center"/>
                    <w:rPr>
                      <w:rFonts w:hint="eastAsia" w:ascii="Times New Roman" w:hAnsi="Times New Roman" w:eastAsia="宋体" w:cs="Times New Roman"/>
                      <w:color w:val="auto"/>
                      <w:kern w:val="0"/>
                      <w:sz w:val="21"/>
                      <w:szCs w:val="21"/>
                      <w:highlight w:val="none"/>
                      <w:u w:val="none"/>
                      <w:lang w:val="en-US" w:eastAsia="zh-CN" w:bidi="ar-SA"/>
                    </w:rPr>
                  </w:pPr>
                  <w:r>
                    <w:rPr>
                      <w:rFonts w:hint="eastAsia"/>
                      <w:color w:val="auto"/>
                      <w:highlight w:val="none"/>
                      <w:u w:val="none"/>
                      <w:lang w:val="en-US" w:eastAsia="zh-CN"/>
                    </w:rPr>
                    <w:t>盐水渍菜生产</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716EF">
                  <w:pPr>
                    <w:pStyle w:val="37"/>
                    <w:keepNext w:val="0"/>
                    <w:keepLines w:val="0"/>
                    <w:suppressLineNumbers w:val="0"/>
                    <w:bidi w:val="0"/>
                    <w:spacing w:before="0" w:beforeAutospacing="0" w:after="0" w:afterAutospacing="0"/>
                    <w:ind w:left="0" w:leftChars="0" w:right="0" w:rightChars="0"/>
                    <w:jc w:val="center"/>
                    <w:rPr>
                      <w:rFonts w:hint="eastAsia" w:ascii="Times New Roman" w:hAnsi="Times New Roman" w:eastAsia="宋体" w:cs="Times New Roman"/>
                      <w:color w:val="auto"/>
                      <w:kern w:val="0"/>
                      <w:sz w:val="21"/>
                      <w:szCs w:val="21"/>
                      <w:highlight w:val="none"/>
                      <w:u w:val="none"/>
                      <w:lang w:val="en-US" w:eastAsia="zh-CN" w:bidi="ar-SA"/>
                    </w:rPr>
                  </w:pPr>
                  <w:r>
                    <w:rPr>
                      <w:rFonts w:hint="eastAsia"/>
                      <w:color w:val="auto"/>
                      <w:highlight w:val="none"/>
                      <w:u w:val="none"/>
                      <w:lang w:val="en-US" w:eastAsia="zh-CN"/>
                    </w:rPr>
                    <w:t>清洗废水</w:t>
                  </w:r>
                </w:p>
              </w:tc>
              <w:tc>
                <w:tcPr>
                  <w:tcW w:w="999" w:type="pct"/>
                  <w:vMerge w:val="restart"/>
                  <w:tcBorders>
                    <w:top w:val="single" w:color="000000" w:sz="4" w:space="0"/>
                    <w:left w:val="single" w:color="000000" w:sz="4" w:space="0"/>
                    <w:right w:val="single" w:color="000000" w:sz="4" w:space="0"/>
                  </w:tcBorders>
                  <w:shd w:val="clear" w:color="auto" w:fill="auto"/>
                  <w:vAlign w:val="center"/>
                </w:tcPr>
                <w:p w14:paraId="1053D126">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default"/>
                      <w:color w:val="auto"/>
                      <w:highlight w:val="none"/>
                      <w:u w:val="none"/>
                      <w:lang w:val="en-US" w:eastAsia="zh-CN"/>
                    </w:rPr>
                    <w:t>COD、SS、NH</w:t>
                  </w:r>
                  <w:r>
                    <w:rPr>
                      <w:rFonts w:hint="default"/>
                      <w:color w:val="auto"/>
                      <w:highlight w:val="none"/>
                      <w:u w:val="none"/>
                      <w:vertAlign w:val="subscript"/>
                      <w:lang w:val="en-US" w:eastAsia="zh-CN"/>
                    </w:rPr>
                    <w:t>3</w:t>
                  </w:r>
                  <w:r>
                    <w:rPr>
                      <w:rFonts w:hint="default"/>
                      <w:color w:val="auto"/>
                      <w:highlight w:val="none"/>
                      <w:u w:val="none"/>
                      <w:lang w:val="en-US" w:eastAsia="zh-CN"/>
                    </w:rPr>
                    <w:t>-N</w:t>
                  </w:r>
                  <w:r>
                    <w:rPr>
                      <w:rFonts w:hint="eastAsia"/>
                      <w:color w:val="auto"/>
                      <w:highlight w:val="none"/>
                      <w:u w:val="none"/>
                      <w:lang w:val="en-US" w:eastAsia="zh-CN"/>
                    </w:rPr>
                    <w:t>、硫酸盐、总磷、总氮</w:t>
                  </w:r>
                </w:p>
              </w:tc>
              <w:tc>
                <w:tcPr>
                  <w:tcW w:w="1777" w:type="pct"/>
                  <w:vMerge w:val="continue"/>
                  <w:tcBorders>
                    <w:left w:val="single" w:color="000000" w:sz="4" w:space="0"/>
                    <w:right w:val="single" w:color="000000" w:sz="4" w:space="0"/>
                  </w:tcBorders>
                  <w:shd w:val="clear" w:color="auto" w:fill="auto"/>
                  <w:vAlign w:val="center"/>
                </w:tcPr>
                <w:p w14:paraId="6E156741">
                  <w:pPr>
                    <w:pStyle w:val="37"/>
                    <w:keepNext w:val="0"/>
                    <w:keepLines w:val="0"/>
                    <w:suppressLineNumbers w:val="0"/>
                    <w:bidi w:val="0"/>
                    <w:spacing w:before="0" w:beforeAutospacing="0" w:after="0" w:afterAutospacing="0"/>
                    <w:ind w:left="0" w:right="0"/>
                    <w:jc w:val="center"/>
                    <w:rPr>
                      <w:rFonts w:hint="default"/>
                      <w:color w:val="auto"/>
                      <w:highlight w:val="yellow"/>
                      <w:u w:val="single"/>
                      <w:lang w:val="en-US" w:eastAsia="zh-CN"/>
                    </w:rPr>
                  </w:pPr>
                </w:p>
              </w:tc>
            </w:tr>
            <w:tr w14:paraId="3C421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left w:val="single" w:color="000000" w:sz="4" w:space="0"/>
                    <w:right w:val="single" w:color="000000" w:sz="4" w:space="0"/>
                  </w:tcBorders>
                  <w:shd w:val="clear" w:color="auto" w:fill="auto"/>
                  <w:vAlign w:val="center"/>
                </w:tcPr>
                <w:p w14:paraId="074A80FA">
                  <w:pPr>
                    <w:pStyle w:val="37"/>
                    <w:keepNext w:val="0"/>
                    <w:keepLines w:val="0"/>
                    <w:suppressLineNumbers w:val="0"/>
                    <w:bidi w:val="0"/>
                    <w:spacing w:before="0" w:beforeAutospacing="0" w:after="0" w:afterAutospacing="0"/>
                    <w:ind w:left="0" w:right="0"/>
                    <w:jc w:val="center"/>
                    <w:rPr>
                      <w:rFonts w:hint="default"/>
                      <w:color w:val="auto"/>
                      <w:highlight w:val="yellow"/>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EF24E">
                  <w:pPr>
                    <w:pStyle w:val="37"/>
                    <w:keepNext w:val="0"/>
                    <w:keepLines w:val="0"/>
                    <w:suppressLineNumbers w:val="0"/>
                    <w:bidi w:val="0"/>
                    <w:spacing w:before="0" w:beforeAutospacing="0" w:after="0" w:afterAutospacing="0"/>
                    <w:ind w:left="0" w:right="0"/>
                    <w:jc w:val="center"/>
                    <w:rPr>
                      <w:rFonts w:hint="eastAsia" w:cs="Times New Roman"/>
                      <w:highlight w:val="none"/>
                      <w:u w:val="none"/>
                      <w:lang w:val="en-US" w:eastAsia="zh-CN"/>
                    </w:rPr>
                  </w:pPr>
                  <w:r>
                    <w:rPr>
                      <w:rFonts w:hint="eastAsia" w:cs="Times New Roman"/>
                      <w:highlight w:val="none"/>
                      <w:u w:val="none"/>
                      <w:lang w:val="en-US" w:eastAsia="zh-CN"/>
                    </w:rPr>
                    <w:t>盐水渍菜生产车间地面及设备</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41FE6">
                  <w:pPr>
                    <w:pStyle w:val="37"/>
                    <w:keepNext w:val="0"/>
                    <w:keepLines w:val="0"/>
                    <w:suppressLineNumbers w:val="0"/>
                    <w:bidi w:val="0"/>
                    <w:spacing w:before="0" w:beforeAutospacing="0" w:after="0" w:afterAutospacing="0"/>
                    <w:ind w:left="0" w:right="0"/>
                    <w:jc w:val="center"/>
                    <w:rPr>
                      <w:rFonts w:hint="eastAsia"/>
                      <w:color w:val="auto"/>
                      <w:highlight w:val="none"/>
                      <w:u w:val="none"/>
                      <w:lang w:val="en-US" w:eastAsia="zh-CN"/>
                    </w:rPr>
                  </w:pPr>
                  <w:r>
                    <w:rPr>
                      <w:rFonts w:hint="eastAsia"/>
                      <w:color w:val="auto"/>
                      <w:highlight w:val="none"/>
                      <w:u w:val="none"/>
                      <w:lang w:val="en-US" w:eastAsia="zh-CN"/>
                    </w:rPr>
                    <w:t>清洗废水</w:t>
                  </w:r>
                </w:p>
              </w:tc>
              <w:tc>
                <w:tcPr>
                  <w:tcW w:w="999" w:type="pct"/>
                  <w:vMerge w:val="continue"/>
                  <w:tcBorders>
                    <w:left w:val="single" w:color="000000" w:sz="4" w:space="0"/>
                    <w:bottom w:val="single" w:color="000000" w:sz="4" w:space="0"/>
                    <w:right w:val="single" w:color="000000" w:sz="4" w:space="0"/>
                  </w:tcBorders>
                  <w:shd w:val="clear" w:color="auto" w:fill="auto"/>
                  <w:vAlign w:val="center"/>
                </w:tcPr>
                <w:p w14:paraId="14696026">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p>
              </w:tc>
              <w:tc>
                <w:tcPr>
                  <w:tcW w:w="1777" w:type="pct"/>
                  <w:vMerge w:val="continue"/>
                  <w:tcBorders>
                    <w:left w:val="single" w:color="000000" w:sz="4" w:space="0"/>
                    <w:right w:val="single" w:color="000000" w:sz="4" w:space="0"/>
                  </w:tcBorders>
                  <w:shd w:val="clear" w:color="auto" w:fill="auto"/>
                  <w:vAlign w:val="center"/>
                </w:tcPr>
                <w:p w14:paraId="6DC18CBF">
                  <w:pPr>
                    <w:pStyle w:val="37"/>
                    <w:keepNext w:val="0"/>
                    <w:keepLines w:val="0"/>
                    <w:suppressLineNumbers w:val="0"/>
                    <w:bidi w:val="0"/>
                    <w:spacing w:before="0" w:beforeAutospacing="0" w:after="0" w:afterAutospacing="0"/>
                    <w:ind w:left="0" w:right="0"/>
                    <w:jc w:val="center"/>
                    <w:rPr>
                      <w:rFonts w:hint="default"/>
                      <w:color w:val="auto"/>
                      <w:highlight w:val="yellow"/>
                      <w:u w:val="single"/>
                      <w:lang w:val="en-US" w:eastAsia="zh-CN"/>
                    </w:rPr>
                  </w:pPr>
                </w:p>
              </w:tc>
            </w:tr>
            <w:tr w14:paraId="30E54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left w:val="single" w:color="000000" w:sz="4" w:space="0"/>
                    <w:right w:val="single" w:color="000000" w:sz="4" w:space="0"/>
                  </w:tcBorders>
                  <w:shd w:val="clear" w:color="auto" w:fill="auto"/>
                  <w:vAlign w:val="center"/>
                </w:tcPr>
                <w:p w14:paraId="6842967E">
                  <w:pPr>
                    <w:pStyle w:val="37"/>
                    <w:keepNext w:val="0"/>
                    <w:keepLines w:val="0"/>
                    <w:suppressLineNumbers w:val="0"/>
                    <w:bidi w:val="0"/>
                    <w:spacing w:before="0" w:beforeAutospacing="0" w:after="0" w:afterAutospacing="0"/>
                    <w:ind w:left="0" w:right="0"/>
                    <w:jc w:val="center"/>
                    <w:rPr>
                      <w:rFonts w:hint="default"/>
                      <w:color w:val="auto"/>
                      <w:highlight w:val="yellow"/>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35253">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eastAsia"/>
                      <w:color w:val="auto"/>
                      <w:highlight w:val="none"/>
                      <w:u w:val="none"/>
                      <w:lang w:val="en-US" w:eastAsia="zh-CN"/>
                    </w:rPr>
                    <w:t>生物质锅炉</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489BC">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eastAsia"/>
                      <w:color w:val="auto"/>
                      <w:highlight w:val="none"/>
                      <w:u w:val="none"/>
                      <w:lang w:val="en-US" w:eastAsia="zh-CN"/>
                    </w:rPr>
                    <w:t>排污水</w:t>
                  </w:r>
                </w:p>
              </w:tc>
              <w:tc>
                <w:tcPr>
                  <w:tcW w:w="999" w:type="pct"/>
                  <w:vMerge w:val="restart"/>
                  <w:tcBorders>
                    <w:top w:val="single" w:color="000000" w:sz="4" w:space="0"/>
                    <w:left w:val="single" w:color="000000" w:sz="4" w:space="0"/>
                    <w:right w:val="single" w:color="000000" w:sz="4" w:space="0"/>
                  </w:tcBorders>
                  <w:shd w:val="clear" w:color="auto" w:fill="auto"/>
                  <w:vAlign w:val="center"/>
                </w:tcPr>
                <w:p w14:paraId="29B48FE9">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eastAsia"/>
                      <w:color w:val="auto"/>
                      <w:highlight w:val="none"/>
                      <w:u w:val="none"/>
                      <w:lang w:val="en-US" w:eastAsia="zh-CN"/>
                    </w:rPr>
                    <w:t>SS</w:t>
                  </w:r>
                </w:p>
              </w:tc>
              <w:tc>
                <w:tcPr>
                  <w:tcW w:w="1777" w:type="pct"/>
                  <w:vMerge w:val="continue"/>
                  <w:tcBorders>
                    <w:left w:val="single" w:color="000000" w:sz="4" w:space="0"/>
                    <w:right w:val="single" w:color="000000" w:sz="4" w:space="0"/>
                  </w:tcBorders>
                  <w:shd w:val="clear" w:color="auto" w:fill="auto"/>
                  <w:vAlign w:val="center"/>
                </w:tcPr>
                <w:p w14:paraId="5A08A05B">
                  <w:pPr>
                    <w:pStyle w:val="37"/>
                    <w:keepNext w:val="0"/>
                    <w:keepLines w:val="0"/>
                    <w:suppressLineNumbers w:val="0"/>
                    <w:bidi w:val="0"/>
                    <w:spacing w:before="0" w:beforeAutospacing="0" w:after="0" w:afterAutospacing="0"/>
                    <w:ind w:left="0" w:right="0"/>
                    <w:jc w:val="center"/>
                    <w:rPr>
                      <w:rFonts w:hint="default"/>
                      <w:color w:val="auto"/>
                      <w:highlight w:val="yellow"/>
                      <w:u w:val="single"/>
                      <w:lang w:val="en-US" w:eastAsia="zh-CN"/>
                    </w:rPr>
                  </w:pPr>
                </w:p>
              </w:tc>
            </w:tr>
            <w:tr w14:paraId="22269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35" w:type="pct"/>
                  <w:vMerge w:val="continue"/>
                  <w:tcBorders>
                    <w:left w:val="single" w:color="000000" w:sz="4" w:space="0"/>
                    <w:bottom w:val="single" w:color="000000" w:sz="4" w:space="0"/>
                    <w:right w:val="single" w:color="000000" w:sz="4" w:space="0"/>
                  </w:tcBorders>
                  <w:shd w:val="clear" w:color="auto" w:fill="auto"/>
                  <w:vAlign w:val="center"/>
                </w:tcPr>
                <w:p w14:paraId="252B34E1">
                  <w:pPr>
                    <w:pStyle w:val="37"/>
                    <w:keepNext w:val="0"/>
                    <w:keepLines w:val="0"/>
                    <w:suppressLineNumbers w:val="0"/>
                    <w:bidi w:val="0"/>
                    <w:spacing w:before="0" w:beforeAutospacing="0" w:after="0" w:afterAutospacing="0"/>
                    <w:ind w:left="0" w:right="0"/>
                    <w:jc w:val="center"/>
                    <w:rPr>
                      <w:rFonts w:hint="default"/>
                      <w:color w:val="auto"/>
                      <w:highlight w:val="yellow"/>
                    </w:rPr>
                  </w:pP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1F071B">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eastAsia"/>
                      <w:color w:val="auto"/>
                      <w:highlight w:val="none"/>
                      <w:u w:val="none"/>
                      <w:lang w:val="en-US" w:eastAsia="zh-CN"/>
                    </w:rPr>
                    <w:t>纯水制备</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BAFA5">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r>
                    <w:rPr>
                      <w:rFonts w:hint="eastAsia"/>
                      <w:color w:val="auto"/>
                      <w:highlight w:val="none"/>
                      <w:u w:val="none"/>
                      <w:lang w:val="en-US" w:eastAsia="zh-CN"/>
                    </w:rPr>
                    <w:t>浓水</w:t>
                  </w:r>
                </w:p>
              </w:tc>
              <w:tc>
                <w:tcPr>
                  <w:tcW w:w="999" w:type="pct"/>
                  <w:vMerge w:val="continue"/>
                  <w:tcBorders>
                    <w:left w:val="single" w:color="000000" w:sz="4" w:space="0"/>
                    <w:bottom w:val="single" w:color="000000" w:sz="4" w:space="0"/>
                    <w:right w:val="single" w:color="000000" w:sz="4" w:space="0"/>
                  </w:tcBorders>
                  <w:shd w:val="clear" w:color="auto" w:fill="auto"/>
                  <w:vAlign w:val="center"/>
                </w:tcPr>
                <w:p w14:paraId="24F274BF">
                  <w:pPr>
                    <w:pStyle w:val="37"/>
                    <w:keepNext w:val="0"/>
                    <w:keepLines w:val="0"/>
                    <w:suppressLineNumbers w:val="0"/>
                    <w:bidi w:val="0"/>
                    <w:spacing w:before="0" w:beforeAutospacing="0" w:after="0" w:afterAutospacing="0"/>
                    <w:ind w:left="0" w:right="0"/>
                    <w:jc w:val="center"/>
                    <w:rPr>
                      <w:rFonts w:hint="default"/>
                      <w:color w:val="auto"/>
                      <w:highlight w:val="none"/>
                      <w:u w:val="none"/>
                      <w:lang w:val="en-US" w:eastAsia="zh-CN"/>
                    </w:rPr>
                  </w:pPr>
                </w:p>
              </w:tc>
              <w:tc>
                <w:tcPr>
                  <w:tcW w:w="1777" w:type="pct"/>
                  <w:vMerge w:val="continue"/>
                  <w:tcBorders>
                    <w:left w:val="single" w:color="000000" w:sz="4" w:space="0"/>
                    <w:bottom w:val="single" w:color="000000" w:sz="4" w:space="0"/>
                    <w:right w:val="single" w:color="000000" w:sz="4" w:space="0"/>
                  </w:tcBorders>
                  <w:shd w:val="clear" w:color="auto" w:fill="auto"/>
                  <w:vAlign w:val="center"/>
                </w:tcPr>
                <w:p w14:paraId="40F74DA0">
                  <w:pPr>
                    <w:pStyle w:val="37"/>
                    <w:keepNext w:val="0"/>
                    <w:keepLines w:val="0"/>
                    <w:suppressLineNumbers w:val="0"/>
                    <w:bidi w:val="0"/>
                    <w:spacing w:before="0" w:beforeAutospacing="0" w:after="0" w:afterAutospacing="0"/>
                    <w:ind w:left="0" w:right="0"/>
                    <w:jc w:val="center"/>
                    <w:rPr>
                      <w:rFonts w:hint="default"/>
                      <w:color w:val="auto"/>
                      <w:highlight w:val="yellow"/>
                      <w:u w:val="single"/>
                      <w:lang w:val="en-US" w:eastAsia="zh-CN"/>
                    </w:rPr>
                  </w:pPr>
                </w:p>
              </w:tc>
            </w:tr>
            <w:tr w14:paraId="0097E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0" w:hRule="atLeast"/>
                <w:jc w:val="center"/>
              </w:trPr>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1E54C2">
                  <w:pPr>
                    <w:pStyle w:val="37"/>
                    <w:keepNext w:val="0"/>
                    <w:keepLines w:val="0"/>
                    <w:suppressLineNumbers w:val="0"/>
                    <w:bidi w:val="0"/>
                    <w:spacing w:before="0" w:beforeAutospacing="0" w:after="0" w:afterAutospacing="0"/>
                    <w:ind w:left="0" w:right="0"/>
                    <w:jc w:val="center"/>
                    <w:rPr>
                      <w:rFonts w:hint="default"/>
                      <w:color w:val="auto"/>
                      <w:highlight w:val="none"/>
                      <w:lang w:val="en-US"/>
                    </w:rPr>
                  </w:pPr>
                  <w:r>
                    <w:rPr>
                      <w:rFonts w:hint="default"/>
                      <w:color w:val="auto"/>
                      <w:highlight w:val="none"/>
                      <w:lang w:val="en-US" w:eastAsia="zh-CN"/>
                    </w:rPr>
                    <w:t>固体废物</w:t>
                  </w: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8FE52">
                  <w:pPr>
                    <w:pStyle w:val="37"/>
                    <w:keepNext w:val="0"/>
                    <w:keepLines w:val="0"/>
                    <w:suppressLineNumbers w:val="0"/>
                    <w:bidi w:val="0"/>
                    <w:spacing w:before="0" w:beforeAutospacing="0" w:after="0" w:afterAutospacing="0"/>
                    <w:ind w:left="0" w:right="0"/>
                    <w:jc w:val="center"/>
                    <w:rPr>
                      <w:rFonts w:hint="default" w:eastAsia="宋体"/>
                      <w:color w:val="auto"/>
                      <w:highlight w:val="none"/>
                      <w:u w:val="none"/>
                      <w:lang w:val="en-US" w:eastAsia="zh-CN"/>
                    </w:rPr>
                  </w:pPr>
                  <w:r>
                    <w:rPr>
                      <w:rFonts w:hint="eastAsia"/>
                      <w:color w:val="auto"/>
                      <w:highlight w:val="none"/>
                      <w:u w:val="none"/>
                      <w:lang w:val="en-US" w:eastAsia="zh-CN"/>
                    </w:rPr>
                    <w:t>食品添加剂、调味料、水处理剂包装袋</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95362">
                  <w:pPr>
                    <w:pStyle w:val="37"/>
                    <w:keepNext w:val="0"/>
                    <w:keepLines w:val="0"/>
                    <w:suppressLineNumbers w:val="0"/>
                    <w:bidi w:val="0"/>
                    <w:spacing w:before="0" w:beforeAutospacing="0" w:after="0" w:afterAutospacing="0"/>
                    <w:ind w:left="0" w:right="0"/>
                    <w:jc w:val="center"/>
                    <w:rPr>
                      <w:rFonts w:hint="default"/>
                      <w:color w:val="auto"/>
                      <w:highlight w:val="none"/>
                      <w:u w:val="none"/>
                    </w:rPr>
                  </w:pPr>
                  <w:r>
                    <w:rPr>
                      <w:rFonts w:hint="eastAsia"/>
                      <w:color w:val="auto"/>
                      <w:highlight w:val="none"/>
                      <w:u w:val="none"/>
                      <w:lang w:val="en-US" w:eastAsia="zh-CN"/>
                    </w:rPr>
                    <w:t>普通</w:t>
                  </w:r>
                  <w:r>
                    <w:rPr>
                      <w:rFonts w:hint="default"/>
                      <w:color w:val="auto"/>
                      <w:highlight w:val="none"/>
                      <w:u w:val="none"/>
                      <w:lang w:val="en-US" w:eastAsia="zh-CN"/>
                    </w:rPr>
                    <w:t>废包装袋</w:t>
                  </w:r>
                </w:p>
              </w:tc>
              <w:tc>
                <w:tcPr>
                  <w:tcW w:w="999" w:type="pct"/>
                  <w:vMerge w:val="restart"/>
                  <w:tcBorders>
                    <w:top w:val="single" w:color="000000" w:sz="4" w:space="0"/>
                    <w:left w:val="single" w:color="000000" w:sz="4" w:space="0"/>
                    <w:right w:val="single" w:color="000000" w:sz="4" w:space="0"/>
                  </w:tcBorders>
                  <w:shd w:val="clear" w:color="auto" w:fill="auto"/>
                  <w:vAlign w:val="center"/>
                </w:tcPr>
                <w:p w14:paraId="31ED55AA">
                  <w:pPr>
                    <w:pStyle w:val="37"/>
                    <w:keepNext w:val="0"/>
                    <w:keepLines w:val="0"/>
                    <w:suppressLineNumbers w:val="0"/>
                    <w:bidi w:val="0"/>
                    <w:spacing w:before="0" w:beforeAutospacing="0" w:after="0" w:afterAutospacing="0"/>
                    <w:ind w:left="0" w:right="0"/>
                    <w:jc w:val="center"/>
                    <w:rPr>
                      <w:rFonts w:hint="default" w:eastAsia="宋体"/>
                      <w:color w:val="auto"/>
                      <w:highlight w:val="none"/>
                      <w:u w:val="none"/>
                      <w:lang w:val="en-US" w:eastAsia="zh-CN"/>
                    </w:rPr>
                  </w:pPr>
                  <w:r>
                    <w:rPr>
                      <w:rFonts w:hint="eastAsia"/>
                      <w:color w:val="auto"/>
                      <w:highlight w:val="none"/>
                      <w:u w:val="none"/>
                      <w:lang w:val="en-US" w:eastAsia="zh-CN"/>
                    </w:rPr>
                    <w:t>一般固废</w:t>
                  </w:r>
                </w:p>
              </w:tc>
              <w:tc>
                <w:tcPr>
                  <w:tcW w:w="1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9E9BE">
                  <w:pPr>
                    <w:pStyle w:val="37"/>
                    <w:keepNext w:val="0"/>
                    <w:keepLines w:val="0"/>
                    <w:suppressLineNumbers w:val="0"/>
                    <w:bidi w:val="0"/>
                    <w:spacing w:before="0" w:beforeAutospacing="0" w:after="0" w:afterAutospacing="0"/>
                    <w:ind w:left="0" w:right="0"/>
                    <w:jc w:val="center"/>
                    <w:rPr>
                      <w:rFonts w:hint="default"/>
                      <w:color w:val="auto"/>
                      <w:highlight w:val="none"/>
                      <w:u w:val="none"/>
                    </w:rPr>
                  </w:pPr>
                  <w:r>
                    <w:rPr>
                      <w:rFonts w:hint="default"/>
                      <w:color w:val="auto"/>
                      <w:highlight w:val="none"/>
                      <w:u w:val="none"/>
                      <w:lang w:val="en-US" w:eastAsia="zh-CN"/>
                    </w:rPr>
                    <w:t>收集后外售综合利用</w:t>
                  </w:r>
                </w:p>
              </w:tc>
            </w:tr>
            <w:tr w14:paraId="31F14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275908">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vMerge w:val="restart"/>
                  <w:tcBorders>
                    <w:top w:val="single" w:color="000000" w:sz="4" w:space="0"/>
                    <w:left w:val="single" w:color="000000" w:sz="4" w:space="0"/>
                    <w:right w:val="single" w:color="000000" w:sz="4" w:space="0"/>
                  </w:tcBorders>
                  <w:shd w:val="clear" w:color="auto" w:fill="auto"/>
                  <w:vAlign w:val="center"/>
                </w:tcPr>
                <w:p w14:paraId="57CB1B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生物质锅炉</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D12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olor w:val="auto"/>
                      <w:highlight w:val="none"/>
                      <w:u w:val="none"/>
                      <w:lang w:val="en-US" w:eastAsia="zh-CN"/>
                    </w:rPr>
                  </w:pPr>
                  <w:r>
                    <w:rPr>
                      <w:rFonts w:hint="default" w:ascii="Times New Roman" w:hAnsi="Times New Roman" w:cs="Times New Roman"/>
                      <w:i w:val="0"/>
                      <w:iCs w:val="0"/>
                      <w:color w:val="auto"/>
                      <w:kern w:val="0"/>
                      <w:sz w:val="21"/>
                      <w:szCs w:val="21"/>
                      <w:highlight w:val="none"/>
                      <w:u w:val="none"/>
                      <w:lang w:val="en-US" w:eastAsia="zh-CN" w:bidi="ar"/>
                    </w:rPr>
                    <w:t>除尘系统收尘灰</w:t>
                  </w:r>
                </w:p>
              </w:tc>
              <w:tc>
                <w:tcPr>
                  <w:tcW w:w="999" w:type="pct"/>
                  <w:vMerge w:val="continue"/>
                  <w:tcBorders>
                    <w:left w:val="single" w:color="000000" w:sz="4" w:space="0"/>
                    <w:right w:val="single" w:color="000000" w:sz="4" w:space="0"/>
                  </w:tcBorders>
                  <w:shd w:val="clear" w:color="auto" w:fill="auto"/>
                  <w:vAlign w:val="center"/>
                </w:tcPr>
                <w:p w14:paraId="47EFD8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olor w:val="auto"/>
                      <w:highlight w:val="none"/>
                      <w:u w:val="none"/>
                      <w:lang w:val="en-US" w:eastAsia="zh-CN"/>
                    </w:rPr>
                  </w:pPr>
                </w:p>
              </w:tc>
              <w:tc>
                <w:tcPr>
                  <w:tcW w:w="1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7F2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olor w:val="auto"/>
                      <w:highlight w:val="none"/>
                      <w:u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收集后</w:t>
                  </w:r>
                  <w:r>
                    <w:rPr>
                      <w:rFonts w:hint="eastAsia" w:cs="Times New Roman"/>
                      <w:i w:val="0"/>
                      <w:iCs w:val="0"/>
                      <w:color w:val="auto"/>
                      <w:kern w:val="0"/>
                      <w:sz w:val="21"/>
                      <w:szCs w:val="21"/>
                      <w:highlight w:val="none"/>
                      <w:u w:val="none"/>
                      <w:lang w:val="en-US" w:eastAsia="zh-CN" w:bidi="ar"/>
                    </w:rPr>
                    <w:t>外售作农肥</w:t>
                  </w:r>
                </w:p>
              </w:tc>
            </w:tr>
            <w:tr w14:paraId="60E26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jc w:val="center"/>
              </w:trPr>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4EDA52">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vMerge w:val="continue"/>
                  <w:tcBorders>
                    <w:left w:val="single" w:color="000000" w:sz="4" w:space="0"/>
                    <w:bottom w:val="single" w:color="000000" w:sz="4" w:space="0"/>
                    <w:right w:val="single" w:color="000000" w:sz="4" w:space="0"/>
                  </w:tcBorders>
                  <w:shd w:val="clear" w:color="auto" w:fill="auto"/>
                  <w:vAlign w:val="center"/>
                </w:tcPr>
                <w:p w14:paraId="3B3947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F48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炉渣</w:t>
                  </w:r>
                </w:p>
              </w:tc>
              <w:tc>
                <w:tcPr>
                  <w:tcW w:w="999" w:type="pct"/>
                  <w:vMerge w:val="continue"/>
                  <w:tcBorders>
                    <w:left w:val="single" w:color="000000" w:sz="4" w:space="0"/>
                    <w:right w:val="single" w:color="000000" w:sz="4" w:space="0"/>
                  </w:tcBorders>
                  <w:shd w:val="clear" w:color="auto" w:fill="auto"/>
                  <w:vAlign w:val="center"/>
                </w:tcPr>
                <w:p w14:paraId="627A7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777" w:type="pct"/>
                  <w:tcBorders>
                    <w:top w:val="single" w:color="000000" w:sz="4" w:space="0"/>
                    <w:left w:val="single" w:color="000000" w:sz="4" w:space="0"/>
                    <w:bottom w:val="single" w:color="auto" w:sz="4" w:space="0"/>
                    <w:right w:val="single" w:color="000000" w:sz="4" w:space="0"/>
                  </w:tcBorders>
                  <w:shd w:val="clear" w:color="auto" w:fill="auto"/>
                  <w:vAlign w:val="center"/>
                </w:tcPr>
                <w:p w14:paraId="238D35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收集后</w:t>
                  </w:r>
                  <w:r>
                    <w:rPr>
                      <w:rFonts w:hint="eastAsia" w:cs="Times New Roman"/>
                      <w:i w:val="0"/>
                      <w:iCs w:val="0"/>
                      <w:color w:val="auto"/>
                      <w:kern w:val="0"/>
                      <w:sz w:val="21"/>
                      <w:szCs w:val="21"/>
                      <w:highlight w:val="none"/>
                      <w:u w:val="none"/>
                      <w:lang w:val="en-US" w:eastAsia="zh-CN" w:bidi="ar"/>
                    </w:rPr>
                    <w:t>外售作农肥</w:t>
                  </w:r>
                </w:p>
              </w:tc>
            </w:tr>
            <w:tr w14:paraId="5BDAC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jc w:val="center"/>
              </w:trPr>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CC0AD9">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vMerge w:val="restart"/>
                  <w:tcBorders>
                    <w:left w:val="single" w:color="000000" w:sz="4" w:space="0"/>
                    <w:right w:val="single" w:color="000000" w:sz="4" w:space="0"/>
                  </w:tcBorders>
                  <w:shd w:val="clear" w:color="auto" w:fill="auto"/>
                  <w:vAlign w:val="center"/>
                </w:tcPr>
                <w:p w14:paraId="71A575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污水处理站</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01D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污泥</w:t>
                  </w:r>
                </w:p>
              </w:tc>
              <w:tc>
                <w:tcPr>
                  <w:tcW w:w="999" w:type="pct"/>
                  <w:vMerge w:val="continue"/>
                  <w:tcBorders>
                    <w:left w:val="single" w:color="000000" w:sz="4" w:space="0"/>
                    <w:right w:val="single" w:color="000000" w:sz="4" w:space="0"/>
                  </w:tcBorders>
                  <w:shd w:val="clear" w:color="auto" w:fill="auto"/>
                  <w:vAlign w:val="center"/>
                </w:tcPr>
                <w:p w14:paraId="6FFC2D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777" w:type="pct"/>
                  <w:vMerge w:val="restart"/>
                  <w:tcBorders>
                    <w:top w:val="single" w:color="000000" w:sz="4" w:space="0"/>
                    <w:left w:val="single" w:color="000000" w:sz="4" w:space="0"/>
                    <w:right w:val="single" w:color="000000" w:sz="4" w:space="0"/>
                  </w:tcBorders>
                  <w:shd w:val="clear" w:color="auto" w:fill="auto"/>
                  <w:vAlign w:val="center"/>
                </w:tcPr>
                <w:p w14:paraId="10F523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送垃圾焚烧发电厂焚烧</w:t>
                  </w:r>
                </w:p>
              </w:tc>
            </w:tr>
            <w:tr w14:paraId="0B10F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jc w:val="center"/>
              </w:trPr>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00259C">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vMerge w:val="continue"/>
                  <w:tcBorders>
                    <w:left w:val="single" w:color="000000" w:sz="4" w:space="0"/>
                    <w:bottom w:val="single" w:color="auto" w:sz="4" w:space="0"/>
                    <w:right w:val="single" w:color="000000" w:sz="4" w:space="0"/>
                  </w:tcBorders>
                  <w:shd w:val="clear" w:color="auto" w:fill="auto"/>
                  <w:vAlign w:val="center"/>
                </w:tcPr>
                <w:p w14:paraId="594BA9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i w:val="0"/>
                      <w:iCs w:val="0"/>
                      <w:color w:val="auto"/>
                      <w:kern w:val="0"/>
                      <w:sz w:val="21"/>
                      <w:szCs w:val="21"/>
                      <w:highlight w:val="none"/>
                      <w:u w:val="none"/>
                      <w:lang w:val="en-US" w:eastAsia="zh-CN" w:bidi="ar"/>
                    </w:rPr>
                  </w:pP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E53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栅渣</w:t>
                  </w:r>
                </w:p>
              </w:tc>
              <w:tc>
                <w:tcPr>
                  <w:tcW w:w="999" w:type="pct"/>
                  <w:vMerge w:val="continue"/>
                  <w:tcBorders>
                    <w:left w:val="single" w:color="000000" w:sz="4" w:space="0"/>
                    <w:right w:val="single" w:color="000000" w:sz="4" w:space="0"/>
                  </w:tcBorders>
                  <w:shd w:val="clear" w:color="auto" w:fill="auto"/>
                  <w:vAlign w:val="center"/>
                </w:tcPr>
                <w:p w14:paraId="382AD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777" w:type="pct"/>
                  <w:vMerge w:val="continue"/>
                  <w:tcBorders>
                    <w:left w:val="single" w:color="000000" w:sz="4" w:space="0"/>
                    <w:bottom w:val="single" w:color="auto" w:sz="4" w:space="0"/>
                    <w:right w:val="single" w:color="000000" w:sz="4" w:space="0"/>
                  </w:tcBorders>
                  <w:shd w:val="clear" w:color="auto" w:fill="auto"/>
                  <w:vAlign w:val="center"/>
                </w:tcPr>
                <w:p w14:paraId="5F2C46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r>
            <w:tr w14:paraId="1CBAD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111B159E">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EED0981">
                  <w:pPr>
                    <w:pStyle w:val="37"/>
                    <w:keepNext w:val="0"/>
                    <w:keepLines w:val="0"/>
                    <w:suppressLineNumbers w:val="0"/>
                    <w:bidi w:val="0"/>
                    <w:spacing w:before="0" w:beforeAutospacing="0" w:after="0" w:afterAutospacing="0"/>
                    <w:ind w:left="0" w:leftChars="0" w:right="0" w:rightChars="0"/>
                    <w:jc w:val="center"/>
                    <w:rPr>
                      <w:rFonts w:hint="default"/>
                      <w:color w:val="auto"/>
                      <w:highlight w:val="none"/>
                      <w:u w:val="none"/>
                      <w:lang w:val="en-US" w:eastAsia="zh-CN"/>
                    </w:rPr>
                  </w:pPr>
                  <w:r>
                    <w:rPr>
                      <w:rFonts w:hint="eastAsia"/>
                      <w:color w:val="auto"/>
                      <w:highlight w:val="none"/>
                      <w:u w:val="none"/>
                      <w:lang w:val="en-US" w:eastAsia="zh-CN"/>
                    </w:rPr>
                    <w:t>纯水制备</w:t>
                  </w:r>
                </w:p>
              </w:tc>
              <w:tc>
                <w:tcPr>
                  <w:tcW w:w="985" w:type="pct"/>
                  <w:tcBorders>
                    <w:top w:val="single" w:color="000000" w:sz="4" w:space="0"/>
                    <w:left w:val="single" w:color="auto" w:sz="4" w:space="0"/>
                    <w:bottom w:val="single" w:color="000000" w:sz="4" w:space="0"/>
                    <w:right w:val="single" w:color="000000" w:sz="4" w:space="0"/>
                  </w:tcBorders>
                  <w:shd w:val="clear" w:color="auto" w:fill="auto"/>
                  <w:vAlign w:val="center"/>
                </w:tcPr>
                <w:p w14:paraId="3C4C89BB">
                  <w:pPr>
                    <w:pStyle w:val="37"/>
                    <w:keepNext w:val="0"/>
                    <w:keepLines w:val="0"/>
                    <w:suppressLineNumbers w:val="0"/>
                    <w:bidi w:val="0"/>
                    <w:spacing w:before="0" w:beforeAutospacing="0" w:after="0" w:afterAutospacing="0"/>
                    <w:ind w:left="0" w:leftChars="0" w:right="0" w:rightChars="0"/>
                    <w:jc w:val="center"/>
                    <w:rPr>
                      <w:rFonts w:hint="default"/>
                      <w:color w:val="auto"/>
                      <w:highlight w:val="none"/>
                      <w:u w:val="none"/>
                      <w:lang w:val="en-US" w:eastAsia="zh-CN"/>
                    </w:rPr>
                  </w:pPr>
                  <w:r>
                    <w:rPr>
                      <w:rFonts w:hint="eastAsia"/>
                      <w:color w:val="auto"/>
                      <w:highlight w:val="none"/>
                      <w:u w:val="none"/>
                      <w:lang w:val="en-US" w:eastAsia="zh-CN"/>
                    </w:rPr>
                    <w:t>废活性炭</w:t>
                  </w:r>
                </w:p>
              </w:tc>
              <w:tc>
                <w:tcPr>
                  <w:tcW w:w="999" w:type="pct"/>
                  <w:vMerge w:val="continue"/>
                  <w:tcBorders>
                    <w:left w:val="single" w:color="000000" w:sz="4" w:space="0"/>
                    <w:right w:val="single" w:color="auto" w:sz="4" w:space="0"/>
                  </w:tcBorders>
                  <w:shd w:val="clear" w:color="auto" w:fill="auto"/>
                  <w:vAlign w:val="center"/>
                </w:tcPr>
                <w:p w14:paraId="6F44E3CE">
                  <w:pPr>
                    <w:pStyle w:val="37"/>
                    <w:keepNext w:val="0"/>
                    <w:keepLines w:val="0"/>
                    <w:suppressLineNumbers w:val="0"/>
                    <w:bidi w:val="0"/>
                    <w:spacing w:before="0" w:beforeAutospacing="0" w:after="0" w:afterAutospacing="0"/>
                    <w:ind w:left="0" w:leftChars="0" w:right="0" w:rightChars="0"/>
                    <w:jc w:val="center"/>
                    <w:rPr>
                      <w:rFonts w:hint="default"/>
                      <w:color w:val="auto"/>
                      <w:highlight w:val="none"/>
                      <w:u w:val="none"/>
                      <w:lang w:val="en-US" w:eastAsia="zh-CN"/>
                    </w:rPr>
                  </w:pPr>
                </w:p>
              </w:tc>
              <w:tc>
                <w:tcPr>
                  <w:tcW w:w="1777" w:type="pct"/>
                  <w:vMerge w:val="restart"/>
                  <w:tcBorders>
                    <w:top w:val="single" w:color="auto" w:sz="4" w:space="0"/>
                    <w:left w:val="single" w:color="auto" w:sz="4" w:space="0"/>
                    <w:right w:val="single" w:color="auto" w:sz="4" w:space="0"/>
                  </w:tcBorders>
                  <w:shd w:val="clear" w:color="auto" w:fill="auto"/>
                  <w:vAlign w:val="center"/>
                </w:tcPr>
                <w:p w14:paraId="4CE46BA5">
                  <w:pPr>
                    <w:pStyle w:val="37"/>
                    <w:keepNext w:val="0"/>
                    <w:keepLines w:val="0"/>
                    <w:suppressLineNumbers w:val="0"/>
                    <w:bidi w:val="0"/>
                    <w:spacing w:before="0" w:beforeAutospacing="0" w:after="0" w:afterAutospacing="0"/>
                    <w:ind w:left="0" w:right="0"/>
                    <w:jc w:val="center"/>
                    <w:rPr>
                      <w:rFonts w:hint="default" w:eastAsia="宋体"/>
                      <w:color w:val="auto"/>
                      <w:highlight w:val="none"/>
                      <w:u w:val="none"/>
                      <w:lang w:val="en-US" w:eastAsia="zh-CN"/>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交由物资回收单位综合利用</w:t>
                  </w:r>
                </w:p>
              </w:tc>
            </w:tr>
            <w:tr w14:paraId="153BC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6" w:hRule="atLeast"/>
                <w:jc w:val="center"/>
              </w:trPr>
              <w:tc>
                <w:tcPr>
                  <w:tcW w:w="435"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11AF79C6">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B193E0F">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985" w:type="pct"/>
                  <w:tcBorders>
                    <w:top w:val="single" w:color="000000" w:sz="4" w:space="0"/>
                    <w:left w:val="single" w:color="auto" w:sz="4" w:space="0"/>
                    <w:bottom w:val="single" w:color="000000" w:sz="4" w:space="0"/>
                    <w:right w:val="single" w:color="000000" w:sz="4" w:space="0"/>
                  </w:tcBorders>
                  <w:shd w:val="clear" w:color="auto" w:fill="auto"/>
                  <w:vAlign w:val="center"/>
                </w:tcPr>
                <w:p w14:paraId="7851B570">
                  <w:pPr>
                    <w:pStyle w:val="37"/>
                    <w:keepNext w:val="0"/>
                    <w:keepLines w:val="0"/>
                    <w:suppressLineNumbers w:val="0"/>
                    <w:bidi w:val="0"/>
                    <w:spacing w:before="0" w:beforeAutospacing="0" w:after="0" w:afterAutospacing="0"/>
                    <w:ind w:left="0" w:right="0"/>
                    <w:jc w:val="center"/>
                    <w:rPr>
                      <w:rFonts w:hint="eastAsia" w:eastAsia="宋体"/>
                      <w:color w:val="auto"/>
                      <w:highlight w:val="none"/>
                      <w:lang w:val="en-US" w:eastAsia="zh-CN"/>
                    </w:rPr>
                  </w:pPr>
                  <w:r>
                    <w:rPr>
                      <w:rFonts w:hint="eastAsia"/>
                      <w:color w:val="auto"/>
                      <w:highlight w:val="none"/>
                      <w:lang w:val="en-US" w:eastAsia="zh-CN"/>
                    </w:rPr>
                    <w:t>废过滤膜</w:t>
                  </w:r>
                </w:p>
              </w:tc>
              <w:tc>
                <w:tcPr>
                  <w:tcW w:w="999" w:type="pct"/>
                  <w:vMerge w:val="continue"/>
                  <w:tcBorders>
                    <w:left w:val="single" w:color="000000" w:sz="4" w:space="0"/>
                    <w:right w:val="single" w:color="auto" w:sz="4" w:space="0"/>
                  </w:tcBorders>
                  <w:shd w:val="clear" w:color="auto" w:fill="auto"/>
                  <w:vAlign w:val="center"/>
                </w:tcPr>
                <w:p w14:paraId="40640282">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1777" w:type="pct"/>
                  <w:vMerge w:val="continue"/>
                  <w:tcBorders>
                    <w:left w:val="single" w:color="auto" w:sz="4" w:space="0"/>
                    <w:right w:val="single" w:color="auto" w:sz="4" w:space="0"/>
                  </w:tcBorders>
                  <w:shd w:val="clear" w:color="auto" w:fill="auto"/>
                  <w:vAlign w:val="center"/>
                </w:tcPr>
                <w:p w14:paraId="59D46374">
                  <w:pPr>
                    <w:pStyle w:val="37"/>
                    <w:keepNext w:val="0"/>
                    <w:keepLines w:val="0"/>
                    <w:suppressLineNumbers w:val="0"/>
                    <w:bidi w:val="0"/>
                    <w:spacing w:before="0" w:beforeAutospacing="0" w:after="0" w:afterAutospacing="0"/>
                    <w:ind w:left="0" w:right="0"/>
                    <w:jc w:val="center"/>
                    <w:rPr>
                      <w:rFonts w:hint="default" w:eastAsia="宋体"/>
                      <w:color w:val="auto"/>
                      <w:highlight w:val="none"/>
                      <w:lang w:val="en-US" w:eastAsia="zh-CN"/>
                    </w:rPr>
                  </w:pPr>
                </w:p>
              </w:tc>
            </w:tr>
            <w:tr w14:paraId="36A5ED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5" w:hRule="atLeast"/>
                <w:jc w:val="center"/>
              </w:trPr>
              <w:tc>
                <w:tcPr>
                  <w:tcW w:w="435"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0E491A6C">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D4AC9A4">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985" w:type="pct"/>
                  <w:tcBorders>
                    <w:top w:val="single" w:color="000000" w:sz="4" w:space="0"/>
                    <w:left w:val="single" w:color="auto" w:sz="4" w:space="0"/>
                    <w:bottom w:val="single" w:color="000000" w:sz="4" w:space="0"/>
                    <w:right w:val="single" w:color="000000" w:sz="4" w:space="0"/>
                  </w:tcBorders>
                  <w:shd w:val="clear" w:color="auto" w:fill="auto"/>
                  <w:vAlign w:val="center"/>
                </w:tcPr>
                <w:p w14:paraId="6CE3EC4F">
                  <w:pPr>
                    <w:pStyle w:val="37"/>
                    <w:keepNext w:val="0"/>
                    <w:keepLines w:val="0"/>
                    <w:suppressLineNumbers w:val="0"/>
                    <w:bidi w:val="0"/>
                    <w:spacing w:before="0" w:beforeAutospacing="0" w:after="0" w:afterAutospacing="0"/>
                    <w:ind w:left="0" w:right="0"/>
                    <w:jc w:val="center"/>
                    <w:rPr>
                      <w:rFonts w:hint="eastAsia" w:eastAsia="宋体"/>
                      <w:color w:val="auto"/>
                      <w:highlight w:val="none"/>
                      <w:lang w:val="en-US" w:eastAsia="zh-CN"/>
                    </w:rPr>
                  </w:pPr>
                  <w:r>
                    <w:rPr>
                      <w:rFonts w:hint="eastAsia"/>
                      <w:color w:val="auto"/>
                      <w:highlight w:val="none"/>
                      <w:lang w:val="en-US" w:eastAsia="zh-CN"/>
                    </w:rPr>
                    <w:t>废滤芯</w:t>
                  </w:r>
                </w:p>
              </w:tc>
              <w:tc>
                <w:tcPr>
                  <w:tcW w:w="999" w:type="pct"/>
                  <w:vMerge w:val="continue"/>
                  <w:tcBorders>
                    <w:left w:val="single" w:color="000000" w:sz="4" w:space="0"/>
                    <w:right w:val="single" w:color="auto" w:sz="4" w:space="0"/>
                  </w:tcBorders>
                  <w:shd w:val="clear" w:color="auto" w:fill="auto"/>
                  <w:vAlign w:val="center"/>
                </w:tcPr>
                <w:p w14:paraId="5424FB8E">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1777" w:type="pct"/>
                  <w:vMerge w:val="continue"/>
                  <w:tcBorders>
                    <w:left w:val="single" w:color="auto" w:sz="4" w:space="0"/>
                    <w:right w:val="single" w:color="auto" w:sz="4" w:space="0"/>
                  </w:tcBorders>
                  <w:shd w:val="clear" w:color="auto" w:fill="auto"/>
                  <w:vAlign w:val="center"/>
                </w:tcPr>
                <w:p w14:paraId="075599CF">
                  <w:pPr>
                    <w:pStyle w:val="37"/>
                    <w:keepNext w:val="0"/>
                    <w:keepLines w:val="0"/>
                    <w:suppressLineNumbers w:val="0"/>
                    <w:bidi w:val="0"/>
                    <w:spacing w:before="0" w:beforeAutospacing="0" w:after="0" w:afterAutospacing="0"/>
                    <w:ind w:left="0" w:right="0"/>
                    <w:jc w:val="center"/>
                    <w:rPr>
                      <w:rFonts w:hint="default" w:eastAsia="宋体"/>
                      <w:color w:val="auto"/>
                      <w:highlight w:val="none"/>
                      <w:lang w:val="en-US" w:eastAsia="zh-CN"/>
                    </w:rPr>
                  </w:pPr>
                </w:p>
              </w:tc>
            </w:tr>
            <w:tr w14:paraId="05927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3BD4CD7E">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007802A">
                  <w:pPr>
                    <w:pStyle w:val="37"/>
                    <w:keepNext w:val="0"/>
                    <w:keepLines w:val="0"/>
                    <w:suppressLineNumbers w:val="0"/>
                    <w:bidi w:val="0"/>
                    <w:spacing w:before="0" w:beforeAutospacing="0" w:after="0" w:afterAutospacing="0"/>
                    <w:ind w:left="0" w:leftChars="0" w:right="0" w:rightChars="0"/>
                    <w:jc w:val="center"/>
                    <w:rPr>
                      <w:rFonts w:hint="default"/>
                      <w:color w:val="auto"/>
                      <w:highlight w:val="none"/>
                      <w:lang w:val="en-US" w:eastAsia="zh-CN"/>
                    </w:rPr>
                  </w:pPr>
                  <w:r>
                    <w:rPr>
                      <w:rFonts w:hint="eastAsia"/>
                      <w:color w:val="auto"/>
                      <w:highlight w:val="none"/>
                      <w:lang w:val="en-US" w:eastAsia="zh-CN"/>
                    </w:rPr>
                    <w:t>设备维修</w:t>
                  </w:r>
                </w:p>
              </w:tc>
              <w:tc>
                <w:tcPr>
                  <w:tcW w:w="985" w:type="pct"/>
                  <w:tcBorders>
                    <w:top w:val="single" w:color="000000" w:sz="4" w:space="0"/>
                    <w:left w:val="single" w:color="auto" w:sz="4" w:space="0"/>
                    <w:bottom w:val="single" w:color="000000" w:sz="4" w:space="0"/>
                    <w:right w:val="single" w:color="000000" w:sz="4" w:space="0"/>
                  </w:tcBorders>
                  <w:shd w:val="clear" w:color="auto" w:fill="auto"/>
                  <w:vAlign w:val="center"/>
                </w:tcPr>
                <w:p w14:paraId="6B640FAF">
                  <w:pPr>
                    <w:pStyle w:val="37"/>
                    <w:keepNext w:val="0"/>
                    <w:keepLines w:val="0"/>
                    <w:suppressLineNumbers w:val="0"/>
                    <w:bidi w:val="0"/>
                    <w:spacing w:before="0" w:beforeAutospacing="0" w:after="0" w:afterAutospacing="0"/>
                    <w:ind w:left="0" w:leftChars="0" w:right="0" w:rightChars="0"/>
                    <w:jc w:val="center"/>
                    <w:rPr>
                      <w:rFonts w:hint="default"/>
                      <w:color w:val="auto"/>
                      <w:highlight w:val="none"/>
                      <w:lang w:val="en-US" w:eastAsia="zh-CN"/>
                    </w:rPr>
                  </w:pPr>
                  <w:r>
                    <w:rPr>
                      <w:rFonts w:hint="eastAsia"/>
                      <w:color w:val="auto"/>
                      <w:highlight w:val="none"/>
                      <w:lang w:val="en-US" w:eastAsia="zh-CN"/>
                    </w:rPr>
                    <w:t>废机油、废油桶</w:t>
                  </w:r>
                </w:p>
              </w:tc>
              <w:tc>
                <w:tcPr>
                  <w:tcW w:w="999" w:type="pct"/>
                  <w:vMerge w:val="restart"/>
                  <w:tcBorders>
                    <w:left w:val="single" w:color="000000" w:sz="4" w:space="0"/>
                    <w:right w:val="single" w:color="000000" w:sz="4" w:space="0"/>
                  </w:tcBorders>
                  <w:shd w:val="clear" w:color="auto" w:fill="auto"/>
                  <w:vAlign w:val="center"/>
                </w:tcPr>
                <w:p w14:paraId="4771C41B">
                  <w:pPr>
                    <w:pStyle w:val="37"/>
                    <w:keepNext w:val="0"/>
                    <w:keepLines w:val="0"/>
                    <w:suppressLineNumbers w:val="0"/>
                    <w:bidi w:val="0"/>
                    <w:spacing w:before="0" w:beforeAutospacing="0" w:after="0" w:afterAutospacing="0"/>
                    <w:ind w:left="0" w:leftChars="0" w:right="0" w:rightChars="0"/>
                    <w:jc w:val="center"/>
                    <w:rPr>
                      <w:rFonts w:hint="default"/>
                      <w:color w:val="auto"/>
                      <w:highlight w:val="none"/>
                      <w:lang w:val="en-US" w:eastAsia="zh-CN"/>
                    </w:rPr>
                  </w:pPr>
                  <w:r>
                    <w:rPr>
                      <w:rFonts w:hint="eastAsia"/>
                      <w:color w:val="auto"/>
                      <w:highlight w:val="none"/>
                      <w:lang w:val="en-US" w:eastAsia="zh-CN"/>
                    </w:rPr>
                    <w:t>危险废物</w:t>
                  </w:r>
                </w:p>
              </w:tc>
              <w:tc>
                <w:tcPr>
                  <w:tcW w:w="1777" w:type="pct"/>
                  <w:vMerge w:val="restart"/>
                  <w:tcBorders>
                    <w:top w:val="single" w:color="auto" w:sz="4" w:space="0"/>
                    <w:left w:val="single" w:color="000000" w:sz="4" w:space="0"/>
                    <w:right w:val="single" w:color="000000" w:sz="4" w:space="0"/>
                  </w:tcBorders>
                  <w:shd w:val="clear" w:color="auto" w:fill="auto"/>
                  <w:vAlign w:val="center"/>
                </w:tcPr>
                <w:p w14:paraId="254F38A2">
                  <w:pPr>
                    <w:pStyle w:val="37"/>
                    <w:keepNext w:val="0"/>
                    <w:keepLines w:val="0"/>
                    <w:suppressLineNumbers w:val="0"/>
                    <w:bidi w:val="0"/>
                    <w:spacing w:before="0" w:beforeAutospacing="0" w:after="0" w:afterAutospacing="0"/>
                    <w:ind w:left="0" w:right="0"/>
                    <w:jc w:val="center"/>
                    <w:rPr>
                      <w:rFonts w:hint="default" w:eastAsia="宋体"/>
                      <w:color w:val="auto"/>
                      <w:highlight w:val="none"/>
                      <w:lang w:val="en-US" w:eastAsia="zh-CN"/>
                    </w:rPr>
                  </w:pPr>
                  <w:r>
                    <w:rPr>
                      <w:rFonts w:hint="eastAsia"/>
                      <w:color w:val="auto"/>
                      <w:highlight w:val="none"/>
                      <w:lang w:val="en-US" w:eastAsia="zh-CN"/>
                    </w:rPr>
                    <w:t>交由有资质单位处置</w:t>
                  </w:r>
                </w:p>
              </w:tc>
            </w:tr>
            <w:tr w14:paraId="05D06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39DF1DD3">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F5D033D">
                  <w:pPr>
                    <w:pStyle w:val="37"/>
                    <w:keepNext w:val="0"/>
                    <w:keepLines w:val="0"/>
                    <w:suppressLineNumbers w:val="0"/>
                    <w:bidi w:val="0"/>
                    <w:spacing w:before="0" w:beforeAutospacing="0" w:after="0" w:afterAutospacing="0"/>
                    <w:ind w:left="0" w:leftChars="0" w:right="0" w:rightChars="0"/>
                    <w:jc w:val="center"/>
                    <w:rPr>
                      <w:rFonts w:hint="default"/>
                      <w:color w:val="auto"/>
                      <w:highlight w:val="none"/>
                      <w:lang w:val="en-US" w:eastAsia="zh-CN"/>
                    </w:rPr>
                  </w:pPr>
                </w:p>
              </w:tc>
              <w:tc>
                <w:tcPr>
                  <w:tcW w:w="985" w:type="pct"/>
                  <w:tcBorders>
                    <w:top w:val="single" w:color="000000" w:sz="4" w:space="0"/>
                    <w:left w:val="single" w:color="auto" w:sz="4" w:space="0"/>
                    <w:bottom w:val="single" w:color="000000" w:sz="4" w:space="0"/>
                    <w:right w:val="single" w:color="000000" w:sz="4" w:space="0"/>
                  </w:tcBorders>
                  <w:shd w:val="clear" w:color="auto" w:fill="auto"/>
                  <w:vAlign w:val="center"/>
                </w:tcPr>
                <w:p w14:paraId="342BC637">
                  <w:pPr>
                    <w:pStyle w:val="37"/>
                    <w:keepNext w:val="0"/>
                    <w:keepLines w:val="0"/>
                    <w:suppressLineNumbers w:val="0"/>
                    <w:bidi w:val="0"/>
                    <w:spacing w:before="0" w:beforeAutospacing="0" w:after="0" w:afterAutospacing="0"/>
                    <w:ind w:left="0" w:leftChars="0" w:right="0" w:rightChars="0"/>
                    <w:jc w:val="center"/>
                    <w:rPr>
                      <w:rFonts w:hint="default"/>
                      <w:color w:val="auto"/>
                      <w:highlight w:val="none"/>
                      <w:lang w:val="en-US" w:eastAsia="zh-CN"/>
                    </w:rPr>
                  </w:pPr>
                  <w:r>
                    <w:rPr>
                      <w:rFonts w:hint="eastAsia"/>
                      <w:color w:val="auto"/>
                      <w:highlight w:val="none"/>
                      <w:lang w:val="en-US" w:eastAsia="zh-CN"/>
                    </w:rPr>
                    <w:t>废含油抹布及手套</w:t>
                  </w:r>
                </w:p>
              </w:tc>
              <w:tc>
                <w:tcPr>
                  <w:tcW w:w="999" w:type="pct"/>
                  <w:vMerge w:val="continue"/>
                  <w:tcBorders>
                    <w:left w:val="single" w:color="000000" w:sz="4" w:space="0"/>
                    <w:bottom w:val="single" w:color="000000" w:sz="4" w:space="0"/>
                    <w:right w:val="single" w:color="000000" w:sz="4" w:space="0"/>
                  </w:tcBorders>
                  <w:shd w:val="clear" w:color="auto" w:fill="auto"/>
                  <w:vAlign w:val="center"/>
                </w:tcPr>
                <w:p w14:paraId="555B24A3">
                  <w:pPr>
                    <w:pStyle w:val="37"/>
                    <w:keepNext w:val="0"/>
                    <w:keepLines w:val="0"/>
                    <w:suppressLineNumbers w:val="0"/>
                    <w:bidi w:val="0"/>
                    <w:spacing w:before="0" w:beforeAutospacing="0" w:after="0" w:afterAutospacing="0"/>
                    <w:ind w:left="0" w:leftChars="0" w:right="0" w:rightChars="0"/>
                    <w:jc w:val="center"/>
                    <w:rPr>
                      <w:rFonts w:hint="default"/>
                      <w:color w:val="auto"/>
                      <w:highlight w:val="none"/>
                      <w:lang w:val="en-US" w:eastAsia="zh-CN"/>
                    </w:rPr>
                  </w:pPr>
                </w:p>
              </w:tc>
              <w:tc>
                <w:tcPr>
                  <w:tcW w:w="1777" w:type="pct"/>
                  <w:vMerge w:val="continue"/>
                  <w:tcBorders>
                    <w:left w:val="single" w:color="000000" w:sz="4" w:space="0"/>
                    <w:bottom w:val="single" w:color="000000" w:sz="4" w:space="0"/>
                    <w:right w:val="single" w:color="000000" w:sz="4" w:space="0"/>
                  </w:tcBorders>
                  <w:shd w:val="clear" w:color="auto" w:fill="auto"/>
                  <w:vAlign w:val="center"/>
                </w:tcPr>
                <w:p w14:paraId="3B869B53">
                  <w:pPr>
                    <w:pStyle w:val="37"/>
                    <w:keepNext w:val="0"/>
                    <w:keepLines w:val="0"/>
                    <w:suppressLineNumbers w:val="0"/>
                    <w:bidi w:val="0"/>
                    <w:spacing w:before="0" w:beforeAutospacing="0" w:after="0" w:afterAutospacing="0"/>
                    <w:ind w:left="0" w:right="0"/>
                    <w:jc w:val="center"/>
                    <w:rPr>
                      <w:rFonts w:hint="default"/>
                      <w:color w:val="auto"/>
                      <w:highlight w:val="none"/>
                    </w:rPr>
                  </w:pPr>
                </w:p>
              </w:tc>
            </w:tr>
            <w:tr w14:paraId="57A9FA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8" w:hRule="atLeast"/>
                <w:jc w:val="center"/>
              </w:trPr>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F41AF1">
                  <w:pPr>
                    <w:pStyle w:val="37"/>
                    <w:keepNext w:val="0"/>
                    <w:keepLines w:val="0"/>
                    <w:suppressLineNumbers w:val="0"/>
                    <w:bidi w:val="0"/>
                    <w:spacing w:before="0" w:beforeAutospacing="0" w:after="0" w:afterAutospacing="0"/>
                    <w:ind w:left="0" w:right="0"/>
                    <w:jc w:val="center"/>
                    <w:rPr>
                      <w:rFonts w:hint="default"/>
                      <w:color w:val="auto"/>
                      <w:highlight w:val="none"/>
                    </w:rPr>
                  </w:pPr>
                </w:p>
              </w:tc>
              <w:tc>
                <w:tcPr>
                  <w:tcW w:w="802" w:type="pct"/>
                  <w:tcBorders>
                    <w:top w:val="single" w:color="auto" w:sz="4" w:space="0"/>
                    <w:left w:val="single" w:color="000000" w:sz="4" w:space="0"/>
                    <w:bottom w:val="single" w:color="000000" w:sz="4" w:space="0"/>
                    <w:right w:val="single" w:color="000000" w:sz="4" w:space="0"/>
                  </w:tcBorders>
                  <w:shd w:val="clear" w:color="auto" w:fill="auto"/>
                  <w:vAlign w:val="center"/>
                </w:tcPr>
                <w:p w14:paraId="77EA6741">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职工生活</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0E895">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生活垃圾</w:t>
                  </w:r>
                </w:p>
              </w:tc>
              <w:tc>
                <w:tcPr>
                  <w:tcW w:w="9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C3069">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w:t>
                  </w:r>
                </w:p>
              </w:tc>
              <w:tc>
                <w:tcPr>
                  <w:tcW w:w="1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342D2">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交环卫部门统一处置</w:t>
                  </w:r>
                </w:p>
              </w:tc>
            </w:tr>
            <w:tr w14:paraId="17D9F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6" w:hRule="atLeast"/>
                <w:jc w:val="center"/>
              </w:trPr>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7BD13">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噪声</w:t>
                  </w:r>
                </w:p>
              </w:tc>
              <w:tc>
                <w:tcPr>
                  <w:tcW w:w="8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B9209">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设备运行</w:t>
                  </w:r>
                </w:p>
              </w:tc>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D4D6A">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设备噪声</w:t>
                  </w:r>
                </w:p>
              </w:tc>
              <w:tc>
                <w:tcPr>
                  <w:tcW w:w="9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ABED3">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w:t>
                  </w:r>
                </w:p>
              </w:tc>
              <w:tc>
                <w:tcPr>
                  <w:tcW w:w="1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CB1DC">
                  <w:pPr>
                    <w:pStyle w:val="37"/>
                    <w:keepNext w:val="0"/>
                    <w:keepLines w:val="0"/>
                    <w:suppressLineNumbers w:val="0"/>
                    <w:bidi w:val="0"/>
                    <w:spacing w:before="0" w:beforeAutospacing="0" w:after="0" w:afterAutospacing="0"/>
                    <w:ind w:left="0" w:right="0"/>
                    <w:jc w:val="center"/>
                    <w:rPr>
                      <w:rFonts w:hint="default"/>
                      <w:color w:val="auto"/>
                      <w:highlight w:val="none"/>
                    </w:rPr>
                  </w:pPr>
                  <w:r>
                    <w:rPr>
                      <w:rFonts w:hint="default"/>
                      <w:color w:val="auto"/>
                      <w:highlight w:val="none"/>
                      <w:lang w:val="en-US" w:eastAsia="zh-CN"/>
                    </w:rPr>
                    <w:t>隔声、减振等</w:t>
                  </w:r>
                </w:p>
              </w:tc>
            </w:tr>
          </w:tbl>
          <w:p w14:paraId="1F19F971">
            <w:pPr>
              <w:keepNext w:val="0"/>
              <w:keepLines w:val="0"/>
              <w:suppressLineNumbers w:val="0"/>
              <w:spacing w:before="0" w:beforeAutospacing="0" w:after="0" w:afterAutospacing="0" w:line="240" w:lineRule="auto"/>
              <w:ind w:left="0" w:right="0" w:firstLine="480"/>
              <w:rPr>
                <w:rFonts w:hint="default" w:cs="Times New Roman"/>
                <w:color w:val="auto"/>
                <w:sz w:val="24"/>
                <w:highlight w:val="yellow"/>
                <w:lang w:val="en-US" w:eastAsia="zh-CN"/>
              </w:rPr>
            </w:pPr>
          </w:p>
          <w:p w14:paraId="55A607C2">
            <w:pPr>
              <w:pStyle w:val="39"/>
              <w:keepNext w:val="0"/>
              <w:keepLines w:val="0"/>
              <w:numPr>
                <w:ilvl w:val="0"/>
                <w:numId w:val="0"/>
              </w:numPr>
              <w:suppressLineNumbers w:val="0"/>
              <w:bidi w:val="0"/>
              <w:spacing w:before="0" w:after="0"/>
              <w:ind w:left="0" w:leftChars="0" w:right="0" w:firstLine="0" w:firstLineChars="0"/>
              <w:jc w:val="both"/>
              <w:rPr>
                <w:rFonts w:hint="default" w:cs="Times New Roman"/>
                <w:color w:val="auto"/>
                <w:highlight w:val="yellow"/>
                <w:lang w:val="en-US" w:eastAsia="zh-CN"/>
              </w:rPr>
            </w:pPr>
          </w:p>
        </w:tc>
      </w:tr>
      <w:tr w14:paraId="5A7AC11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235" w:type="pct"/>
            <w:noWrap w:val="0"/>
            <w:vAlign w:val="center"/>
          </w:tcPr>
          <w:p w14:paraId="115345CB">
            <w:pPr>
              <w:pStyle w:val="24"/>
              <w:keepNext w:val="0"/>
              <w:keepLines w:val="0"/>
              <w:suppressLineNumbers w:val="0"/>
              <w:adjustRightInd w:val="0"/>
              <w:snapToGrid w:val="0"/>
              <w:spacing w:before="0" w:beforeLines="0" w:beforeAutospacing="0" w:after="0" w:afterAutospacing="0"/>
              <w:ind w:left="0" w:right="0"/>
              <w:jc w:val="center"/>
              <w:rPr>
                <w:rFonts w:hint="default" w:ascii="Times New Roman" w:hAnsi="Times New Roman" w:cs="Times New Roman"/>
                <w:color w:val="auto"/>
                <w:sz w:val="21"/>
                <w:szCs w:val="21"/>
                <w:highlight w:val="yellow"/>
              </w:rPr>
            </w:pPr>
            <w:r>
              <w:rPr>
                <w:rFonts w:hint="default" w:ascii="Times New Roman" w:hAnsi="Times New Roman" w:cs="Times New Roman"/>
                <w:bCs/>
                <w:color w:val="auto"/>
                <w:kern w:val="2"/>
                <w:sz w:val="21"/>
                <w:szCs w:val="21"/>
                <w:highlight w:val="none"/>
              </w:rPr>
              <w:t>与项目有关的</w:t>
            </w:r>
            <w:r>
              <w:rPr>
                <w:rFonts w:hint="default" w:ascii="Times New Roman" w:hAnsi="Times New Roman" w:cs="Times New Roman"/>
                <w:bCs/>
                <w:color w:val="auto"/>
                <w:kern w:val="2"/>
                <w:sz w:val="21"/>
                <w:szCs w:val="21"/>
                <w:highlight w:val="none"/>
                <w:lang w:val="en-US" w:eastAsia="zh-CN"/>
              </w:rPr>
              <w:t>现</w:t>
            </w:r>
            <w:r>
              <w:rPr>
                <w:rFonts w:hint="default" w:ascii="Times New Roman" w:hAnsi="Times New Roman" w:cs="Times New Roman"/>
                <w:bCs/>
                <w:color w:val="auto"/>
                <w:kern w:val="2"/>
                <w:sz w:val="21"/>
                <w:szCs w:val="21"/>
                <w:highlight w:val="none"/>
                <w:lang w:eastAsia="zh-CN"/>
              </w:rPr>
              <w:t>有</w:t>
            </w:r>
            <w:r>
              <w:rPr>
                <w:rFonts w:hint="default" w:ascii="Times New Roman" w:hAnsi="Times New Roman" w:cs="Times New Roman"/>
                <w:bCs/>
                <w:color w:val="auto"/>
                <w:kern w:val="2"/>
                <w:sz w:val="21"/>
                <w:szCs w:val="21"/>
                <w:highlight w:val="none"/>
              </w:rPr>
              <w:t>环境污染问题</w:t>
            </w:r>
          </w:p>
        </w:tc>
        <w:tc>
          <w:tcPr>
            <w:tcW w:w="4764" w:type="pct"/>
            <w:noWrap w:val="0"/>
            <w:vAlign w:val="top"/>
          </w:tcPr>
          <w:p w14:paraId="33111F19">
            <w:pPr>
              <w:keepNext w:val="0"/>
              <w:keepLines w:val="0"/>
              <w:suppressLineNumbers w:val="0"/>
              <w:bidi w:val="0"/>
              <w:adjustRightInd w:val="0"/>
              <w:snapToGrid w:val="0"/>
              <w:spacing w:before="0" w:beforeLines="0" w:beforeAutospacing="0" w:after="0" w:afterAutospacing="0" w:line="240" w:lineRule="auto"/>
              <w:ind w:left="0" w:right="0"/>
              <w:jc w:val="both"/>
              <w:rPr>
                <w:rFonts w:hint="default"/>
                <w:b/>
                <w:bCs/>
                <w:color w:val="auto"/>
                <w:sz w:val="21"/>
                <w:szCs w:val="21"/>
                <w:highlight w:val="yellow"/>
                <w:lang w:val="en-US" w:eastAsia="zh-CN"/>
              </w:rPr>
            </w:pPr>
          </w:p>
          <w:p w14:paraId="3B5CB6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cs="Times New Roman"/>
                <w:b w:val="0"/>
                <w:bCs w:val="0"/>
                <w:color w:val="auto"/>
                <w:highlight w:val="none"/>
                <w:lang w:val="en-US" w:eastAsia="zh-CN"/>
              </w:rPr>
            </w:pPr>
            <w:r>
              <w:rPr>
                <w:rFonts w:hint="default" w:ascii="Times New Roman" w:hAnsi="Times New Roman" w:cs="Times New Roman"/>
                <w:b w:val="0"/>
                <w:bCs w:val="0"/>
                <w:color w:val="auto"/>
                <w:highlight w:val="none"/>
                <w:lang w:val="en-US" w:eastAsia="zh-CN"/>
              </w:rPr>
              <w:t>本项目位于祁东县官家嘴镇官家嘴村，本项目占地范围已于2024年8月22日取得湖南省人民政府建设用地批复文件——《关于祁东县2024年第一批次集体土地农用地专用（增减挂钩）的批复》（湘政地[2024]1744号）</w:t>
            </w:r>
            <w:r>
              <w:rPr>
                <w:rFonts w:hint="eastAsia" w:ascii="Times New Roman" w:hAnsi="Times New Roman" w:cs="Times New Roman"/>
                <w:b w:val="0"/>
                <w:bCs w:val="0"/>
                <w:color w:val="auto"/>
                <w:highlight w:val="none"/>
                <w:lang w:val="en-US" w:eastAsia="zh-CN"/>
              </w:rPr>
              <w:t>，用地类型属于建设用地</w:t>
            </w:r>
            <w:r>
              <w:rPr>
                <w:rFonts w:hint="default" w:ascii="Times New Roman" w:hAnsi="Times New Roman" w:cs="Times New Roman"/>
                <w:b w:val="0"/>
                <w:bCs w:val="0"/>
                <w:color w:val="auto"/>
                <w:highlight w:val="none"/>
                <w:lang w:val="en-US" w:eastAsia="zh-CN"/>
              </w:rPr>
              <w:t>。本项目建设前占地范围用地现状为农田</w:t>
            </w:r>
            <w:r>
              <w:rPr>
                <w:rFonts w:hint="eastAsia" w:cs="Times New Roman"/>
                <w:b w:val="0"/>
                <w:bCs w:val="0"/>
                <w:color w:val="auto"/>
                <w:highlight w:val="none"/>
                <w:lang w:val="en-US" w:eastAsia="zh-CN"/>
              </w:rPr>
              <w:t>、水塘</w:t>
            </w:r>
            <w:r>
              <w:rPr>
                <w:rFonts w:hint="default" w:ascii="Times New Roman" w:hAnsi="Times New Roman" w:cs="Times New Roman"/>
                <w:b w:val="0"/>
                <w:bCs w:val="0"/>
                <w:color w:val="auto"/>
                <w:highlight w:val="none"/>
                <w:lang w:val="en-US" w:eastAsia="zh-CN"/>
              </w:rPr>
              <w:t>，无与本项目有关的现有环境问题。根据现场勘察，本项目属于未批先建，目前项目存在的主要问题以及本环评要求整改措施如下：</w:t>
            </w:r>
          </w:p>
          <w:p w14:paraId="00A0B1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b w:val="0"/>
                <w:bCs w:val="0"/>
                <w:color w:val="auto"/>
                <w:highlight w:val="none"/>
                <w:lang w:val="en-US" w:eastAsia="zh-CN"/>
              </w:rPr>
            </w:pPr>
            <w:r>
              <w:rPr>
                <w:rFonts w:hint="default" w:ascii="Times New Roman" w:hAnsi="Times New Roman" w:eastAsia="宋体" w:cs="Times New Roman"/>
                <w:b w:val="0"/>
                <w:bCs w:val="0"/>
                <w:color w:val="auto"/>
                <w:highlight w:val="none"/>
                <w:lang w:val="en-US" w:eastAsia="zh-CN"/>
              </w:rPr>
              <w:t>1、存在的问题</w:t>
            </w:r>
          </w:p>
          <w:p w14:paraId="40D67E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cs="Times New Roman"/>
                <w:b w:val="0"/>
                <w:bCs w:val="0"/>
                <w:color w:val="auto"/>
                <w:highlight w:val="none"/>
                <w:lang w:val="en-US" w:eastAsia="zh-CN"/>
              </w:rPr>
            </w:pPr>
            <w:r>
              <w:rPr>
                <w:rFonts w:hint="default" w:ascii="Times New Roman" w:hAnsi="Times New Roman" w:eastAsia="宋体" w:cs="Times New Roman"/>
                <w:b w:val="0"/>
                <w:bCs w:val="0"/>
                <w:color w:val="auto"/>
                <w:highlight w:val="none"/>
                <w:lang w:val="en-US" w:eastAsia="zh-CN"/>
              </w:rPr>
              <w:t>①生物质锅炉燃烧废气经旋风除尘后经15m高排气筒排放，锅炉废气处理措施属于低效措施，且排气筒高度不够</w:t>
            </w:r>
            <w:r>
              <w:rPr>
                <w:rFonts w:hint="eastAsia" w:cs="Times New Roman"/>
                <w:b w:val="0"/>
                <w:bCs w:val="0"/>
                <w:color w:val="auto"/>
                <w:highlight w:val="none"/>
                <w:lang w:val="en-US" w:eastAsia="zh-CN"/>
              </w:rPr>
              <w:t>。</w:t>
            </w:r>
          </w:p>
          <w:p w14:paraId="494AA9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cs="Times New Roman"/>
                <w:b w:val="0"/>
                <w:bCs w:val="0"/>
                <w:color w:val="auto"/>
                <w:highlight w:val="none"/>
                <w:lang w:val="en-US" w:eastAsia="zh-CN"/>
              </w:rPr>
            </w:pPr>
            <w:r>
              <w:rPr>
                <w:rFonts w:hint="eastAsia" w:ascii="宋体" w:hAnsi="宋体" w:eastAsia="宋体" w:cs="宋体"/>
                <w:b w:val="0"/>
                <w:bCs w:val="0"/>
                <w:color w:val="auto"/>
                <w:highlight w:val="none"/>
                <w:lang w:val="en-US" w:eastAsia="zh-CN"/>
              </w:rPr>
              <w:t>②</w:t>
            </w:r>
            <w:r>
              <w:rPr>
                <w:rFonts w:hint="eastAsia" w:cs="Times New Roman"/>
                <w:b w:val="0"/>
                <w:bCs w:val="0"/>
                <w:color w:val="auto"/>
                <w:highlight w:val="none"/>
                <w:lang w:val="en-US" w:eastAsia="zh-CN"/>
              </w:rPr>
              <w:t>现场有1台0.5t/h生物质锅炉及其配套净水设备。</w:t>
            </w:r>
          </w:p>
          <w:p w14:paraId="20B0E4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cs="Times New Roman"/>
                <w:b w:val="0"/>
                <w:bCs w:val="0"/>
                <w:color w:val="auto"/>
                <w:highlight w:val="none"/>
                <w:lang w:val="en-US" w:eastAsia="zh-CN"/>
              </w:rPr>
            </w:pPr>
            <w:r>
              <w:rPr>
                <w:rFonts w:hint="eastAsia" w:ascii="新宋体" w:hAnsi="新宋体" w:eastAsia="新宋体" w:cs="新宋体"/>
                <w:b w:val="0"/>
                <w:bCs w:val="0"/>
                <w:color w:val="auto"/>
                <w:highlight w:val="none"/>
                <w:lang w:val="en-US" w:eastAsia="zh-CN"/>
              </w:rPr>
              <w:t>③</w:t>
            </w:r>
            <w:r>
              <w:rPr>
                <w:rFonts w:hint="eastAsia" w:cs="Times New Roman"/>
                <w:b w:val="0"/>
                <w:bCs w:val="0"/>
                <w:color w:val="auto"/>
                <w:highlight w:val="none"/>
                <w:lang w:val="en-US" w:eastAsia="zh-CN"/>
              </w:rPr>
              <w:t>未批先建、</w:t>
            </w:r>
            <w:r>
              <w:rPr>
                <w:rFonts w:hint="eastAsia" w:cs="Times New Roman"/>
                <w:color w:val="000000" w:themeColor="text1"/>
                <w:sz w:val="24"/>
                <w:highlight w:val="none"/>
                <w:lang w:val="en-US" w:eastAsia="zh-CN"/>
                <w14:textFill>
                  <w14:solidFill>
                    <w14:schemeClr w14:val="tx1"/>
                  </w14:solidFill>
                </w14:textFill>
              </w:rPr>
              <w:t>未填报排污登记表</w:t>
            </w:r>
            <w:r>
              <w:rPr>
                <w:rFonts w:hint="eastAsia" w:cs="Times New Roman"/>
                <w:b w:val="0"/>
                <w:bCs w:val="0"/>
                <w:color w:val="auto"/>
                <w:highlight w:val="none"/>
                <w:lang w:val="en-US" w:eastAsia="zh-CN"/>
              </w:rPr>
              <w:t>。</w:t>
            </w:r>
          </w:p>
          <w:p w14:paraId="507BA3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rPr>
                <w:rFonts w:hint="default" w:ascii="Times New Roman" w:hAnsi="Times New Roman" w:eastAsia="宋体" w:cs="Times New Roman"/>
                <w:b w:val="0"/>
                <w:bCs w:val="0"/>
                <w:color w:val="auto"/>
                <w:highlight w:val="none"/>
                <w:lang w:val="en-US" w:eastAsia="zh-CN"/>
              </w:rPr>
            </w:pPr>
            <w:r>
              <w:rPr>
                <w:rFonts w:hint="default" w:ascii="Times New Roman" w:hAnsi="Times New Roman" w:eastAsia="宋体" w:cs="Times New Roman"/>
                <w:b w:val="0"/>
                <w:bCs w:val="0"/>
                <w:color w:val="auto"/>
                <w:kern w:val="2"/>
                <w:sz w:val="24"/>
                <w:szCs w:val="24"/>
                <w:lang w:val="en-US" w:eastAsia="zh-CN" w:bidi="ar-SA"/>
              </w:rPr>
              <w:t>2、</w:t>
            </w:r>
            <w:r>
              <w:rPr>
                <w:rFonts w:hint="default" w:ascii="Times New Roman" w:hAnsi="Times New Roman" w:eastAsia="宋体" w:cs="Times New Roman"/>
                <w:b w:val="0"/>
                <w:bCs w:val="0"/>
                <w:color w:val="auto"/>
                <w:highlight w:val="none"/>
                <w:lang w:val="en-US" w:eastAsia="zh-CN"/>
              </w:rPr>
              <w:t>整改要求</w:t>
            </w:r>
          </w:p>
          <w:p w14:paraId="233CD2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rPr>
                <w:rFonts w:hint="eastAsia" w:cs="Times New Roman"/>
                <w:b w:val="0"/>
                <w:bCs w:val="0"/>
                <w:color w:val="auto"/>
                <w:highlight w:val="none"/>
                <w:lang w:val="en-US" w:eastAsia="zh-CN"/>
              </w:rPr>
            </w:pPr>
            <w:r>
              <w:rPr>
                <w:rFonts w:hint="default" w:ascii="Times New Roman" w:hAnsi="Times New Roman" w:eastAsia="宋体" w:cs="Times New Roman"/>
                <w:b w:val="0"/>
                <w:bCs w:val="0"/>
                <w:color w:val="auto"/>
                <w:highlight w:val="none"/>
                <w:lang w:val="en-US" w:eastAsia="zh-CN"/>
              </w:rPr>
              <w:t>①将生物质锅炉燃烧废气经旋风+布袋除尘器处理达标后通过30m高排气筒排放</w:t>
            </w:r>
            <w:r>
              <w:rPr>
                <w:rFonts w:hint="eastAsia" w:cs="Times New Roman"/>
                <w:b w:val="0"/>
                <w:bCs w:val="0"/>
                <w:color w:val="auto"/>
                <w:highlight w:val="none"/>
                <w:lang w:val="en-US" w:eastAsia="zh-CN"/>
              </w:rPr>
              <w:t>。</w:t>
            </w:r>
          </w:p>
          <w:p w14:paraId="0A54E7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rPr>
                <w:rFonts w:hint="eastAsia" w:cs="Times New Roman"/>
                <w:b w:val="0"/>
                <w:bCs w:val="0"/>
                <w:color w:val="auto"/>
                <w:highlight w:val="none"/>
                <w:lang w:val="en-US" w:eastAsia="zh-CN"/>
              </w:rPr>
            </w:pPr>
            <w:r>
              <w:rPr>
                <w:rFonts w:hint="eastAsia" w:ascii="宋体" w:hAnsi="宋体" w:eastAsia="宋体" w:cs="宋体"/>
                <w:b w:val="0"/>
                <w:bCs w:val="0"/>
                <w:color w:val="auto"/>
                <w:highlight w:val="none"/>
                <w:lang w:val="en-US" w:eastAsia="zh-CN"/>
              </w:rPr>
              <w:t>②</w:t>
            </w:r>
            <w:r>
              <w:rPr>
                <w:rFonts w:hint="eastAsia" w:cs="Times New Roman"/>
                <w:b w:val="0"/>
                <w:bCs w:val="0"/>
                <w:color w:val="auto"/>
                <w:highlight w:val="none"/>
                <w:lang w:val="en-US" w:eastAsia="zh-CN"/>
              </w:rPr>
              <w:t>0.5t/h生物质锅炉属于淘汰设备，需进行拆除。</w:t>
            </w:r>
          </w:p>
          <w:p w14:paraId="731FB1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rPr>
                <w:rFonts w:hint="default" w:ascii="Times New Roman" w:hAnsi="Times New Roman" w:cs="Times New Roman"/>
                <w:b w:val="0"/>
                <w:bCs w:val="0"/>
                <w:color w:val="auto"/>
                <w:highlight w:val="none"/>
                <w:lang w:val="en-US" w:eastAsia="zh-CN"/>
              </w:rPr>
            </w:pPr>
            <w:r>
              <w:rPr>
                <w:rFonts w:hint="eastAsia" w:ascii="新宋体" w:hAnsi="新宋体" w:eastAsia="新宋体" w:cs="新宋体"/>
                <w:b w:val="0"/>
                <w:bCs w:val="0"/>
                <w:color w:val="auto"/>
                <w:highlight w:val="none"/>
                <w:lang w:val="en-US" w:eastAsia="zh-CN"/>
              </w:rPr>
              <w:t>③进行排污许可登记后，才可排污</w:t>
            </w:r>
            <w:r>
              <w:rPr>
                <w:rFonts w:hint="default" w:ascii="Times New Roman" w:hAnsi="Times New Roman" w:eastAsia="宋体" w:cs="Times New Roman"/>
                <w:b w:val="0"/>
                <w:bCs w:val="0"/>
                <w:color w:val="auto"/>
                <w:highlight w:val="none"/>
                <w:lang w:val="en-US" w:eastAsia="zh-CN"/>
              </w:rPr>
              <w:t>。</w:t>
            </w:r>
          </w:p>
          <w:p w14:paraId="260719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b w:val="0"/>
                <w:bCs w:val="0"/>
                <w:color w:val="auto"/>
                <w:highlight w:val="none"/>
                <w:lang w:val="en-US" w:eastAsia="zh-CN"/>
              </w:rPr>
            </w:pPr>
          </w:p>
        </w:tc>
      </w:tr>
    </w:tbl>
    <w:p w14:paraId="5B66C574">
      <w:pPr>
        <w:pStyle w:val="24"/>
        <w:jc w:val="center"/>
        <w:rPr>
          <w:rFonts w:ascii="黑体" w:hAnsi="黑体" w:eastAsia="黑体"/>
          <w:snapToGrid w:val="0"/>
          <w:color w:val="auto"/>
          <w:sz w:val="36"/>
          <w:szCs w:val="36"/>
          <w:highlight w:val="yellow"/>
        </w:rPr>
        <w:sectPr>
          <w:footerReference r:id="rId12" w:type="default"/>
          <w:pgSz w:w="11906" w:h="16838"/>
          <w:pgMar w:top="1701" w:right="1531" w:bottom="1701"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33512A6E">
      <w:pPr>
        <w:pStyle w:val="24"/>
        <w:adjustRightInd w:val="0"/>
        <w:snapToGrid w:val="0"/>
        <w:spacing w:before="0" w:beforeAutospacing="0" w:after="0" w:afterAutospacing="0" w:line="14" w:lineRule="auto"/>
        <w:jc w:val="center"/>
        <w:outlineLvl w:val="9"/>
        <w:rPr>
          <w:rFonts w:hint="eastAsia" w:ascii="黑体" w:hAnsi="黑体" w:eastAsia="黑体"/>
          <w:snapToGrid w:val="0"/>
          <w:color w:val="auto"/>
          <w:sz w:val="30"/>
          <w:szCs w:val="30"/>
          <w:highlight w:val="yellow"/>
        </w:rPr>
      </w:pPr>
    </w:p>
    <w:p w14:paraId="69773E06">
      <w:pPr>
        <w:pStyle w:val="24"/>
        <w:spacing w:line="240" w:lineRule="auto"/>
        <w:jc w:val="center"/>
        <w:outlineLvl w:val="0"/>
        <w:rPr>
          <w:rFonts w:ascii="黑体" w:hAnsi="黑体" w:eastAsia="黑体"/>
          <w:snapToGrid w:val="0"/>
          <w:color w:val="auto"/>
          <w:sz w:val="30"/>
          <w:szCs w:val="30"/>
          <w:highlight w:val="none"/>
        </w:rPr>
      </w:pPr>
      <w:bookmarkStart w:id="13" w:name="_Toc11584"/>
      <w:r>
        <w:rPr>
          <w:rFonts w:hint="eastAsia" w:ascii="黑体" w:hAnsi="黑体" w:eastAsia="黑体"/>
          <w:snapToGrid w:val="0"/>
          <w:color w:val="auto"/>
          <w:sz w:val="30"/>
          <w:szCs w:val="30"/>
          <w:highlight w:val="none"/>
        </w:rPr>
        <w:t>三、区域环境质量现状、环境保护目标及评价标准</w:t>
      </w:r>
      <w:bookmarkEnd w:id="13"/>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01"/>
        <w:gridCol w:w="8360"/>
      </w:tblGrid>
      <w:tr w14:paraId="5E55EE1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37" w:hRule="atLeast"/>
          <w:jc w:val="center"/>
        </w:trPr>
        <w:tc>
          <w:tcPr>
            <w:tcW w:w="701" w:type="dxa"/>
            <w:noWrap w:val="0"/>
            <w:vAlign w:val="center"/>
          </w:tcPr>
          <w:p w14:paraId="12D8493A">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区域</w:t>
            </w:r>
          </w:p>
          <w:p w14:paraId="1CF1F061">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环境</w:t>
            </w:r>
          </w:p>
          <w:p w14:paraId="35A42043">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质量</w:t>
            </w:r>
          </w:p>
          <w:p w14:paraId="3E3D030D">
            <w:pPr>
              <w:keepNext w:val="0"/>
              <w:keepLines w:val="0"/>
              <w:suppressLineNumbers w:val="0"/>
              <w:adjustRightInd w:val="0"/>
              <w:snapToGrid w:val="0"/>
              <w:spacing w:before="0" w:beforeAutospacing="0" w:after="0" w:afterAutospacing="0"/>
              <w:ind w:left="0" w:right="0"/>
              <w:jc w:val="center"/>
              <w:rPr>
                <w:rFonts w:hint="default" w:ascii="宋体" w:hAnsi="宋体" w:cs="宋体"/>
                <w:color w:val="auto"/>
                <w:kern w:val="0"/>
                <w:szCs w:val="21"/>
                <w:highlight w:val="yellow"/>
              </w:rPr>
            </w:pPr>
            <w:r>
              <w:rPr>
                <w:rFonts w:hint="eastAsia" w:ascii="宋体" w:hAnsi="宋体" w:cs="宋体"/>
                <w:color w:val="auto"/>
                <w:kern w:val="0"/>
                <w:szCs w:val="21"/>
                <w:highlight w:val="none"/>
              </w:rPr>
              <w:t>现状</w:t>
            </w:r>
          </w:p>
        </w:tc>
        <w:tc>
          <w:tcPr>
            <w:tcW w:w="8360" w:type="dxa"/>
            <w:noWrap w:val="0"/>
            <w:vAlign w:val="center"/>
          </w:tcPr>
          <w:p w14:paraId="05C5CAF8">
            <w:pPr>
              <w:pStyle w:val="2"/>
              <w:keepLines w:val="0"/>
              <w:numPr>
                <w:ilvl w:val="0"/>
                <w:numId w:val="0"/>
              </w:numPr>
              <w:suppressLineNumbers w:val="0"/>
              <w:bidi w:val="0"/>
              <w:spacing w:before="0" w:beforeAutospacing="0" w:after="0" w:afterAutospacing="0" w:line="360" w:lineRule="auto"/>
              <w:ind w:leftChars="0" w:right="0"/>
              <w:rPr>
                <w:rFonts w:hint="eastAsia" w:cs="Times New Roman"/>
                <w:color w:val="auto"/>
                <w:highlight w:val="none"/>
                <w:lang w:val="en-US" w:eastAsia="zh-CN"/>
              </w:rPr>
            </w:pPr>
            <w:bookmarkStart w:id="14" w:name="_Toc6001"/>
            <w:r>
              <w:rPr>
                <w:rFonts w:hint="eastAsia" w:cs="Times New Roman"/>
                <w:color w:val="auto"/>
                <w:highlight w:val="none"/>
                <w:lang w:val="en-US" w:eastAsia="zh-CN"/>
              </w:rPr>
              <w:t>3.1区域环境质量现状：</w:t>
            </w:r>
            <w:bookmarkEnd w:id="14"/>
          </w:p>
          <w:p w14:paraId="711671FF">
            <w:pPr>
              <w:pStyle w:val="2"/>
              <w:keepLines w:val="0"/>
              <w:numPr>
                <w:ilvl w:val="0"/>
                <w:numId w:val="0"/>
              </w:numPr>
              <w:suppressLineNumbers w:val="0"/>
              <w:tabs>
                <w:tab w:val="left" w:pos="0"/>
              </w:tabs>
              <w:spacing w:before="0" w:beforeAutospacing="0" w:after="0" w:afterAutospacing="0"/>
              <w:ind w:leftChars="0" w:right="0"/>
              <w:rPr>
                <w:rFonts w:hint="default" w:cs="Times New Roman"/>
                <w:color w:val="auto"/>
                <w:highlight w:val="none"/>
                <w:lang w:val="en-US"/>
              </w:rPr>
            </w:pPr>
            <w:bookmarkStart w:id="15" w:name="_Toc11727"/>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bookmarkEnd w:id="15"/>
            <w:r>
              <w:rPr>
                <w:rFonts w:hint="eastAsia" w:cs="Times New Roman"/>
                <w:color w:val="auto"/>
                <w:highlight w:val="none"/>
                <w:lang w:val="en-US" w:eastAsia="zh-CN"/>
              </w:rPr>
              <w:t>环境空气质量现状</w:t>
            </w:r>
          </w:p>
          <w:p w14:paraId="26492348">
            <w:pPr>
              <w:pStyle w:val="3"/>
              <w:numPr>
                <w:ilvl w:val="0"/>
                <w:numId w:val="0"/>
              </w:numPr>
              <w:suppressLineNumbers w:val="0"/>
              <w:tabs>
                <w:tab w:val="left" w:pos="0"/>
              </w:tabs>
              <w:bidi w:val="0"/>
              <w:spacing w:before="0" w:after="0"/>
              <w:ind w:left="0" w:leftChars="0" w:right="0"/>
              <w:rPr>
                <w:rFonts w:hint="eastAsia" w:cs="Times New Roman"/>
                <w:color w:val="auto"/>
                <w:highlight w:val="none"/>
              </w:rPr>
            </w:pP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环境</w:t>
            </w:r>
            <w:r>
              <w:rPr>
                <w:rFonts w:hint="eastAsia" w:cs="Times New Roman"/>
                <w:color w:val="auto"/>
                <w:highlight w:val="none"/>
              </w:rPr>
              <w:t>空气质量达标区判定</w:t>
            </w:r>
          </w:p>
          <w:p w14:paraId="717F07FF">
            <w:pPr>
              <w:keepNext w:val="0"/>
              <w:keepLines w:val="0"/>
              <w:suppressLineNumbers w:val="0"/>
              <w:spacing w:before="0" w:beforeAutospacing="0" w:after="0" w:afterAutospacing="0"/>
              <w:ind w:left="0" w:right="0" w:firstLine="480" w:firstLineChars="200"/>
              <w:rPr>
                <w:rFonts w:hint="eastAsia" w:cs="Times New Roman"/>
                <w:color w:val="auto"/>
                <w:highlight w:val="none"/>
                <w:lang w:val="en-US" w:eastAsia="zh-CN"/>
              </w:rPr>
            </w:pPr>
            <w:r>
              <w:rPr>
                <w:rFonts w:hint="eastAsia" w:cs="Times New Roman"/>
                <w:color w:val="auto"/>
                <w:highlight w:val="none"/>
                <w:lang w:val="en-US" w:eastAsia="zh-CN"/>
              </w:rPr>
              <w:t>本次评价区域达标判定选取</w:t>
            </w:r>
            <w:r>
              <w:rPr>
                <w:rFonts w:hint="default" w:ascii="Times New Roman" w:hAnsi="Times New Roman" w:cs="Times New Roman"/>
                <w:color w:val="auto"/>
                <w:highlight w:val="none"/>
                <w:lang w:val="en-US" w:eastAsia="zh-CN"/>
              </w:rPr>
              <w:t>202</w:t>
            </w:r>
            <w:r>
              <w:rPr>
                <w:rFonts w:hint="eastAsia" w:cs="Times New Roman"/>
                <w:color w:val="auto"/>
                <w:highlight w:val="none"/>
                <w:lang w:val="en-US" w:eastAsia="zh-CN"/>
              </w:rPr>
              <w:t>4年为评价基准年。</w:t>
            </w:r>
          </w:p>
          <w:p w14:paraId="5A3A2660">
            <w:pPr>
              <w:keepNext w:val="0"/>
              <w:keepLines w:val="0"/>
              <w:suppressLineNumbers w:val="0"/>
              <w:spacing w:before="0" w:beforeAutospacing="0" w:after="0" w:afterAutospacing="0"/>
              <w:ind w:left="0" w:right="0" w:firstLine="480"/>
              <w:rPr>
                <w:rFonts w:hint="default" w:eastAsia="宋体" w:cs="Times New Roman"/>
                <w:color w:val="auto"/>
                <w:highlight w:val="yellow"/>
                <w:lang w:val="en-US" w:eastAsia="zh-CN"/>
              </w:rPr>
            </w:pPr>
            <w:r>
              <w:rPr>
                <w:rFonts w:hint="eastAsia" w:cs="Times New Roman"/>
                <w:color w:val="auto"/>
                <w:highlight w:val="none"/>
              </w:rPr>
              <w:t>根据衡阳市生态环境局公布的《关于</w:t>
            </w:r>
            <w:r>
              <w:rPr>
                <w:rFonts w:hint="default" w:ascii="Times New Roman" w:hAnsi="Times New Roman" w:cs="Times New Roman"/>
                <w:color w:val="auto"/>
                <w:highlight w:val="none"/>
              </w:rPr>
              <w:t>202</w:t>
            </w:r>
            <w:r>
              <w:rPr>
                <w:rFonts w:hint="eastAsia" w:cs="Times New Roman"/>
                <w:color w:val="auto"/>
                <w:highlight w:val="none"/>
                <w:lang w:val="en-US" w:eastAsia="zh-CN"/>
              </w:rPr>
              <w:t>4</w:t>
            </w:r>
            <w:r>
              <w:rPr>
                <w:rFonts w:hint="eastAsia" w:cs="Times New Roman"/>
                <w:color w:val="auto"/>
                <w:highlight w:val="none"/>
              </w:rPr>
              <w:t>年</w:t>
            </w:r>
            <w:r>
              <w:rPr>
                <w:rFonts w:hint="default" w:ascii="Times New Roman" w:hAnsi="Times New Roman" w:cs="Times New Roman"/>
                <w:color w:val="auto"/>
                <w:highlight w:val="none"/>
                <w:lang w:val="en-US" w:eastAsia="zh-CN"/>
              </w:rPr>
              <w:t>12</w:t>
            </w:r>
            <w:r>
              <w:rPr>
                <w:rFonts w:hint="eastAsia" w:cs="Times New Roman"/>
                <w:color w:val="auto"/>
                <w:highlight w:val="none"/>
              </w:rPr>
              <w:t>月及</w:t>
            </w:r>
            <w:r>
              <w:rPr>
                <w:rFonts w:hint="default" w:ascii="Times New Roman" w:hAnsi="Times New Roman" w:cs="Times New Roman"/>
                <w:color w:val="auto"/>
                <w:highlight w:val="none"/>
              </w:rPr>
              <w:t>1</w:t>
            </w:r>
            <w:r>
              <w:rPr>
                <w:rFonts w:hint="eastAsia" w:cs="Times New Roman"/>
                <w:color w:val="auto"/>
                <w:highlight w:val="none"/>
              </w:rPr>
              <w:t>-</w:t>
            </w:r>
            <w:r>
              <w:rPr>
                <w:rFonts w:hint="default" w:ascii="Times New Roman" w:hAnsi="Times New Roman" w:cs="Times New Roman"/>
                <w:color w:val="auto"/>
                <w:highlight w:val="none"/>
                <w:lang w:val="en-US" w:eastAsia="zh-CN"/>
              </w:rPr>
              <w:t>12</w:t>
            </w:r>
            <w:r>
              <w:rPr>
                <w:rFonts w:hint="eastAsia" w:cs="Times New Roman"/>
                <w:color w:val="auto"/>
                <w:highlight w:val="none"/>
              </w:rPr>
              <w:t>月全市环境质量状况的通报》，202</w:t>
            </w:r>
            <w:r>
              <w:rPr>
                <w:rFonts w:hint="eastAsia" w:cs="Times New Roman"/>
                <w:color w:val="auto"/>
                <w:highlight w:val="none"/>
                <w:lang w:val="en-US" w:eastAsia="zh-CN"/>
              </w:rPr>
              <w:t>4</w:t>
            </w:r>
            <w:r>
              <w:rPr>
                <w:rFonts w:hint="eastAsia" w:cs="Times New Roman"/>
                <w:color w:val="auto"/>
                <w:highlight w:val="none"/>
              </w:rPr>
              <w:t>年1-12月，</w:t>
            </w:r>
            <w:r>
              <w:rPr>
                <w:rFonts w:hint="eastAsia" w:cs="Times New Roman"/>
                <w:color w:val="auto"/>
                <w:highlight w:val="none"/>
                <w:lang w:val="en-US" w:eastAsia="zh-CN"/>
              </w:rPr>
              <w:t>衡阳市县市区环境空气质量平均优良天数比例为94.8%。8个县市所在城镇环境空气质量从好到差依次为：衡阳县、南岳区、祁东县、常宁市（耒阳市并列）、衡南县、衡东县、衡山县。县市区</w:t>
            </w:r>
            <w:r>
              <w:rPr>
                <w:rFonts w:hint="eastAsia" w:cs="Times New Roman"/>
                <w:color w:val="auto"/>
                <w:highlight w:val="none"/>
              </w:rPr>
              <w:t>PM</w:t>
            </w:r>
            <w:r>
              <w:rPr>
                <w:rFonts w:hint="eastAsia" w:cs="Times New Roman"/>
                <w:color w:val="auto"/>
                <w:highlight w:val="none"/>
                <w:vertAlign w:val="subscript"/>
              </w:rPr>
              <w:t>2.5</w:t>
            </w:r>
            <w:r>
              <w:rPr>
                <w:rFonts w:hint="eastAsia" w:cs="Times New Roman"/>
                <w:color w:val="auto"/>
                <w:highlight w:val="none"/>
              </w:rPr>
              <w:t>、PM</w:t>
            </w:r>
            <w:r>
              <w:rPr>
                <w:rFonts w:hint="eastAsia" w:cs="Times New Roman"/>
                <w:color w:val="auto"/>
                <w:highlight w:val="none"/>
                <w:vertAlign w:val="subscript"/>
              </w:rPr>
              <w:t>10</w:t>
            </w:r>
            <w:r>
              <w:rPr>
                <w:rFonts w:hint="eastAsia" w:cs="Times New Roman"/>
                <w:color w:val="auto"/>
                <w:highlight w:val="none"/>
                <w:lang w:eastAsia="zh-CN"/>
              </w:rPr>
              <w:t>、</w:t>
            </w:r>
            <w:r>
              <w:rPr>
                <w:rFonts w:hint="eastAsia" w:cs="Times New Roman"/>
                <w:color w:val="auto"/>
                <w:highlight w:val="none"/>
              </w:rPr>
              <w:t>O</w:t>
            </w:r>
            <w:r>
              <w:rPr>
                <w:rFonts w:hint="eastAsia" w:cs="Times New Roman"/>
                <w:color w:val="auto"/>
                <w:highlight w:val="none"/>
                <w:vertAlign w:val="subscript"/>
                <w:lang w:val="en-US" w:eastAsia="zh-CN"/>
              </w:rPr>
              <w:t>3</w:t>
            </w:r>
            <w:r>
              <w:rPr>
                <w:rFonts w:hint="eastAsia" w:cs="Times New Roman"/>
                <w:color w:val="auto"/>
                <w:highlight w:val="none"/>
                <w:lang w:val="en-US" w:eastAsia="zh-CN"/>
              </w:rPr>
              <w:t>、S</w:t>
            </w:r>
            <w:r>
              <w:rPr>
                <w:rFonts w:hint="eastAsia" w:cs="Times New Roman"/>
                <w:color w:val="auto"/>
                <w:highlight w:val="none"/>
              </w:rPr>
              <w:t>O</w:t>
            </w:r>
            <w:r>
              <w:rPr>
                <w:rFonts w:hint="eastAsia" w:cs="Times New Roman"/>
                <w:color w:val="auto"/>
                <w:highlight w:val="none"/>
                <w:vertAlign w:val="subscript"/>
                <w:lang w:val="en-US" w:eastAsia="zh-CN"/>
              </w:rPr>
              <w:t>2</w:t>
            </w:r>
            <w:r>
              <w:rPr>
                <w:rFonts w:hint="eastAsia" w:cs="Times New Roman"/>
                <w:color w:val="auto"/>
                <w:highlight w:val="none"/>
                <w:lang w:eastAsia="zh-CN"/>
              </w:rPr>
              <w:t>、</w:t>
            </w:r>
            <w:r>
              <w:rPr>
                <w:rFonts w:hint="eastAsia" w:cs="Times New Roman"/>
                <w:color w:val="auto"/>
                <w:highlight w:val="none"/>
                <w:lang w:val="en-US" w:eastAsia="zh-CN"/>
              </w:rPr>
              <w:t>NO</w:t>
            </w:r>
            <w:r>
              <w:rPr>
                <w:rFonts w:hint="eastAsia" w:cs="Times New Roman"/>
                <w:color w:val="auto"/>
                <w:highlight w:val="none"/>
                <w:vertAlign w:val="subscript"/>
                <w:lang w:val="en-US" w:eastAsia="zh-CN"/>
              </w:rPr>
              <w:t>2</w:t>
            </w:r>
            <w:r>
              <w:rPr>
                <w:rFonts w:hint="eastAsia" w:cs="Times New Roman"/>
                <w:color w:val="auto"/>
                <w:highlight w:val="none"/>
                <w:lang w:val="en-US" w:eastAsia="zh-CN"/>
              </w:rPr>
              <w:t>、CO</w:t>
            </w:r>
            <w:r>
              <w:rPr>
                <w:rFonts w:hint="eastAsia" w:cs="Times New Roman"/>
                <w:color w:val="auto"/>
                <w:highlight w:val="none"/>
              </w:rPr>
              <w:t>的</w:t>
            </w:r>
            <w:r>
              <w:rPr>
                <w:rFonts w:hint="eastAsia" w:cs="Times New Roman"/>
                <w:color w:val="auto"/>
                <w:highlight w:val="none"/>
                <w:lang w:val="en-US" w:eastAsia="zh-CN"/>
              </w:rPr>
              <w:t>平均</w:t>
            </w:r>
            <w:r>
              <w:rPr>
                <w:rFonts w:hint="eastAsia" w:cs="Times New Roman"/>
                <w:color w:val="auto"/>
                <w:highlight w:val="none"/>
              </w:rPr>
              <w:t>浓度分别为</w:t>
            </w:r>
            <w:r>
              <w:rPr>
                <w:rFonts w:hint="eastAsia" w:cs="Times New Roman"/>
                <w:color w:val="auto"/>
                <w:highlight w:val="none"/>
                <w:lang w:val="en-US" w:eastAsia="zh-CN"/>
              </w:rPr>
              <w:t>31</w:t>
            </w:r>
            <w:r>
              <w:rPr>
                <w:rFonts w:hint="eastAsia" w:cs="Times New Roman"/>
                <w:color w:val="auto"/>
                <w:highlight w:val="none"/>
              </w:rPr>
              <w:t>ug/m</w:t>
            </w:r>
            <w:r>
              <w:rPr>
                <w:rFonts w:hint="eastAsia" w:cs="Times New Roman"/>
                <w:color w:val="auto"/>
                <w:highlight w:val="none"/>
                <w:vertAlign w:val="superscript"/>
              </w:rPr>
              <w:t>3</w:t>
            </w:r>
            <w:r>
              <w:rPr>
                <w:rFonts w:hint="eastAsia" w:cs="Times New Roman"/>
                <w:color w:val="auto"/>
                <w:highlight w:val="none"/>
              </w:rPr>
              <w:t>、</w:t>
            </w:r>
            <w:r>
              <w:rPr>
                <w:rFonts w:hint="eastAsia" w:cs="Times New Roman"/>
                <w:color w:val="auto"/>
                <w:highlight w:val="none"/>
                <w:lang w:val="en-US" w:eastAsia="zh-CN"/>
              </w:rPr>
              <w:t>46</w:t>
            </w:r>
            <w:r>
              <w:rPr>
                <w:rFonts w:hint="eastAsia" w:cs="Times New Roman"/>
                <w:color w:val="auto"/>
                <w:highlight w:val="none"/>
              </w:rPr>
              <w:t>ug/m</w:t>
            </w:r>
            <w:r>
              <w:rPr>
                <w:rFonts w:hint="eastAsia" w:cs="Times New Roman"/>
                <w:color w:val="auto"/>
                <w:highlight w:val="none"/>
                <w:vertAlign w:val="superscript"/>
              </w:rPr>
              <w:t>3</w:t>
            </w:r>
            <w:r>
              <w:rPr>
                <w:rFonts w:hint="eastAsia" w:cs="Times New Roman"/>
                <w:color w:val="auto"/>
                <w:highlight w:val="none"/>
                <w:lang w:eastAsia="zh-CN"/>
              </w:rPr>
              <w:t>、</w:t>
            </w:r>
            <w:r>
              <w:rPr>
                <w:rFonts w:hint="eastAsia" w:cs="Times New Roman"/>
                <w:color w:val="auto"/>
                <w:highlight w:val="none"/>
                <w:lang w:val="en-US" w:eastAsia="zh-CN"/>
              </w:rPr>
              <w:t>126</w:t>
            </w:r>
            <w:r>
              <w:rPr>
                <w:rFonts w:hint="eastAsia" w:cs="Times New Roman"/>
                <w:color w:val="auto"/>
                <w:highlight w:val="none"/>
              </w:rPr>
              <w:t>ug/m</w:t>
            </w:r>
            <w:r>
              <w:rPr>
                <w:rFonts w:hint="eastAsia" w:cs="Times New Roman"/>
                <w:color w:val="auto"/>
                <w:highlight w:val="none"/>
                <w:vertAlign w:val="superscript"/>
              </w:rPr>
              <w:t>3</w:t>
            </w:r>
            <w:r>
              <w:rPr>
                <w:rFonts w:hint="eastAsia" w:cs="Times New Roman"/>
                <w:color w:val="auto"/>
                <w:highlight w:val="none"/>
                <w:lang w:eastAsia="zh-CN"/>
              </w:rPr>
              <w:t>、</w:t>
            </w:r>
            <w:r>
              <w:rPr>
                <w:rFonts w:hint="eastAsia" w:cs="Times New Roman"/>
                <w:color w:val="auto"/>
                <w:highlight w:val="none"/>
                <w:lang w:val="en-US" w:eastAsia="zh-CN"/>
              </w:rPr>
              <w:t>7</w:t>
            </w:r>
            <w:r>
              <w:rPr>
                <w:rFonts w:hint="eastAsia" w:cs="Times New Roman"/>
                <w:color w:val="auto"/>
                <w:highlight w:val="none"/>
              </w:rPr>
              <w:t>ug/m</w:t>
            </w:r>
            <w:r>
              <w:rPr>
                <w:rFonts w:hint="eastAsia" w:cs="Times New Roman"/>
                <w:color w:val="auto"/>
                <w:highlight w:val="none"/>
                <w:vertAlign w:val="superscript"/>
              </w:rPr>
              <w:t>3</w:t>
            </w:r>
            <w:r>
              <w:rPr>
                <w:rFonts w:hint="eastAsia" w:cs="Times New Roman"/>
                <w:color w:val="auto"/>
                <w:highlight w:val="none"/>
                <w:lang w:eastAsia="zh-CN"/>
              </w:rPr>
              <w:t>、</w:t>
            </w:r>
            <w:r>
              <w:rPr>
                <w:rFonts w:hint="eastAsia" w:cs="Times New Roman"/>
                <w:color w:val="auto"/>
                <w:highlight w:val="none"/>
                <w:lang w:val="en-US" w:eastAsia="zh-CN"/>
              </w:rPr>
              <w:t>12</w:t>
            </w:r>
            <w:r>
              <w:rPr>
                <w:rFonts w:hint="eastAsia" w:cs="Times New Roman"/>
                <w:color w:val="auto"/>
                <w:highlight w:val="none"/>
              </w:rPr>
              <w:t>ug/m</w:t>
            </w:r>
            <w:r>
              <w:rPr>
                <w:rFonts w:hint="eastAsia" w:cs="Times New Roman"/>
                <w:color w:val="auto"/>
                <w:highlight w:val="none"/>
                <w:vertAlign w:val="superscript"/>
              </w:rPr>
              <w:t>3</w:t>
            </w:r>
            <w:r>
              <w:rPr>
                <w:rFonts w:hint="eastAsia" w:cs="Times New Roman"/>
                <w:color w:val="auto"/>
                <w:highlight w:val="none"/>
                <w:lang w:eastAsia="zh-CN"/>
              </w:rPr>
              <w:t>、</w:t>
            </w:r>
            <w:r>
              <w:rPr>
                <w:rFonts w:hint="eastAsia" w:cs="Times New Roman"/>
                <w:color w:val="auto"/>
                <w:highlight w:val="none"/>
                <w:lang w:val="en-US" w:eastAsia="zh-CN"/>
              </w:rPr>
              <w:t>1.0m</w:t>
            </w:r>
            <w:r>
              <w:rPr>
                <w:rFonts w:hint="eastAsia" w:cs="Times New Roman"/>
                <w:color w:val="auto"/>
                <w:highlight w:val="none"/>
              </w:rPr>
              <w:t>g/m</w:t>
            </w:r>
            <w:r>
              <w:rPr>
                <w:rFonts w:hint="eastAsia" w:cs="Times New Roman"/>
                <w:color w:val="auto"/>
                <w:highlight w:val="none"/>
                <w:vertAlign w:val="superscript"/>
              </w:rPr>
              <w:t>3</w:t>
            </w:r>
            <w:r>
              <w:rPr>
                <w:rFonts w:hint="eastAsia" w:cs="Times New Roman"/>
                <w:color w:val="auto"/>
                <w:highlight w:val="none"/>
                <w:lang w:val="en-US" w:eastAsia="zh-CN"/>
              </w:rPr>
              <w:t>。</w:t>
            </w:r>
          </w:p>
          <w:p w14:paraId="227396D9">
            <w:pPr>
              <w:keepNext w:val="0"/>
              <w:keepLines w:val="0"/>
              <w:suppressLineNumbers w:val="0"/>
              <w:spacing w:before="0" w:beforeAutospacing="0" w:after="0" w:afterAutospacing="0"/>
              <w:ind w:left="0" w:right="0" w:firstLine="480"/>
              <w:rPr>
                <w:rFonts w:hint="default" w:cs="Times New Roman"/>
                <w:color w:val="auto"/>
                <w:highlight w:val="none"/>
              </w:rPr>
            </w:pPr>
            <w:r>
              <w:rPr>
                <w:rFonts w:hint="eastAsia" w:cs="Times New Roman"/>
                <w:color w:val="auto"/>
                <w:highlight w:val="none"/>
              </w:rPr>
              <w:t>本项目位于</w:t>
            </w:r>
            <w:r>
              <w:rPr>
                <w:rFonts w:hint="eastAsia" w:cs="Times New Roman"/>
                <w:color w:val="auto"/>
                <w:highlight w:val="none"/>
                <w:lang w:val="en-US" w:eastAsia="zh-CN"/>
              </w:rPr>
              <w:t>祁东县官家嘴镇官家嘴村</w:t>
            </w:r>
            <w:r>
              <w:rPr>
                <w:rFonts w:hint="eastAsia" w:cs="Times New Roman"/>
                <w:color w:val="auto"/>
                <w:highlight w:val="none"/>
              </w:rPr>
              <w:t>，</w:t>
            </w:r>
            <w:r>
              <w:rPr>
                <w:rFonts w:hint="eastAsia" w:cs="Times New Roman"/>
                <w:color w:val="auto"/>
                <w:highlight w:val="none"/>
                <w:lang w:val="en-US" w:eastAsia="zh-CN"/>
              </w:rPr>
              <w:t>本报告以祁东县考核点位数据</w:t>
            </w:r>
            <w:r>
              <w:rPr>
                <w:rFonts w:hint="eastAsia" w:cs="Times New Roman"/>
                <w:color w:val="auto"/>
                <w:highlight w:val="none"/>
              </w:rPr>
              <w:t>代表本项目所在区域环境空气质量情况</w:t>
            </w:r>
            <w:r>
              <w:rPr>
                <w:rFonts w:hint="eastAsia" w:cs="Times New Roman"/>
                <w:color w:val="auto"/>
                <w:highlight w:val="none"/>
                <w:lang w:val="en-US" w:eastAsia="zh-CN"/>
              </w:rPr>
              <w:t>。</w:t>
            </w:r>
          </w:p>
          <w:p w14:paraId="3D69330B">
            <w:pPr>
              <w:keepNext w:val="0"/>
              <w:keepLines w:val="0"/>
              <w:suppressLineNumbers w:val="0"/>
              <w:spacing w:before="0" w:beforeAutospacing="0" w:after="0" w:afterAutospacing="0"/>
              <w:ind w:left="0" w:right="0" w:firstLine="0" w:firstLineChars="0"/>
              <w:jc w:val="center"/>
              <w:rPr>
                <w:rFonts w:hint="eastAsia" w:eastAsia="宋体" w:cs="Times New Roman"/>
                <w:color w:val="auto"/>
                <w:highlight w:val="yellow"/>
                <w:lang w:eastAsia="zh-CN"/>
              </w:rPr>
            </w:pPr>
            <w:r>
              <w:rPr>
                <w:rFonts w:hint="default"/>
              </w:rPr>
              <w:drawing>
                <wp:inline distT="0" distB="0" distL="114300" distR="114300">
                  <wp:extent cx="5167630" cy="2355850"/>
                  <wp:effectExtent l="0" t="0" r="13970" b="635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28"/>
                          <a:stretch>
                            <a:fillRect/>
                          </a:stretch>
                        </pic:blipFill>
                        <pic:spPr>
                          <a:xfrm>
                            <a:off x="0" y="0"/>
                            <a:ext cx="5167630" cy="2355850"/>
                          </a:xfrm>
                          <a:prstGeom prst="rect">
                            <a:avLst/>
                          </a:prstGeom>
                          <a:noFill/>
                          <a:ln>
                            <a:noFill/>
                          </a:ln>
                        </pic:spPr>
                      </pic:pic>
                    </a:graphicData>
                  </a:graphic>
                </wp:inline>
              </w:drawing>
            </w:r>
          </w:p>
          <w:p w14:paraId="500423E2">
            <w:pPr>
              <w:pStyle w:val="39"/>
              <w:keepNext w:val="0"/>
              <w:keepLines w:val="0"/>
              <w:numPr>
                <w:ilvl w:val="4"/>
                <w:numId w:val="0"/>
              </w:numPr>
              <w:suppressLineNumbers w:val="0"/>
              <w:tabs>
                <w:tab w:val="left" w:pos="0"/>
              </w:tabs>
              <w:spacing w:before="0" w:after="0"/>
              <w:ind w:left="0" w:leftChars="0" w:right="0" w:firstLine="0" w:firstLineChars="0"/>
              <w:rPr>
                <w:rFonts w:hint="eastAsia" w:cs="Times New Roman"/>
                <w:color w:val="auto"/>
                <w:highlight w:val="none"/>
                <w:lang w:val="en-US" w:eastAsia="zh-CN"/>
              </w:rPr>
            </w:pPr>
            <w:bookmarkStart w:id="16" w:name="_Toc19281"/>
            <w:r>
              <w:rPr>
                <w:rFonts w:hint="default" w:ascii="Times New Roman" w:hAnsi="Times New Roman" w:eastAsia="宋体" w:cs="Times New Roman"/>
                <w:b/>
                <w:bCs/>
                <w:snapToGrid w:val="0"/>
                <w:color w:val="auto"/>
                <w:kern w:val="0"/>
                <w:sz w:val="21"/>
                <w:szCs w:val="21"/>
                <w:highlight w:val="none"/>
                <w:lang w:val="en-US" w:eastAsia="zh-CN" w:bidi="ar-SA"/>
              </w:rPr>
              <w:t>图</w:t>
            </w:r>
            <w:r>
              <w:rPr>
                <w:rFonts w:hint="default" w:ascii="Times New Roman" w:hAnsi="Times New Roman" w:cs="Times New Roman"/>
                <w:b/>
                <w:bCs/>
                <w:snapToGrid w:val="0"/>
                <w:color w:val="auto"/>
                <w:kern w:val="0"/>
                <w:sz w:val="21"/>
                <w:szCs w:val="21"/>
                <w:highlight w:val="none"/>
                <w:lang w:val="en-US" w:eastAsia="zh-CN" w:bidi="ar-SA"/>
              </w:rPr>
              <w:t>3</w:t>
            </w:r>
            <w:r>
              <w:rPr>
                <w:rFonts w:hint="eastAsia" w:cs="Times New Roman"/>
                <w:b/>
                <w:bCs/>
                <w:snapToGrid w:val="0"/>
                <w:color w:val="auto"/>
                <w:kern w:val="0"/>
                <w:sz w:val="21"/>
                <w:szCs w:val="21"/>
                <w:highlight w:val="none"/>
                <w:lang w:val="en-US" w:eastAsia="zh-CN" w:bidi="ar-SA"/>
              </w:rPr>
              <w:t>.1-</w:t>
            </w:r>
            <w:r>
              <w:rPr>
                <w:rFonts w:hint="default" w:ascii="Times New Roman" w:hAnsi="Times New Roman" w:cs="Times New Roman"/>
                <w:b/>
                <w:bCs/>
                <w:snapToGrid w:val="0"/>
                <w:color w:val="auto"/>
                <w:kern w:val="0"/>
                <w:sz w:val="21"/>
                <w:szCs w:val="21"/>
                <w:highlight w:val="none"/>
                <w:lang w:val="en-US" w:eastAsia="zh-CN" w:bidi="ar-SA"/>
              </w:rPr>
              <w:t>1</w:t>
            </w:r>
            <w:r>
              <w:rPr>
                <w:rFonts w:hint="eastAsia" w:cs="Times New Roman"/>
                <w:b/>
                <w:bCs/>
                <w:snapToGrid w:val="0"/>
                <w:color w:val="auto"/>
                <w:kern w:val="0"/>
                <w:sz w:val="21"/>
                <w:szCs w:val="21"/>
                <w:highlight w:val="none"/>
                <w:lang w:val="en-US" w:eastAsia="zh-CN" w:bidi="ar-SA"/>
              </w:rPr>
              <w:t xml:space="preserve"> </w:t>
            </w:r>
            <w:r>
              <w:rPr>
                <w:rFonts w:hint="default" w:ascii="Times New Roman" w:hAnsi="Times New Roman" w:cs="Times New Roman"/>
                <w:color w:val="auto"/>
                <w:highlight w:val="none"/>
                <w:lang w:val="en-US" w:eastAsia="zh-CN"/>
              </w:rPr>
              <w:t>202</w:t>
            </w:r>
            <w:r>
              <w:rPr>
                <w:rFonts w:hint="eastAsia" w:cs="Times New Roman"/>
                <w:color w:val="auto"/>
                <w:highlight w:val="none"/>
                <w:lang w:val="en-US" w:eastAsia="zh-CN"/>
              </w:rPr>
              <w:t>4年</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12</w:t>
            </w:r>
            <w:r>
              <w:rPr>
                <w:rFonts w:hint="eastAsia" w:cs="Times New Roman"/>
                <w:color w:val="auto"/>
                <w:highlight w:val="none"/>
                <w:lang w:val="en-US" w:eastAsia="zh-CN"/>
              </w:rPr>
              <w:t>月项目所在区域环境空气污染物浓度情况</w:t>
            </w:r>
            <w:bookmarkEnd w:id="16"/>
          </w:p>
          <w:p w14:paraId="32444D1C">
            <w:pPr>
              <w:keepNext w:val="0"/>
              <w:keepLines w:val="0"/>
              <w:suppressLineNumbers w:val="0"/>
              <w:spacing w:before="0" w:beforeAutospacing="0" w:after="0" w:afterAutospacing="0"/>
              <w:ind w:left="0" w:right="0"/>
              <w:rPr>
                <w:rFonts w:hint="eastAsia"/>
                <w:color w:val="auto"/>
                <w:highlight w:val="yellow"/>
                <w:lang w:val="en-US" w:eastAsia="zh-CN"/>
              </w:rPr>
            </w:pPr>
          </w:p>
          <w:p w14:paraId="5FCDB079">
            <w:pPr>
              <w:keepNext w:val="0"/>
              <w:keepLines w:val="0"/>
              <w:suppressLineNumbers w:val="0"/>
              <w:spacing w:before="0" w:beforeAutospacing="0" w:after="0" w:afterAutospacing="0"/>
              <w:ind w:left="0" w:right="0" w:firstLine="480" w:firstLineChars="200"/>
              <w:rPr>
                <w:rFonts w:hint="eastAsia" w:cs="Times New Roman"/>
                <w:color w:val="auto"/>
                <w:highlight w:val="yellow"/>
                <w:lang w:val="en-US" w:eastAsia="zh-CN"/>
              </w:rPr>
            </w:pPr>
            <w:r>
              <w:rPr>
                <w:rFonts w:hint="eastAsia" w:cs="Times New Roman"/>
                <w:color w:val="auto"/>
                <w:highlight w:val="none"/>
                <w:lang w:val="en-US" w:eastAsia="zh-CN"/>
              </w:rPr>
              <w:t>根据各污染物浓度情况，本项目区域环境空气质量现状评价情况如下表。</w:t>
            </w:r>
          </w:p>
          <w:p w14:paraId="0FC6AB7D">
            <w:pPr>
              <w:pStyle w:val="36"/>
              <w:keepLines w:val="0"/>
              <w:numPr>
                <w:ilvl w:val="3"/>
                <w:numId w:val="0"/>
              </w:numPr>
              <w:suppressLineNumbers w:val="0"/>
              <w:tabs>
                <w:tab w:val="left" w:pos="0"/>
              </w:tabs>
              <w:bidi w:val="0"/>
              <w:spacing w:before="0" w:beforeAutospacing="0" w:after="0" w:afterAutospacing="0"/>
              <w:ind w:left="0" w:leftChars="0" w:right="0" w:firstLine="0" w:firstLineChars="0"/>
              <w:rPr>
                <w:rFonts w:hint="eastAsia" w:cs="Times New Roman"/>
                <w:color w:val="auto"/>
                <w:highlight w:val="none"/>
                <w:lang w:val="en-US" w:eastAsia="zh-CN"/>
              </w:rPr>
            </w:pPr>
            <w:r>
              <w:rPr>
                <w:rFonts w:hint="default" w:ascii="Times New Roman" w:hAnsi="Times New Roman" w:eastAsia="宋体" w:cs="Times New Roman"/>
                <w:b/>
                <w:bCs/>
                <w:color w:val="auto"/>
                <w:kern w:val="2"/>
                <w:sz w:val="21"/>
                <w:szCs w:val="21"/>
                <w:highlight w:val="none"/>
                <w:lang w:val="en-US" w:eastAsia="zh-CN" w:bidi="ar-SA"/>
              </w:rPr>
              <w:t>表</w:t>
            </w:r>
            <w:r>
              <w:rPr>
                <w:rFonts w:hint="default" w:ascii="Times New Roman" w:hAnsi="Times New Roman" w:cs="Times New Roman"/>
                <w:b/>
                <w:bCs/>
                <w:color w:val="auto"/>
                <w:kern w:val="2"/>
                <w:sz w:val="21"/>
                <w:szCs w:val="21"/>
                <w:highlight w:val="none"/>
                <w:lang w:val="en-US" w:eastAsia="zh-CN" w:bidi="ar-SA"/>
              </w:rPr>
              <w:t>3</w:t>
            </w:r>
            <w:r>
              <w:rPr>
                <w:rFonts w:hint="eastAsia" w:cs="Times New Roman"/>
                <w:b/>
                <w:bCs/>
                <w:color w:val="auto"/>
                <w:kern w:val="2"/>
                <w:sz w:val="21"/>
                <w:szCs w:val="21"/>
                <w:highlight w:val="none"/>
                <w:lang w:val="en-US" w:eastAsia="zh-CN" w:bidi="ar-SA"/>
              </w:rPr>
              <w:t>.1-</w:t>
            </w:r>
            <w:r>
              <w:rPr>
                <w:rFonts w:hint="default" w:ascii="Times New Roman" w:hAnsi="Times New Roman" w:cs="Times New Roman"/>
                <w:b/>
                <w:bCs/>
                <w:color w:val="auto"/>
                <w:kern w:val="2"/>
                <w:sz w:val="21"/>
                <w:szCs w:val="21"/>
                <w:highlight w:val="none"/>
                <w:lang w:val="en-US" w:eastAsia="zh-CN" w:bidi="ar-SA"/>
              </w:rPr>
              <w:t>1</w:t>
            </w:r>
            <w:r>
              <w:rPr>
                <w:rFonts w:hint="eastAsia" w:cs="Times New Roman"/>
                <w:b/>
                <w:bCs/>
                <w:color w:val="auto"/>
                <w:kern w:val="2"/>
                <w:sz w:val="21"/>
                <w:szCs w:val="21"/>
                <w:highlight w:val="none"/>
                <w:lang w:val="en-US" w:eastAsia="zh-CN" w:bidi="ar-SA"/>
              </w:rPr>
              <w:t xml:space="preserve">  </w:t>
            </w:r>
            <w:r>
              <w:rPr>
                <w:rFonts w:hint="eastAsia" w:cs="Times New Roman"/>
                <w:color w:val="auto"/>
                <w:highlight w:val="none"/>
                <w:lang w:val="en-US" w:eastAsia="zh-CN"/>
              </w:rPr>
              <w:t>项目所在区域空气质量现状评价表</w:t>
            </w:r>
          </w:p>
          <w:tbl>
            <w:tblPr>
              <w:tblStyle w:val="2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27"/>
              <w:gridCol w:w="2958"/>
              <w:gridCol w:w="1217"/>
              <w:gridCol w:w="1209"/>
              <w:gridCol w:w="1066"/>
              <w:gridCol w:w="854"/>
            </w:tblGrid>
            <w:tr w14:paraId="65199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70" w:hRule="atLeast"/>
                <w:tblHeader/>
                <w:jc w:val="center"/>
              </w:trPr>
              <w:tc>
                <w:tcPr>
                  <w:tcW w:w="508" w:type="pct"/>
                  <w:noWrap w:val="0"/>
                  <w:tcMar>
                    <w:top w:w="0" w:type="dxa"/>
                    <w:left w:w="108" w:type="dxa"/>
                    <w:bottom w:w="0" w:type="dxa"/>
                    <w:right w:w="108" w:type="dxa"/>
                  </w:tcMar>
                  <w:vAlign w:val="center"/>
                </w:tcPr>
                <w:p w14:paraId="7A1BC73F">
                  <w:pPr>
                    <w:pStyle w:val="37"/>
                    <w:keepNext w:val="0"/>
                    <w:keepLines w:val="0"/>
                    <w:suppressLineNumbers w:val="0"/>
                    <w:spacing w:before="0" w:beforeAutospacing="0" w:after="0" w:afterAutospacing="0"/>
                    <w:ind w:left="0" w:right="0"/>
                    <w:rPr>
                      <w:rFonts w:hint="default" w:cs="Times New Roman"/>
                      <w:b/>
                      <w:bCs/>
                      <w:color w:val="auto"/>
                      <w:highlight w:val="none"/>
                    </w:rPr>
                  </w:pPr>
                  <w:r>
                    <w:rPr>
                      <w:rFonts w:hint="default" w:cs="Times New Roman"/>
                      <w:b/>
                      <w:bCs/>
                      <w:color w:val="auto"/>
                      <w:highlight w:val="none"/>
                    </w:rPr>
                    <w:t>评价因子</w:t>
                  </w:r>
                </w:p>
              </w:tc>
              <w:tc>
                <w:tcPr>
                  <w:tcW w:w="1818" w:type="pct"/>
                  <w:noWrap w:val="0"/>
                  <w:tcMar>
                    <w:top w:w="0" w:type="dxa"/>
                    <w:left w:w="108" w:type="dxa"/>
                    <w:bottom w:w="0" w:type="dxa"/>
                    <w:right w:w="108" w:type="dxa"/>
                  </w:tcMar>
                  <w:vAlign w:val="center"/>
                </w:tcPr>
                <w:p w14:paraId="2CA53C11">
                  <w:pPr>
                    <w:pStyle w:val="37"/>
                    <w:keepNext w:val="0"/>
                    <w:keepLines w:val="0"/>
                    <w:suppressLineNumbers w:val="0"/>
                    <w:spacing w:before="0" w:beforeAutospacing="0" w:after="0" w:afterAutospacing="0"/>
                    <w:ind w:left="0" w:right="0"/>
                    <w:rPr>
                      <w:rFonts w:hint="default" w:cs="Times New Roman"/>
                      <w:b/>
                      <w:bCs/>
                      <w:color w:val="auto"/>
                      <w:highlight w:val="none"/>
                    </w:rPr>
                  </w:pPr>
                  <w:r>
                    <w:rPr>
                      <w:rFonts w:hint="default" w:cs="Times New Roman"/>
                      <w:b/>
                      <w:bCs/>
                      <w:color w:val="auto"/>
                      <w:highlight w:val="none"/>
                    </w:rPr>
                    <w:t>年评价指标</w:t>
                  </w:r>
                </w:p>
              </w:tc>
              <w:tc>
                <w:tcPr>
                  <w:tcW w:w="748" w:type="pct"/>
                  <w:noWrap w:val="0"/>
                  <w:tcMar>
                    <w:top w:w="0" w:type="dxa"/>
                    <w:left w:w="108" w:type="dxa"/>
                    <w:bottom w:w="0" w:type="dxa"/>
                    <w:right w:w="108" w:type="dxa"/>
                  </w:tcMar>
                  <w:vAlign w:val="center"/>
                </w:tcPr>
                <w:p w14:paraId="2A666A56">
                  <w:pPr>
                    <w:pStyle w:val="37"/>
                    <w:keepNext w:val="0"/>
                    <w:keepLines w:val="0"/>
                    <w:suppressLineNumbers w:val="0"/>
                    <w:spacing w:before="0" w:beforeAutospacing="0" w:after="0" w:afterAutospacing="0"/>
                    <w:ind w:left="0" w:right="0"/>
                    <w:rPr>
                      <w:rFonts w:hint="default" w:cs="Times New Roman"/>
                      <w:b/>
                      <w:bCs/>
                      <w:color w:val="auto"/>
                      <w:highlight w:val="none"/>
                    </w:rPr>
                  </w:pPr>
                  <w:r>
                    <w:rPr>
                      <w:rFonts w:hint="default" w:cs="Times New Roman"/>
                      <w:b/>
                      <w:bCs/>
                      <w:color w:val="auto"/>
                      <w:highlight w:val="none"/>
                    </w:rPr>
                    <w:t>现状浓度</w:t>
                  </w:r>
                </w:p>
                <w:p w14:paraId="4FA3B816">
                  <w:pPr>
                    <w:pStyle w:val="37"/>
                    <w:keepNext w:val="0"/>
                    <w:keepLines w:val="0"/>
                    <w:suppressLineNumbers w:val="0"/>
                    <w:spacing w:before="0" w:beforeAutospacing="0" w:after="0" w:afterAutospacing="0"/>
                    <w:ind w:left="0" w:right="0"/>
                    <w:rPr>
                      <w:rFonts w:hint="default" w:cs="Times New Roman"/>
                      <w:b/>
                      <w:bCs/>
                      <w:color w:val="auto"/>
                      <w:highlight w:val="none"/>
                    </w:rPr>
                  </w:pPr>
                  <w:r>
                    <w:rPr>
                      <w:rFonts w:hint="default" w:cs="Times New Roman"/>
                      <w:b/>
                      <w:bCs/>
                      <w:color w:val="auto"/>
                      <w:highlight w:val="none"/>
                    </w:rPr>
                    <w:t>（μ</w:t>
                  </w:r>
                  <w:r>
                    <w:rPr>
                      <w:rFonts w:hint="default" w:ascii="Times New Roman" w:hAnsi="Times New Roman" w:cs="Times New Roman"/>
                      <w:b/>
                      <w:bCs/>
                      <w:color w:val="auto"/>
                      <w:highlight w:val="none"/>
                    </w:rPr>
                    <w:t>g</w:t>
                  </w:r>
                  <w:r>
                    <w:rPr>
                      <w:rFonts w:hint="default" w:cs="Times New Roman"/>
                      <w:b/>
                      <w:bCs/>
                      <w:color w:val="auto"/>
                      <w:highlight w:val="none"/>
                    </w:rPr>
                    <w:t>/</w:t>
                  </w:r>
                  <w:r>
                    <w:rPr>
                      <w:rFonts w:hint="default" w:ascii="Times New Roman" w:hAnsi="Times New Roman" w:cs="Times New Roman"/>
                      <w:b/>
                      <w:bCs/>
                      <w:color w:val="auto"/>
                      <w:highlight w:val="none"/>
                    </w:rPr>
                    <w:t>m</w:t>
                  </w:r>
                  <w:r>
                    <w:rPr>
                      <w:rFonts w:hint="default" w:ascii="Times New Roman" w:hAnsi="Times New Roman" w:cs="Times New Roman"/>
                      <w:b/>
                      <w:bCs/>
                      <w:color w:val="auto"/>
                      <w:highlight w:val="none"/>
                      <w:vertAlign w:val="superscript"/>
                    </w:rPr>
                    <w:t>3</w:t>
                  </w:r>
                  <w:r>
                    <w:rPr>
                      <w:rFonts w:hint="default" w:cs="Times New Roman"/>
                      <w:b/>
                      <w:bCs/>
                      <w:color w:val="auto"/>
                      <w:highlight w:val="none"/>
                    </w:rPr>
                    <w:t>）</w:t>
                  </w:r>
                </w:p>
              </w:tc>
              <w:tc>
                <w:tcPr>
                  <w:tcW w:w="743" w:type="pct"/>
                  <w:noWrap w:val="0"/>
                  <w:tcMar>
                    <w:top w:w="0" w:type="dxa"/>
                    <w:left w:w="108" w:type="dxa"/>
                    <w:bottom w:w="0" w:type="dxa"/>
                    <w:right w:w="108" w:type="dxa"/>
                  </w:tcMar>
                  <w:vAlign w:val="center"/>
                </w:tcPr>
                <w:p w14:paraId="63D5020C">
                  <w:pPr>
                    <w:pStyle w:val="37"/>
                    <w:keepNext w:val="0"/>
                    <w:keepLines w:val="0"/>
                    <w:suppressLineNumbers w:val="0"/>
                    <w:spacing w:before="0" w:beforeAutospacing="0" w:after="0" w:afterAutospacing="0"/>
                    <w:ind w:left="0" w:right="0"/>
                    <w:rPr>
                      <w:rFonts w:hint="default" w:cs="Times New Roman"/>
                      <w:b/>
                      <w:bCs/>
                      <w:color w:val="auto"/>
                      <w:highlight w:val="none"/>
                    </w:rPr>
                  </w:pPr>
                  <w:r>
                    <w:rPr>
                      <w:rFonts w:hint="default" w:cs="Times New Roman"/>
                      <w:b/>
                      <w:bCs/>
                      <w:color w:val="auto"/>
                      <w:highlight w:val="none"/>
                    </w:rPr>
                    <w:t>标准值</w:t>
                  </w:r>
                </w:p>
                <w:p w14:paraId="0101D059">
                  <w:pPr>
                    <w:pStyle w:val="37"/>
                    <w:keepNext w:val="0"/>
                    <w:keepLines w:val="0"/>
                    <w:suppressLineNumbers w:val="0"/>
                    <w:spacing w:before="0" w:beforeAutospacing="0" w:after="0" w:afterAutospacing="0"/>
                    <w:ind w:left="0" w:right="0"/>
                    <w:rPr>
                      <w:rFonts w:hint="default" w:cs="Times New Roman"/>
                      <w:b/>
                      <w:bCs/>
                      <w:color w:val="auto"/>
                      <w:highlight w:val="none"/>
                    </w:rPr>
                  </w:pPr>
                  <w:r>
                    <w:rPr>
                      <w:rFonts w:hint="default" w:cs="Times New Roman"/>
                      <w:b/>
                      <w:bCs/>
                      <w:color w:val="auto"/>
                      <w:highlight w:val="none"/>
                    </w:rPr>
                    <w:t>（μ</w:t>
                  </w:r>
                  <w:r>
                    <w:rPr>
                      <w:rFonts w:hint="default" w:ascii="Times New Roman" w:hAnsi="Times New Roman" w:cs="Times New Roman"/>
                      <w:b/>
                      <w:bCs/>
                      <w:color w:val="auto"/>
                      <w:highlight w:val="none"/>
                    </w:rPr>
                    <w:t>g</w:t>
                  </w:r>
                  <w:r>
                    <w:rPr>
                      <w:rFonts w:hint="default" w:cs="Times New Roman"/>
                      <w:b/>
                      <w:bCs/>
                      <w:color w:val="auto"/>
                      <w:highlight w:val="none"/>
                    </w:rPr>
                    <w:t>/</w:t>
                  </w:r>
                  <w:r>
                    <w:rPr>
                      <w:rFonts w:hint="default" w:ascii="Times New Roman" w:hAnsi="Times New Roman" w:cs="Times New Roman"/>
                      <w:b/>
                      <w:bCs/>
                      <w:color w:val="auto"/>
                      <w:highlight w:val="none"/>
                    </w:rPr>
                    <w:t>m</w:t>
                  </w:r>
                  <w:r>
                    <w:rPr>
                      <w:rFonts w:hint="default" w:ascii="Times New Roman" w:hAnsi="Times New Roman" w:cs="Times New Roman"/>
                      <w:b/>
                      <w:bCs/>
                      <w:color w:val="auto"/>
                      <w:highlight w:val="none"/>
                      <w:vertAlign w:val="superscript"/>
                    </w:rPr>
                    <w:t>3</w:t>
                  </w:r>
                  <w:r>
                    <w:rPr>
                      <w:rFonts w:hint="default" w:cs="Times New Roman"/>
                      <w:b/>
                      <w:bCs/>
                      <w:color w:val="auto"/>
                      <w:highlight w:val="none"/>
                    </w:rPr>
                    <w:t>）</w:t>
                  </w:r>
                </w:p>
              </w:tc>
              <w:tc>
                <w:tcPr>
                  <w:tcW w:w="655" w:type="pct"/>
                  <w:noWrap w:val="0"/>
                  <w:tcMar>
                    <w:top w:w="0" w:type="dxa"/>
                    <w:left w:w="108" w:type="dxa"/>
                    <w:bottom w:w="0" w:type="dxa"/>
                    <w:right w:w="108" w:type="dxa"/>
                  </w:tcMar>
                  <w:vAlign w:val="center"/>
                </w:tcPr>
                <w:p w14:paraId="29377E3C">
                  <w:pPr>
                    <w:pStyle w:val="37"/>
                    <w:keepNext w:val="0"/>
                    <w:keepLines w:val="0"/>
                    <w:suppressLineNumbers w:val="0"/>
                    <w:spacing w:before="0" w:beforeAutospacing="0" w:after="0" w:afterAutospacing="0"/>
                    <w:ind w:left="0" w:right="0"/>
                    <w:rPr>
                      <w:rFonts w:hint="default" w:cs="Times New Roman"/>
                      <w:b/>
                      <w:bCs/>
                      <w:color w:val="auto"/>
                      <w:highlight w:val="none"/>
                    </w:rPr>
                  </w:pPr>
                  <w:r>
                    <w:rPr>
                      <w:rFonts w:hint="default" w:cs="Times New Roman"/>
                      <w:b/>
                      <w:bCs/>
                      <w:color w:val="auto"/>
                      <w:highlight w:val="none"/>
                    </w:rPr>
                    <w:t>占标率（%）</w:t>
                  </w:r>
                </w:p>
              </w:tc>
              <w:tc>
                <w:tcPr>
                  <w:tcW w:w="525" w:type="pct"/>
                  <w:noWrap w:val="0"/>
                  <w:vAlign w:val="center"/>
                </w:tcPr>
                <w:p w14:paraId="50584C89">
                  <w:pPr>
                    <w:pStyle w:val="37"/>
                    <w:keepNext w:val="0"/>
                    <w:keepLines w:val="0"/>
                    <w:suppressLineNumbers w:val="0"/>
                    <w:spacing w:before="0" w:beforeAutospacing="0" w:after="0" w:afterAutospacing="0"/>
                    <w:ind w:left="0" w:right="0"/>
                    <w:rPr>
                      <w:rFonts w:hint="default" w:cs="Times New Roman"/>
                      <w:b/>
                      <w:bCs/>
                      <w:color w:val="auto"/>
                      <w:highlight w:val="none"/>
                    </w:rPr>
                  </w:pPr>
                  <w:r>
                    <w:rPr>
                      <w:rFonts w:hint="default" w:cs="Times New Roman"/>
                      <w:b/>
                      <w:bCs/>
                      <w:color w:val="auto"/>
                      <w:highlight w:val="none"/>
                    </w:rPr>
                    <w:t>达标情况</w:t>
                  </w:r>
                </w:p>
              </w:tc>
            </w:tr>
            <w:tr w14:paraId="6883A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70" w:hRule="atLeast"/>
                <w:jc w:val="center"/>
              </w:trPr>
              <w:tc>
                <w:tcPr>
                  <w:tcW w:w="508" w:type="pct"/>
                  <w:noWrap w:val="0"/>
                  <w:tcMar>
                    <w:top w:w="0" w:type="dxa"/>
                    <w:left w:w="108" w:type="dxa"/>
                    <w:bottom w:w="0" w:type="dxa"/>
                    <w:right w:w="108" w:type="dxa"/>
                  </w:tcMar>
                  <w:vAlign w:val="center"/>
                </w:tcPr>
                <w:p w14:paraId="5DE1AAF3">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SO</w:t>
                  </w:r>
                  <w:r>
                    <w:rPr>
                      <w:rFonts w:hint="default" w:ascii="Times New Roman" w:hAnsi="Times New Roman" w:cs="Times New Roman"/>
                      <w:color w:val="auto"/>
                      <w:highlight w:val="none"/>
                      <w:vertAlign w:val="subscript"/>
                    </w:rPr>
                    <w:t>2</w:t>
                  </w:r>
                </w:p>
              </w:tc>
              <w:tc>
                <w:tcPr>
                  <w:tcW w:w="1818" w:type="pct"/>
                  <w:noWrap w:val="0"/>
                  <w:tcMar>
                    <w:top w:w="0" w:type="dxa"/>
                    <w:left w:w="108" w:type="dxa"/>
                    <w:bottom w:w="0" w:type="dxa"/>
                    <w:right w:w="108" w:type="dxa"/>
                  </w:tcMar>
                  <w:vAlign w:val="center"/>
                </w:tcPr>
                <w:p w14:paraId="35F478F5">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年平均质量浓度浓度</w:t>
                  </w:r>
                </w:p>
              </w:tc>
              <w:tc>
                <w:tcPr>
                  <w:tcW w:w="748" w:type="pct"/>
                  <w:noWrap w:val="0"/>
                  <w:tcMar>
                    <w:top w:w="0" w:type="dxa"/>
                    <w:left w:w="108" w:type="dxa"/>
                    <w:bottom w:w="0" w:type="dxa"/>
                    <w:right w:w="108" w:type="dxa"/>
                  </w:tcMar>
                  <w:vAlign w:val="center"/>
                </w:tcPr>
                <w:p w14:paraId="3EB61331">
                  <w:pPr>
                    <w:pStyle w:val="37"/>
                    <w:keepNext w:val="0"/>
                    <w:keepLines w:val="0"/>
                    <w:suppressLineNumbers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7</w:t>
                  </w:r>
                </w:p>
              </w:tc>
              <w:tc>
                <w:tcPr>
                  <w:tcW w:w="743" w:type="pct"/>
                  <w:noWrap w:val="0"/>
                  <w:tcMar>
                    <w:top w:w="0" w:type="dxa"/>
                    <w:left w:w="108" w:type="dxa"/>
                    <w:bottom w:w="0" w:type="dxa"/>
                    <w:right w:w="108" w:type="dxa"/>
                  </w:tcMar>
                  <w:vAlign w:val="center"/>
                </w:tcPr>
                <w:p w14:paraId="75911AC8">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60</w:t>
                  </w:r>
                </w:p>
              </w:tc>
              <w:tc>
                <w:tcPr>
                  <w:tcW w:w="1066" w:type="dxa"/>
                  <w:noWrap w:val="0"/>
                  <w:tcMar>
                    <w:top w:w="0" w:type="dxa"/>
                    <w:left w:w="108" w:type="dxa"/>
                    <w:bottom w:w="0" w:type="dxa"/>
                    <w:right w:w="108" w:type="dxa"/>
                  </w:tcMar>
                  <w:vAlign w:val="center"/>
                </w:tcPr>
                <w:p w14:paraId="1F6D88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eastAsia="宋体" w:cs="Times New Roman"/>
                      <w:color w:val="auto"/>
                      <w:highlight w:val="none"/>
                      <w:lang w:val="en-US" w:eastAsia="zh-CN"/>
                    </w:rPr>
                  </w:pPr>
                  <w:r>
                    <w:rPr>
                      <w:rFonts w:hint="default" w:ascii="Times New Roman" w:hAnsi="Times New Roman" w:eastAsia="宋体" w:cs="Times New Roman"/>
                      <w:i w:val="0"/>
                      <w:iCs w:val="0"/>
                      <w:color w:val="000000"/>
                      <w:kern w:val="0"/>
                      <w:sz w:val="21"/>
                      <w:szCs w:val="21"/>
                      <w:highlight w:val="none"/>
                      <w:u w:val="none"/>
                      <w:lang w:val="en-US" w:eastAsia="zh-CN" w:bidi="ar"/>
                    </w:rPr>
                    <w:t xml:space="preserve">11.67 </w:t>
                  </w:r>
                </w:p>
              </w:tc>
              <w:tc>
                <w:tcPr>
                  <w:tcW w:w="525" w:type="pct"/>
                  <w:noWrap w:val="0"/>
                  <w:vAlign w:val="center"/>
                </w:tcPr>
                <w:p w14:paraId="16D4EF35">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达标</w:t>
                  </w:r>
                </w:p>
              </w:tc>
            </w:tr>
            <w:tr w14:paraId="1D400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70" w:hRule="atLeast"/>
                <w:jc w:val="center"/>
              </w:trPr>
              <w:tc>
                <w:tcPr>
                  <w:tcW w:w="508" w:type="pct"/>
                  <w:noWrap w:val="0"/>
                  <w:tcMar>
                    <w:top w:w="0" w:type="dxa"/>
                    <w:left w:w="108" w:type="dxa"/>
                    <w:bottom w:w="0" w:type="dxa"/>
                    <w:right w:w="108" w:type="dxa"/>
                  </w:tcMar>
                  <w:vAlign w:val="center"/>
                </w:tcPr>
                <w:p w14:paraId="0258DFE4">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NO</w:t>
                  </w:r>
                  <w:r>
                    <w:rPr>
                      <w:rFonts w:hint="default" w:ascii="Times New Roman" w:hAnsi="Times New Roman" w:cs="Times New Roman"/>
                      <w:color w:val="auto"/>
                      <w:highlight w:val="none"/>
                      <w:vertAlign w:val="subscript"/>
                    </w:rPr>
                    <w:t>2</w:t>
                  </w:r>
                </w:p>
              </w:tc>
              <w:tc>
                <w:tcPr>
                  <w:tcW w:w="1818" w:type="pct"/>
                  <w:noWrap w:val="0"/>
                  <w:tcMar>
                    <w:top w:w="0" w:type="dxa"/>
                    <w:left w:w="108" w:type="dxa"/>
                    <w:bottom w:w="0" w:type="dxa"/>
                    <w:right w:w="108" w:type="dxa"/>
                  </w:tcMar>
                  <w:vAlign w:val="center"/>
                </w:tcPr>
                <w:p w14:paraId="4CCBFEC2">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年平均质量浓度</w:t>
                  </w:r>
                </w:p>
              </w:tc>
              <w:tc>
                <w:tcPr>
                  <w:tcW w:w="748" w:type="pct"/>
                  <w:noWrap w:val="0"/>
                  <w:tcMar>
                    <w:top w:w="0" w:type="dxa"/>
                    <w:left w:w="108" w:type="dxa"/>
                    <w:bottom w:w="0" w:type="dxa"/>
                    <w:right w:w="108" w:type="dxa"/>
                  </w:tcMar>
                  <w:vAlign w:val="center"/>
                </w:tcPr>
                <w:p w14:paraId="62C97480">
                  <w:pPr>
                    <w:pStyle w:val="37"/>
                    <w:keepNext w:val="0"/>
                    <w:keepLines w:val="0"/>
                    <w:suppressLineNumbers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11</w:t>
                  </w:r>
                </w:p>
              </w:tc>
              <w:tc>
                <w:tcPr>
                  <w:tcW w:w="743" w:type="pct"/>
                  <w:noWrap w:val="0"/>
                  <w:tcMar>
                    <w:top w:w="0" w:type="dxa"/>
                    <w:left w:w="108" w:type="dxa"/>
                    <w:bottom w:w="0" w:type="dxa"/>
                    <w:right w:w="108" w:type="dxa"/>
                  </w:tcMar>
                  <w:vAlign w:val="center"/>
                </w:tcPr>
                <w:p w14:paraId="043C970F">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40</w:t>
                  </w:r>
                </w:p>
              </w:tc>
              <w:tc>
                <w:tcPr>
                  <w:tcW w:w="1066" w:type="dxa"/>
                  <w:noWrap w:val="0"/>
                  <w:tcMar>
                    <w:top w:w="0" w:type="dxa"/>
                    <w:left w:w="108" w:type="dxa"/>
                    <w:bottom w:w="0" w:type="dxa"/>
                    <w:right w:w="108" w:type="dxa"/>
                  </w:tcMar>
                  <w:vAlign w:val="center"/>
                </w:tcPr>
                <w:p w14:paraId="388B50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eastAsia="宋体" w:cs="Times New Roman"/>
                      <w:color w:val="auto"/>
                      <w:highlight w:val="none"/>
                      <w:lang w:val="en-US" w:eastAsia="zh-CN"/>
                    </w:rPr>
                  </w:pPr>
                  <w:r>
                    <w:rPr>
                      <w:rFonts w:hint="default" w:ascii="Times New Roman" w:hAnsi="Times New Roman" w:eastAsia="宋体" w:cs="Times New Roman"/>
                      <w:i w:val="0"/>
                      <w:iCs w:val="0"/>
                      <w:color w:val="000000"/>
                      <w:kern w:val="0"/>
                      <w:sz w:val="21"/>
                      <w:szCs w:val="21"/>
                      <w:highlight w:val="none"/>
                      <w:u w:val="none"/>
                      <w:lang w:val="en-US" w:eastAsia="zh-CN" w:bidi="ar"/>
                    </w:rPr>
                    <w:t xml:space="preserve">27.50 </w:t>
                  </w:r>
                </w:p>
              </w:tc>
              <w:tc>
                <w:tcPr>
                  <w:tcW w:w="525" w:type="pct"/>
                  <w:noWrap w:val="0"/>
                  <w:vAlign w:val="center"/>
                </w:tcPr>
                <w:p w14:paraId="559FC6FE">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达标</w:t>
                  </w:r>
                </w:p>
              </w:tc>
            </w:tr>
            <w:tr w14:paraId="48A99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70" w:hRule="atLeast"/>
                <w:jc w:val="center"/>
              </w:trPr>
              <w:tc>
                <w:tcPr>
                  <w:tcW w:w="508" w:type="pct"/>
                  <w:noWrap w:val="0"/>
                  <w:tcMar>
                    <w:top w:w="0" w:type="dxa"/>
                    <w:left w:w="108" w:type="dxa"/>
                    <w:bottom w:w="0" w:type="dxa"/>
                    <w:right w:w="108" w:type="dxa"/>
                  </w:tcMar>
                  <w:vAlign w:val="center"/>
                </w:tcPr>
                <w:p w14:paraId="4D311A22">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CO</w:t>
                  </w:r>
                </w:p>
              </w:tc>
              <w:tc>
                <w:tcPr>
                  <w:tcW w:w="1818" w:type="pct"/>
                  <w:noWrap w:val="0"/>
                  <w:tcMar>
                    <w:top w:w="0" w:type="dxa"/>
                    <w:left w:w="108" w:type="dxa"/>
                    <w:bottom w:w="0" w:type="dxa"/>
                    <w:right w:w="108" w:type="dxa"/>
                  </w:tcMar>
                  <w:vAlign w:val="center"/>
                </w:tcPr>
                <w:p w14:paraId="156D361D">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百分位数日平均质量</w:t>
                  </w:r>
                </w:p>
              </w:tc>
              <w:tc>
                <w:tcPr>
                  <w:tcW w:w="748" w:type="pct"/>
                  <w:noWrap w:val="0"/>
                  <w:tcMar>
                    <w:top w:w="0" w:type="dxa"/>
                    <w:left w:w="108" w:type="dxa"/>
                    <w:bottom w:w="0" w:type="dxa"/>
                    <w:right w:w="108" w:type="dxa"/>
                  </w:tcMar>
                  <w:vAlign w:val="center"/>
                </w:tcPr>
                <w:p w14:paraId="0303AFE0">
                  <w:pPr>
                    <w:pStyle w:val="37"/>
                    <w:keepNext w:val="0"/>
                    <w:keepLines w:val="0"/>
                    <w:suppressLineNumbers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1.1</w:t>
                  </w:r>
                </w:p>
              </w:tc>
              <w:tc>
                <w:tcPr>
                  <w:tcW w:w="743" w:type="pct"/>
                  <w:noWrap w:val="0"/>
                  <w:tcMar>
                    <w:top w:w="0" w:type="dxa"/>
                    <w:left w:w="108" w:type="dxa"/>
                    <w:bottom w:w="0" w:type="dxa"/>
                    <w:right w:w="108" w:type="dxa"/>
                  </w:tcMar>
                  <w:vAlign w:val="center"/>
                </w:tcPr>
                <w:p w14:paraId="6C67C732">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4</w:t>
                  </w:r>
                </w:p>
              </w:tc>
              <w:tc>
                <w:tcPr>
                  <w:tcW w:w="1066" w:type="dxa"/>
                  <w:noWrap w:val="0"/>
                  <w:tcMar>
                    <w:top w:w="0" w:type="dxa"/>
                    <w:left w:w="108" w:type="dxa"/>
                    <w:bottom w:w="0" w:type="dxa"/>
                    <w:right w:w="108" w:type="dxa"/>
                  </w:tcMar>
                  <w:vAlign w:val="center"/>
                </w:tcPr>
                <w:p w14:paraId="7B7A7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eastAsia="宋体" w:cs="Times New Roman"/>
                      <w:color w:val="auto"/>
                      <w:highlight w:val="none"/>
                      <w:lang w:val="en-US" w:eastAsia="zh-CN"/>
                    </w:rPr>
                  </w:pPr>
                  <w:r>
                    <w:rPr>
                      <w:rFonts w:hint="default" w:ascii="Times New Roman" w:hAnsi="Times New Roman" w:eastAsia="宋体" w:cs="Times New Roman"/>
                      <w:i w:val="0"/>
                      <w:iCs w:val="0"/>
                      <w:color w:val="000000"/>
                      <w:kern w:val="0"/>
                      <w:sz w:val="21"/>
                      <w:szCs w:val="21"/>
                      <w:highlight w:val="none"/>
                      <w:u w:val="none"/>
                      <w:lang w:val="en-US" w:eastAsia="zh-CN" w:bidi="ar"/>
                    </w:rPr>
                    <w:t xml:space="preserve">27.50 </w:t>
                  </w:r>
                </w:p>
              </w:tc>
              <w:tc>
                <w:tcPr>
                  <w:tcW w:w="525" w:type="pct"/>
                  <w:noWrap w:val="0"/>
                  <w:vAlign w:val="center"/>
                </w:tcPr>
                <w:p w14:paraId="146B362C">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达标</w:t>
                  </w:r>
                </w:p>
              </w:tc>
            </w:tr>
            <w:tr w14:paraId="77E03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70" w:hRule="atLeast"/>
                <w:jc w:val="center"/>
              </w:trPr>
              <w:tc>
                <w:tcPr>
                  <w:tcW w:w="508" w:type="pct"/>
                  <w:noWrap w:val="0"/>
                  <w:tcMar>
                    <w:top w:w="0" w:type="dxa"/>
                    <w:left w:w="108" w:type="dxa"/>
                    <w:bottom w:w="0" w:type="dxa"/>
                    <w:right w:w="108" w:type="dxa"/>
                  </w:tcMar>
                  <w:vAlign w:val="center"/>
                </w:tcPr>
                <w:p w14:paraId="692C34B7">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O</w:t>
                  </w:r>
                  <w:r>
                    <w:rPr>
                      <w:rFonts w:hint="default" w:ascii="Times New Roman" w:hAnsi="Times New Roman" w:cs="Times New Roman"/>
                      <w:color w:val="auto"/>
                      <w:highlight w:val="none"/>
                      <w:vertAlign w:val="subscript"/>
                    </w:rPr>
                    <w:t>3</w:t>
                  </w:r>
                </w:p>
              </w:tc>
              <w:tc>
                <w:tcPr>
                  <w:tcW w:w="1818" w:type="pct"/>
                  <w:noWrap w:val="0"/>
                  <w:tcMar>
                    <w:top w:w="0" w:type="dxa"/>
                    <w:left w:w="108" w:type="dxa"/>
                    <w:bottom w:w="0" w:type="dxa"/>
                    <w:right w:w="108" w:type="dxa"/>
                  </w:tcMar>
                  <w:vAlign w:val="center"/>
                </w:tcPr>
                <w:p w14:paraId="1D1BB305">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百分位数</w:t>
                  </w:r>
                  <w:r>
                    <w:rPr>
                      <w:rFonts w:hint="default" w:ascii="Times New Roman" w:hAnsi="Times New Roman" w:cs="Times New Roman"/>
                      <w:color w:val="auto"/>
                      <w:highlight w:val="none"/>
                    </w:rPr>
                    <w:t>8h</w:t>
                  </w:r>
                  <w:r>
                    <w:rPr>
                      <w:rFonts w:hint="default" w:cs="Times New Roman"/>
                      <w:color w:val="auto"/>
                      <w:highlight w:val="none"/>
                    </w:rPr>
                    <w:t>平均质量浓度</w:t>
                  </w:r>
                </w:p>
              </w:tc>
              <w:tc>
                <w:tcPr>
                  <w:tcW w:w="748" w:type="pct"/>
                  <w:noWrap w:val="0"/>
                  <w:tcMar>
                    <w:top w:w="0" w:type="dxa"/>
                    <w:left w:w="108" w:type="dxa"/>
                    <w:bottom w:w="0" w:type="dxa"/>
                    <w:right w:w="108" w:type="dxa"/>
                  </w:tcMar>
                  <w:vAlign w:val="center"/>
                </w:tcPr>
                <w:p w14:paraId="4A79FE2F">
                  <w:pPr>
                    <w:pStyle w:val="37"/>
                    <w:keepNext w:val="0"/>
                    <w:keepLines w:val="0"/>
                    <w:suppressLineNumbers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126</w:t>
                  </w:r>
                </w:p>
              </w:tc>
              <w:tc>
                <w:tcPr>
                  <w:tcW w:w="743" w:type="pct"/>
                  <w:noWrap w:val="0"/>
                  <w:tcMar>
                    <w:top w:w="0" w:type="dxa"/>
                    <w:left w:w="108" w:type="dxa"/>
                    <w:bottom w:w="0" w:type="dxa"/>
                    <w:right w:w="108" w:type="dxa"/>
                  </w:tcMar>
                  <w:vAlign w:val="center"/>
                </w:tcPr>
                <w:p w14:paraId="380D2D6D">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160</w:t>
                  </w:r>
                </w:p>
              </w:tc>
              <w:tc>
                <w:tcPr>
                  <w:tcW w:w="1066" w:type="dxa"/>
                  <w:noWrap w:val="0"/>
                  <w:tcMar>
                    <w:top w:w="0" w:type="dxa"/>
                    <w:left w:w="108" w:type="dxa"/>
                    <w:bottom w:w="0" w:type="dxa"/>
                    <w:right w:w="108" w:type="dxa"/>
                  </w:tcMar>
                  <w:vAlign w:val="center"/>
                </w:tcPr>
                <w:p w14:paraId="7943A1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eastAsia="宋体" w:cs="Times New Roman"/>
                      <w:color w:val="auto"/>
                      <w:highlight w:val="none"/>
                      <w:lang w:val="en-US" w:eastAsia="zh-CN"/>
                    </w:rPr>
                  </w:pPr>
                  <w:r>
                    <w:rPr>
                      <w:rFonts w:hint="default" w:ascii="Times New Roman" w:hAnsi="Times New Roman" w:eastAsia="宋体" w:cs="Times New Roman"/>
                      <w:i w:val="0"/>
                      <w:iCs w:val="0"/>
                      <w:color w:val="000000"/>
                      <w:kern w:val="0"/>
                      <w:sz w:val="21"/>
                      <w:szCs w:val="21"/>
                      <w:highlight w:val="none"/>
                      <w:u w:val="none"/>
                      <w:lang w:val="en-US" w:eastAsia="zh-CN" w:bidi="ar"/>
                    </w:rPr>
                    <w:t xml:space="preserve">78.75 </w:t>
                  </w:r>
                </w:p>
              </w:tc>
              <w:tc>
                <w:tcPr>
                  <w:tcW w:w="525" w:type="pct"/>
                  <w:noWrap w:val="0"/>
                  <w:vAlign w:val="center"/>
                </w:tcPr>
                <w:p w14:paraId="6C3BEC25">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达标</w:t>
                  </w:r>
                </w:p>
              </w:tc>
            </w:tr>
            <w:tr w14:paraId="134CF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70" w:hRule="atLeast"/>
                <w:jc w:val="center"/>
              </w:trPr>
              <w:tc>
                <w:tcPr>
                  <w:tcW w:w="508" w:type="pct"/>
                  <w:noWrap w:val="0"/>
                  <w:tcMar>
                    <w:top w:w="0" w:type="dxa"/>
                    <w:left w:w="108" w:type="dxa"/>
                    <w:bottom w:w="0" w:type="dxa"/>
                    <w:right w:w="108" w:type="dxa"/>
                  </w:tcMar>
                  <w:vAlign w:val="center"/>
                </w:tcPr>
                <w:p w14:paraId="5D54B31C">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PM</w:t>
                  </w:r>
                  <w:r>
                    <w:rPr>
                      <w:rFonts w:hint="default" w:ascii="Times New Roman" w:hAnsi="Times New Roman" w:cs="Times New Roman"/>
                      <w:color w:val="auto"/>
                      <w:highlight w:val="none"/>
                      <w:vertAlign w:val="subscript"/>
                    </w:rPr>
                    <w:t>10</w:t>
                  </w:r>
                </w:p>
              </w:tc>
              <w:tc>
                <w:tcPr>
                  <w:tcW w:w="1818" w:type="pct"/>
                  <w:noWrap w:val="0"/>
                  <w:tcMar>
                    <w:top w:w="0" w:type="dxa"/>
                    <w:left w:w="108" w:type="dxa"/>
                    <w:bottom w:w="0" w:type="dxa"/>
                    <w:right w:w="108" w:type="dxa"/>
                  </w:tcMar>
                  <w:vAlign w:val="center"/>
                </w:tcPr>
                <w:p w14:paraId="74A1D059">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年平均质量浓度</w:t>
                  </w:r>
                </w:p>
              </w:tc>
              <w:tc>
                <w:tcPr>
                  <w:tcW w:w="748" w:type="pct"/>
                  <w:noWrap w:val="0"/>
                  <w:tcMar>
                    <w:top w:w="0" w:type="dxa"/>
                    <w:left w:w="108" w:type="dxa"/>
                    <w:bottom w:w="0" w:type="dxa"/>
                    <w:right w:w="108" w:type="dxa"/>
                  </w:tcMar>
                  <w:vAlign w:val="center"/>
                </w:tcPr>
                <w:p w14:paraId="5A508FD2">
                  <w:pPr>
                    <w:pStyle w:val="37"/>
                    <w:keepNext w:val="0"/>
                    <w:keepLines w:val="0"/>
                    <w:suppressLineNumbers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45</w:t>
                  </w:r>
                </w:p>
              </w:tc>
              <w:tc>
                <w:tcPr>
                  <w:tcW w:w="743" w:type="pct"/>
                  <w:noWrap w:val="0"/>
                  <w:tcMar>
                    <w:top w:w="0" w:type="dxa"/>
                    <w:left w:w="108" w:type="dxa"/>
                    <w:bottom w:w="0" w:type="dxa"/>
                    <w:right w:w="108" w:type="dxa"/>
                  </w:tcMar>
                  <w:vAlign w:val="center"/>
                </w:tcPr>
                <w:p w14:paraId="535B04E2">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70</w:t>
                  </w:r>
                </w:p>
              </w:tc>
              <w:tc>
                <w:tcPr>
                  <w:tcW w:w="1066" w:type="dxa"/>
                  <w:noWrap w:val="0"/>
                  <w:tcMar>
                    <w:top w:w="0" w:type="dxa"/>
                    <w:left w:w="108" w:type="dxa"/>
                    <w:bottom w:w="0" w:type="dxa"/>
                    <w:right w:w="108" w:type="dxa"/>
                  </w:tcMar>
                  <w:vAlign w:val="center"/>
                </w:tcPr>
                <w:p w14:paraId="3A3236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eastAsia="宋体" w:cs="Times New Roman"/>
                      <w:color w:val="auto"/>
                      <w:highlight w:val="none"/>
                      <w:lang w:val="en-US" w:eastAsia="zh-CN"/>
                    </w:rPr>
                  </w:pPr>
                  <w:r>
                    <w:rPr>
                      <w:rFonts w:hint="default" w:ascii="Times New Roman" w:hAnsi="Times New Roman" w:eastAsia="宋体" w:cs="Times New Roman"/>
                      <w:i w:val="0"/>
                      <w:iCs w:val="0"/>
                      <w:color w:val="000000"/>
                      <w:kern w:val="0"/>
                      <w:sz w:val="21"/>
                      <w:szCs w:val="21"/>
                      <w:highlight w:val="none"/>
                      <w:u w:val="none"/>
                      <w:lang w:val="en-US" w:eastAsia="zh-CN" w:bidi="ar"/>
                    </w:rPr>
                    <w:t xml:space="preserve">64.29 </w:t>
                  </w:r>
                </w:p>
              </w:tc>
              <w:tc>
                <w:tcPr>
                  <w:tcW w:w="525" w:type="pct"/>
                  <w:noWrap w:val="0"/>
                  <w:vAlign w:val="center"/>
                </w:tcPr>
                <w:p w14:paraId="1347B7DB">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达标</w:t>
                  </w:r>
                </w:p>
              </w:tc>
            </w:tr>
            <w:tr w14:paraId="2FDE3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70" w:hRule="atLeast"/>
                <w:jc w:val="center"/>
              </w:trPr>
              <w:tc>
                <w:tcPr>
                  <w:tcW w:w="508" w:type="pct"/>
                  <w:noWrap w:val="0"/>
                  <w:tcMar>
                    <w:top w:w="0" w:type="dxa"/>
                    <w:left w:w="108" w:type="dxa"/>
                    <w:bottom w:w="0" w:type="dxa"/>
                    <w:right w:w="108" w:type="dxa"/>
                  </w:tcMar>
                  <w:vAlign w:val="center"/>
                </w:tcPr>
                <w:p w14:paraId="30D65174">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PM</w:t>
                  </w:r>
                  <w:r>
                    <w:rPr>
                      <w:rFonts w:hint="default" w:ascii="Times New Roman" w:hAnsi="Times New Roman" w:cs="Times New Roman"/>
                      <w:color w:val="auto"/>
                      <w:highlight w:val="none"/>
                      <w:vertAlign w:val="subscript"/>
                    </w:rPr>
                    <w:t>2</w:t>
                  </w:r>
                  <w:r>
                    <w:rPr>
                      <w:rFonts w:hint="default" w:cs="Times New Roman"/>
                      <w:color w:val="auto"/>
                      <w:highlight w:val="none"/>
                      <w:vertAlign w:val="subscript"/>
                    </w:rPr>
                    <w:t>.</w:t>
                  </w:r>
                  <w:r>
                    <w:rPr>
                      <w:rFonts w:hint="default" w:ascii="Times New Roman" w:hAnsi="Times New Roman" w:cs="Times New Roman"/>
                      <w:color w:val="auto"/>
                      <w:highlight w:val="none"/>
                      <w:vertAlign w:val="subscript"/>
                    </w:rPr>
                    <w:t>5</w:t>
                  </w:r>
                </w:p>
              </w:tc>
              <w:tc>
                <w:tcPr>
                  <w:tcW w:w="1818" w:type="pct"/>
                  <w:noWrap w:val="0"/>
                  <w:tcMar>
                    <w:top w:w="0" w:type="dxa"/>
                    <w:left w:w="108" w:type="dxa"/>
                    <w:bottom w:w="0" w:type="dxa"/>
                    <w:right w:w="108" w:type="dxa"/>
                  </w:tcMar>
                  <w:vAlign w:val="center"/>
                </w:tcPr>
                <w:p w14:paraId="2C2C71F5">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年平均质量浓度</w:t>
                  </w:r>
                </w:p>
              </w:tc>
              <w:tc>
                <w:tcPr>
                  <w:tcW w:w="748" w:type="pct"/>
                  <w:noWrap w:val="0"/>
                  <w:tcMar>
                    <w:top w:w="0" w:type="dxa"/>
                    <w:left w:w="108" w:type="dxa"/>
                    <w:bottom w:w="0" w:type="dxa"/>
                    <w:right w:w="108" w:type="dxa"/>
                  </w:tcMar>
                  <w:vAlign w:val="center"/>
                </w:tcPr>
                <w:p w14:paraId="469138F9">
                  <w:pPr>
                    <w:pStyle w:val="37"/>
                    <w:keepNext w:val="0"/>
                    <w:keepLines w:val="0"/>
                    <w:suppressLineNumbers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31</w:t>
                  </w:r>
                </w:p>
              </w:tc>
              <w:tc>
                <w:tcPr>
                  <w:tcW w:w="743" w:type="pct"/>
                  <w:noWrap w:val="0"/>
                  <w:tcMar>
                    <w:top w:w="0" w:type="dxa"/>
                    <w:left w:w="108" w:type="dxa"/>
                    <w:bottom w:w="0" w:type="dxa"/>
                    <w:right w:w="108" w:type="dxa"/>
                  </w:tcMar>
                  <w:vAlign w:val="center"/>
                </w:tcPr>
                <w:p w14:paraId="65690072">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ascii="Times New Roman" w:hAnsi="Times New Roman" w:cs="Times New Roman"/>
                      <w:color w:val="auto"/>
                      <w:highlight w:val="none"/>
                    </w:rPr>
                    <w:t>35</w:t>
                  </w:r>
                </w:p>
              </w:tc>
              <w:tc>
                <w:tcPr>
                  <w:tcW w:w="1066" w:type="dxa"/>
                  <w:noWrap w:val="0"/>
                  <w:tcMar>
                    <w:top w:w="0" w:type="dxa"/>
                    <w:left w:w="108" w:type="dxa"/>
                    <w:bottom w:w="0" w:type="dxa"/>
                    <w:right w:w="108" w:type="dxa"/>
                  </w:tcMar>
                  <w:vAlign w:val="center"/>
                </w:tcPr>
                <w:p w14:paraId="451FE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eastAsia="宋体" w:cs="Times New Roman"/>
                      <w:color w:val="auto"/>
                      <w:highlight w:val="none"/>
                      <w:lang w:val="en-US" w:eastAsia="zh-CN"/>
                    </w:rPr>
                  </w:pPr>
                  <w:r>
                    <w:rPr>
                      <w:rFonts w:hint="default" w:ascii="Times New Roman" w:hAnsi="Times New Roman" w:eastAsia="宋体" w:cs="Times New Roman"/>
                      <w:i w:val="0"/>
                      <w:iCs w:val="0"/>
                      <w:color w:val="000000"/>
                      <w:kern w:val="0"/>
                      <w:sz w:val="21"/>
                      <w:szCs w:val="21"/>
                      <w:highlight w:val="none"/>
                      <w:u w:val="none"/>
                      <w:lang w:val="en-US" w:eastAsia="zh-CN" w:bidi="ar"/>
                    </w:rPr>
                    <w:t xml:space="preserve">88.57 </w:t>
                  </w:r>
                </w:p>
              </w:tc>
              <w:tc>
                <w:tcPr>
                  <w:tcW w:w="525" w:type="pct"/>
                  <w:noWrap w:val="0"/>
                  <w:vAlign w:val="center"/>
                </w:tcPr>
                <w:p w14:paraId="2C1F79EF">
                  <w:pPr>
                    <w:pStyle w:val="37"/>
                    <w:keepNext w:val="0"/>
                    <w:keepLines w:val="0"/>
                    <w:suppressLineNumbers w:val="0"/>
                    <w:spacing w:before="0" w:beforeAutospacing="0" w:after="0" w:afterAutospacing="0"/>
                    <w:ind w:left="0" w:right="0"/>
                    <w:rPr>
                      <w:rFonts w:hint="default" w:cs="Times New Roman"/>
                      <w:color w:val="auto"/>
                      <w:highlight w:val="none"/>
                    </w:rPr>
                  </w:pPr>
                  <w:r>
                    <w:rPr>
                      <w:rFonts w:hint="default" w:cs="Times New Roman"/>
                      <w:color w:val="auto"/>
                      <w:highlight w:val="none"/>
                    </w:rPr>
                    <w:t>达标</w:t>
                  </w:r>
                </w:p>
              </w:tc>
            </w:tr>
          </w:tbl>
          <w:p w14:paraId="0DB8D278">
            <w:pPr>
              <w:keepNext w:val="0"/>
              <w:keepLines w:val="0"/>
              <w:suppressLineNumbers w:val="0"/>
              <w:bidi w:val="0"/>
              <w:spacing w:before="0" w:beforeAutospacing="0" w:after="0" w:afterAutospacing="0" w:line="240" w:lineRule="auto"/>
              <w:ind w:left="0" w:right="0" w:firstLine="480" w:firstLineChars="200"/>
              <w:rPr>
                <w:rFonts w:hint="eastAsia" w:ascii="Times New Roman" w:hAnsi="Times New Roman" w:eastAsia="宋体" w:cs="Times New Roman"/>
                <w:color w:val="auto"/>
                <w:highlight w:val="none"/>
                <w:lang w:val="en-US" w:eastAsia="zh-CN"/>
              </w:rPr>
            </w:pPr>
          </w:p>
          <w:p w14:paraId="18A72202">
            <w:pPr>
              <w:keepNext w:val="0"/>
              <w:keepLines w:val="0"/>
              <w:suppressLineNumbers w:val="0"/>
              <w:bidi w:val="0"/>
              <w:spacing w:before="0" w:beforeAutospacing="0" w:after="0" w:afterAutospacing="0"/>
              <w:ind w:left="0" w:right="0" w:firstLine="480" w:firstLineChars="20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综上判断，本项目所在区域为环境空气质量达标区。</w:t>
            </w:r>
          </w:p>
          <w:p w14:paraId="76332D50">
            <w:pPr>
              <w:pStyle w:val="3"/>
              <w:numPr>
                <w:ilvl w:val="0"/>
                <w:numId w:val="0"/>
              </w:numPr>
              <w:suppressLineNumbers w:val="0"/>
              <w:tabs>
                <w:tab w:val="left" w:pos="0"/>
              </w:tabs>
              <w:bidi w:val="0"/>
              <w:spacing w:before="0" w:after="0"/>
              <w:ind w:left="0" w:leftChars="0" w:right="0"/>
              <w:rPr>
                <w:rFonts w:hint="eastAsia" w:cs="Times New Roman"/>
                <w:color w:val="auto"/>
                <w:highlight w:val="none"/>
                <w:lang w:val="en-US" w:eastAsia="zh-CN"/>
              </w:rPr>
            </w:pP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.2大气特征污染物补充监测数据</w:t>
            </w:r>
          </w:p>
          <w:p w14:paraId="29B78E1C">
            <w:pPr>
              <w:keepNext w:val="0"/>
              <w:keepLines w:val="0"/>
              <w:suppressLineNumbers w:val="0"/>
              <w:shd w:val="clear" w:color="auto" w:fill="auto"/>
              <w:spacing w:before="0" w:beforeAutospacing="0" w:after="0" w:afterAutospacing="0"/>
              <w:ind w:left="0" w:leftChars="0" w:right="0" w:firstLine="480" w:firstLineChars="200"/>
              <w:rPr>
                <w:rFonts w:hint="default" w:cs="Times New Roman"/>
                <w:color w:val="auto"/>
                <w:highlight w:val="none"/>
                <w:lang w:val="en-US" w:eastAsia="zh-CN"/>
              </w:rPr>
            </w:pPr>
            <w:r>
              <w:rPr>
                <w:rFonts w:hint="eastAsia" w:cs="Times New Roman"/>
                <w:color w:val="auto"/>
                <w:highlight w:val="none"/>
                <w:lang w:val="en-US" w:eastAsia="zh-CN"/>
              </w:rPr>
              <w:t>本项目大气特征污染物因子为氨、硫化氢，本次评价委托湖南中雁环保科技有限公司进行一期监测，采样时间为2025年7月9日至11日，为连续3天采样监测</w:t>
            </w:r>
            <w:r>
              <w:rPr>
                <w:rFonts w:hint="default" w:cs="Times New Roman"/>
                <w:color w:val="auto"/>
                <w:highlight w:val="none"/>
                <w:lang w:val="en-US" w:eastAsia="zh-CN"/>
              </w:rPr>
              <w:t>。</w:t>
            </w:r>
          </w:p>
          <w:p w14:paraId="340F44D4">
            <w:pPr>
              <w:keepNext w:val="0"/>
              <w:keepLines w:val="0"/>
              <w:suppressLineNumbers w:val="0"/>
              <w:shd w:val="clear" w:color="auto" w:fill="auto"/>
              <w:spacing w:before="0" w:beforeAutospacing="0" w:after="0" w:afterAutospacing="0"/>
              <w:ind w:left="0" w:leftChars="0" w:right="0" w:firstLine="480" w:firstLineChars="200"/>
              <w:rPr>
                <w:rFonts w:hint="default" w:cs="Times New Roman"/>
                <w:color w:val="auto"/>
                <w:highlight w:val="none"/>
                <w:lang w:val="en-US" w:eastAsia="zh-CN"/>
              </w:rPr>
            </w:pPr>
            <w:r>
              <w:rPr>
                <w:rFonts w:hint="eastAsia" w:cs="Times New Roman"/>
                <w:color w:val="auto"/>
                <w:highlight w:val="none"/>
                <w:lang w:val="en-US" w:eastAsia="zh-CN"/>
              </w:rPr>
              <w:t>监测点位情况、采样时间频次具体见下表。</w:t>
            </w:r>
          </w:p>
          <w:p w14:paraId="32220B17">
            <w:pPr>
              <w:pStyle w:val="36"/>
              <w:keepLines w:val="0"/>
              <w:numPr>
                <w:ilvl w:val="3"/>
                <w:numId w:val="0"/>
              </w:numPr>
              <w:suppressLineNumbers w:val="0"/>
              <w:tabs>
                <w:tab w:val="left" w:pos="0"/>
              </w:tabs>
              <w:bidi w:val="0"/>
              <w:spacing w:before="0" w:beforeAutospacing="0" w:after="0" w:afterAutospacing="0"/>
              <w:ind w:left="0" w:leftChars="0" w:right="0" w:firstLine="0" w:firstLineChars="0"/>
              <w:rPr>
                <w:rFonts w:hint="default" w:cs="Times New Roman"/>
                <w:color w:val="auto"/>
                <w:highlight w:val="none"/>
                <w:lang w:val="en-US" w:eastAsia="zh-CN"/>
              </w:rPr>
            </w:pPr>
            <w:r>
              <w:rPr>
                <w:rFonts w:hint="default" w:ascii="Times New Roman" w:hAnsi="Times New Roman" w:eastAsia="宋体" w:cs="Times New Roman"/>
                <w:b/>
                <w:bCs/>
                <w:color w:val="auto"/>
                <w:kern w:val="2"/>
                <w:sz w:val="21"/>
                <w:szCs w:val="21"/>
                <w:highlight w:val="none"/>
                <w:lang w:val="en-US" w:eastAsia="zh-CN" w:bidi="ar-SA"/>
              </w:rPr>
              <w:t>表</w:t>
            </w:r>
            <w:r>
              <w:rPr>
                <w:rFonts w:hint="default" w:ascii="Times New Roman" w:hAnsi="Times New Roman" w:cs="Times New Roman"/>
                <w:b/>
                <w:bCs/>
                <w:color w:val="auto"/>
                <w:kern w:val="2"/>
                <w:sz w:val="21"/>
                <w:szCs w:val="21"/>
                <w:highlight w:val="none"/>
                <w:lang w:val="en-US" w:eastAsia="zh-CN" w:bidi="ar-SA"/>
              </w:rPr>
              <w:t>3</w:t>
            </w:r>
            <w:r>
              <w:rPr>
                <w:rFonts w:hint="eastAsia" w:cs="Times New Roman"/>
                <w:b/>
                <w:bCs/>
                <w:color w:val="auto"/>
                <w:kern w:val="2"/>
                <w:sz w:val="21"/>
                <w:szCs w:val="21"/>
                <w:highlight w:val="none"/>
                <w:lang w:val="en-US" w:eastAsia="zh-CN" w:bidi="ar-SA"/>
              </w:rPr>
              <w:t>.1-2  补充</w:t>
            </w:r>
            <w:r>
              <w:rPr>
                <w:rFonts w:hint="default" w:cs="Times New Roman"/>
                <w:color w:val="auto"/>
                <w:highlight w:val="none"/>
                <w:lang w:val="en-US" w:eastAsia="zh-CN"/>
              </w:rPr>
              <w:t>监测</w:t>
            </w:r>
            <w:r>
              <w:rPr>
                <w:rFonts w:hint="eastAsia" w:cs="Times New Roman"/>
                <w:color w:val="auto"/>
                <w:highlight w:val="none"/>
                <w:lang w:val="en-US" w:eastAsia="zh-CN"/>
              </w:rPr>
              <w:t>点位</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1"/>
              <w:gridCol w:w="1268"/>
              <w:gridCol w:w="2382"/>
              <w:gridCol w:w="1794"/>
              <w:gridCol w:w="1947"/>
            </w:tblGrid>
            <w:tr w14:paraId="79AD6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l2br w:val="nil"/>
                    <w:tr2bl w:val="nil"/>
                  </w:tcBorders>
                  <w:noWrap w:val="0"/>
                  <w:vAlign w:val="center"/>
                </w:tcPr>
                <w:p w14:paraId="0DB4AB89">
                  <w:pPr>
                    <w:pStyle w:val="37"/>
                    <w:keepNext w:val="0"/>
                    <w:keepLines w:val="0"/>
                    <w:suppressLineNumbers w:val="0"/>
                    <w:bidi w:val="0"/>
                    <w:spacing w:before="0" w:beforeAutospacing="0" w:after="0" w:afterAutospacing="0"/>
                    <w:ind w:left="0" w:right="0"/>
                    <w:rPr>
                      <w:rFonts w:hint="default" w:cs="Times New Roman"/>
                      <w:b/>
                      <w:bCs/>
                      <w:color w:val="auto"/>
                      <w:highlight w:val="none"/>
                      <w:lang w:val="en-US" w:eastAsia="zh-CN"/>
                    </w:rPr>
                  </w:pPr>
                  <w:r>
                    <w:rPr>
                      <w:rFonts w:hint="default" w:cs="Times New Roman"/>
                      <w:b/>
                      <w:bCs/>
                      <w:color w:val="auto"/>
                      <w:highlight w:val="none"/>
                      <w:lang w:val="en-US" w:eastAsia="zh-CN"/>
                    </w:rPr>
                    <w:t>序号</w:t>
                  </w:r>
                </w:p>
              </w:tc>
              <w:tc>
                <w:tcPr>
                  <w:tcW w:w="1268" w:type="dxa"/>
                  <w:tcBorders>
                    <w:tl2br w:val="nil"/>
                    <w:tr2bl w:val="nil"/>
                  </w:tcBorders>
                  <w:noWrap w:val="0"/>
                  <w:vAlign w:val="center"/>
                </w:tcPr>
                <w:p w14:paraId="7614B1B1">
                  <w:pPr>
                    <w:pStyle w:val="37"/>
                    <w:keepNext w:val="0"/>
                    <w:keepLines w:val="0"/>
                    <w:suppressLineNumbers w:val="0"/>
                    <w:bidi w:val="0"/>
                    <w:spacing w:before="0" w:beforeAutospacing="0" w:after="0" w:afterAutospacing="0"/>
                    <w:ind w:left="0" w:right="0"/>
                    <w:rPr>
                      <w:rFonts w:hint="default" w:cs="Times New Roman"/>
                      <w:b/>
                      <w:bCs/>
                      <w:color w:val="auto"/>
                      <w:highlight w:val="none"/>
                      <w:lang w:val="en-US" w:eastAsia="zh-CN"/>
                    </w:rPr>
                  </w:pPr>
                  <w:r>
                    <w:rPr>
                      <w:rFonts w:hint="eastAsia" w:cs="Times New Roman"/>
                      <w:b/>
                      <w:bCs/>
                      <w:color w:val="auto"/>
                      <w:highlight w:val="none"/>
                      <w:lang w:val="en-US" w:eastAsia="zh-CN"/>
                    </w:rPr>
                    <w:t>点位名称</w:t>
                  </w:r>
                </w:p>
              </w:tc>
              <w:tc>
                <w:tcPr>
                  <w:tcW w:w="2382" w:type="dxa"/>
                  <w:tcBorders>
                    <w:tl2br w:val="nil"/>
                    <w:tr2bl w:val="nil"/>
                  </w:tcBorders>
                  <w:noWrap w:val="0"/>
                  <w:vAlign w:val="center"/>
                </w:tcPr>
                <w:p w14:paraId="1E4A81CA">
                  <w:pPr>
                    <w:pStyle w:val="37"/>
                    <w:keepNext w:val="0"/>
                    <w:keepLines w:val="0"/>
                    <w:suppressLineNumbers w:val="0"/>
                    <w:bidi w:val="0"/>
                    <w:spacing w:before="0" w:beforeAutospacing="0" w:after="0" w:afterAutospacing="0"/>
                    <w:ind w:left="0" w:right="0"/>
                    <w:rPr>
                      <w:rFonts w:hint="default" w:cs="Times New Roman"/>
                      <w:b/>
                      <w:bCs/>
                      <w:color w:val="auto"/>
                      <w:highlight w:val="none"/>
                      <w:lang w:val="en-US" w:eastAsia="zh-CN"/>
                    </w:rPr>
                  </w:pPr>
                  <w:r>
                    <w:rPr>
                      <w:rFonts w:hint="eastAsia" w:cs="Times New Roman"/>
                      <w:b/>
                      <w:bCs/>
                      <w:color w:val="auto"/>
                      <w:highlight w:val="none"/>
                      <w:lang w:val="en-US" w:eastAsia="zh-CN"/>
                    </w:rPr>
                    <w:t>与本项目位置关系</w:t>
                  </w:r>
                </w:p>
              </w:tc>
              <w:tc>
                <w:tcPr>
                  <w:tcW w:w="1794" w:type="dxa"/>
                  <w:tcBorders>
                    <w:tl2br w:val="nil"/>
                    <w:tr2bl w:val="nil"/>
                  </w:tcBorders>
                  <w:noWrap w:val="0"/>
                  <w:vAlign w:val="center"/>
                </w:tcPr>
                <w:p w14:paraId="25B44B24">
                  <w:pPr>
                    <w:pStyle w:val="37"/>
                    <w:keepNext w:val="0"/>
                    <w:keepLines w:val="0"/>
                    <w:suppressLineNumbers w:val="0"/>
                    <w:bidi w:val="0"/>
                    <w:spacing w:before="0" w:beforeAutospacing="0" w:after="0" w:afterAutospacing="0"/>
                    <w:ind w:left="0" w:right="0"/>
                    <w:rPr>
                      <w:rFonts w:hint="default" w:cs="Times New Roman"/>
                      <w:b/>
                      <w:bCs/>
                      <w:color w:val="auto"/>
                      <w:highlight w:val="none"/>
                      <w:lang w:val="en-US" w:eastAsia="zh-CN"/>
                    </w:rPr>
                  </w:pPr>
                  <w:r>
                    <w:rPr>
                      <w:rFonts w:hint="default" w:cs="Times New Roman"/>
                      <w:b/>
                      <w:bCs/>
                      <w:color w:val="auto"/>
                      <w:highlight w:val="none"/>
                      <w:lang w:val="en-US" w:eastAsia="zh-CN"/>
                    </w:rPr>
                    <w:t>监测因子</w:t>
                  </w:r>
                </w:p>
              </w:tc>
              <w:tc>
                <w:tcPr>
                  <w:tcW w:w="1947" w:type="dxa"/>
                  <w:tcBorders>
                    <w:tl2br w:val="nil"/>
                    <w:tr2bl w:val="nil"/>
                  </w:tcBorders>
                  <w:noWrap w:val="0"/>
                  <w:vAlign w:val="center"/>
                </w:tcPr>
                <w:p w14:paraId="110BE6B6">
                  <w:pPr>
                    <w:pStyle w:val="37"/>
                    <w:keepNext w:val="0"/>
                    <w:keepLines w:val="0"/>
                    <w:suppressLineNumbers w:val="0"/>
                    <w:bidi w:val="0"/>
                    <w:spacing w:before="0" w:beforeAutospacing="0" w:after="0" w:afterAutospacing="0"/>
                    <w:ind w:left="0" w:right="0"/>
                    <w:rPr>
                      <w:rFonts w:hint="default" w:cs="Times New Roman"/>
                      <w:b/>
                      <w:bCs/>
                      <w:color w:val="auto"/>
                      <w:highlight w:val="none"/>
                      <w:lang w:val="en-US" w:eastAsia="zh-CN"/>
                    </w:rPr>
                  </w:pPr>
                  <w:r>
                    <w:rPr>
                      <w:rFonts w:hint="eastAsia" w:cs="Times New Roman"/>
                      <w:b/>
                      <w:bCs/>
                      <w:color w:val="auto"/>
                      <w:highlight w:val="none"/>
                      <w:lang w:val="en-US" w:eastAsia="zh-CN"/>
                    </w:rPr>
                    <w:t>采样时间及频次</w:t>
                  </w:r>
                </w:p>
              </w:tc>
            </w:tr>
            <w:tr w14:paraId="755CC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l2br w:val="nil"/>
                    <w:tr2bl w:val="nil"/>
                  </w:tcBorders>
                  <w:noWrap w:val="0"/>
                  <w:vAlign w:val="center"/>
                </w:tcPr>
                <w:p w14:paraId="2931392F">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eastAsia" w:cs="Times New Roman"/>
                      <w:color w:val="auto"/>
                      <w:highlight w:val="none"/>
                      <w:lang w:val="en-US" w:eastAsia="zh-CN"/>
                    </w:rPr>
                    <w:t>G1</w:t>
                  </w:r>
                </w:p>
              </w:tc>
              <w:tc>
                <w:tcPr>
                  <w:tcW w:w="1268" w:type="dxa"/>
                  <w:tcBorders>
                    <w:tl2br w:val="nil"/>
                    <w:tr2bl w:val="nil"/>
                  </w:tcBorders>
                  <w:noWrap w:val="0"/>
                  <w:vAlign w:val="center"/>
                </w:tcPr>
                <w:p w14:paraId="5C72EB11">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eastAsia" w:eastAsia="宋体"/>
                      <w:color w:val="auto"/>
                      <w:highlight w:val="none"/>
                      <w:lang w:val="en-US" w:eastAsia="zh-CN"/>
                    </w:rPr>
                    <w:t>官家嘴村居民点</w:t>
                  </w:r>
                </w:p>
              </w:tc>
              <w:tc>
                <w:tcPr>
                  <w:tcW w:w="2382" w:type="dxa"/>
                  <w:tcBorders>
                    <w:tl2br w:val="nil"/>
                    <w:tr2bl w:val="nil"/>
                  </w:tcBorders>
                  <w:noWrap w:val="0"/>
                  <w:vAlign w:val="center"/>
                </w:tcPr>
                <w:p w14:paraId="4BCC6B9D">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eastAsia" w:cs="Times New Roman"/>
                      <w:color w:val="auto"/>
                      <w:highlight w:val="none"/>
                      <w:lang w:val="en-US" w:eastAsia="zh-CN"/>
                    </w:rPr>
                    <w:t>本项目</w:t>
                  </w:r>
                  <w:r>
                    <w:rPr>
                      <w:rFonts w:hint="eastAsia" w:eastAsia="宋体"/>
                      <w:color w:val="auto"/>
                      <w:highlight w:val="none"/>
                      <w:lang w:val="en-US" w:eastAsia="zh-CN"/>
                    </w:rPr>
                    <w:t>西南面140m</w:t>
                  </w:r>
                </w:p>
              </w:tc>
              <w:tc>
                <w:tcPr>
                  <w:tcW w:w="1794" w:type="dxa"/>
                  <w:tcBorders>
                    <w:tl2br w:val="nil"/>
                    <w:tr2bl w:val="nil"/>
                  </w:tcBorders>
                  <w:noWrap w:val="0"/>
                  <w:vAlign w:val="center"/>
                </w:tcPr>
                <w:p w14:paraId="247D6E23">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eastAsia" w:eastAsia="宋体"/>
                      <w:color w:val="auto"/>
                      <w:highlight w:val="none"/>
                      <w:lang w:val="en-US" w:eastAsia="zh-CN"/>
                    </w:rPr>
                    <w:t>氨、硫化氢</w:t>
                  </w:r>
                </w:p>
              </w:tc>
              <w:tc>
                <w:tcPr>
                  <w:tcW w:w="1947" w:type="dxa"/>
                  <w:tcBorders>
                    <w:tl2br w:val="nil"/>
                    <w:tr2bl w:val="nil"/>
                  </w:tcBorders>
                  <w:noWrap w:val="0"/>
                  <w:vAlign w:val="center"/>
                </w:tcPr>
                <w:p w14:paraId="26C0AEA7">
                  <w:pPr>
                    <w:pStyle w:val="37"/>
                    <w:keepNext w:val="0"/>
                    <w:keepLines w:val="0"/>
                    <w:suppressLineNumbers w:val="0"/>
                    <w:bidi w:val="0"/>
                    <w:spacing w:before="0" w:beforeAutospacing="0" w:after="0" w:afterAutospacing="0"/>
                    <w:ind w:left="0" w:right="0"/>
                    <w:rPr>
                      <w:rFonts w:hint="eastAsia" w:cs="Times New Roman"/>
                      <w:color w:val="auto"/>
                      <w:highlight w:val="none"/>
                      <w:lang w:val="en-US" w:eastAsia="zh-CN"/>
                    </w:rPr>
                  </w:pPr>
                  <w:r>
                    <w:rPr>
                      <w:rFonts w:hint="eastAsia" w:cs="Times New Roman"/>
                      <w:color w:val="auto"/>
                      <w:highlight w:val="none"/>
                      <w:lang w:val="en-US" w:eastAsia="zh-CN"/>
                    </w:rPr>
                    <w:t>2025年7月9日至11日，为连续3天采样监测</w:t>
                  </w:r>
                </w:p>
              </w:tc>
            </w:tr>
          </w:tbl>
          <w:p w14:paraId="7A59A733">
            <w:pPr>
              <w:keepNext w:val="0"/>
              <w:keepLines w:val="0"/>
              <w:suppressLineNumbers w:val="0"/>
              <w:spacing w:before="0" w:beforeAutospacing="0" w:after="0" w:afterAutospacing="0"/>
              <w:ind w:left="0" w:leftChars="0" w:right="0" w:firstLine="482" w:firstLineChars="200"/>
              <w:rPr>
                <w:rFonts w:hint="default" w:ascii="Times New Roman" w:hAnsi="Times New Roman" w:cs="Times New Roman"/>
                <w:b/>
                <w:bCs/>
                <w:color w:val="auto"/>
                <w:highlight w:val="yellow"/>
                <w:lang w:val="en-US" w:eastAsia="zh-CN"/>
              </w:rPr>
            </w:pPr>
          </w:p>
          <w:p w14:paraId="5279CB90">
            <w:pPr>
              <w:keepNext w:val="0"/>
              <w:keepLines w:val="0"/>
              <w:suppressLineNumbers w:val="0"/>
              <w:spacing w:before="0" w:beforeAutospacing="0" w:after="0" w:afterAutospacing="0"/>
              <w:ind w:left="0" w:leftChars="0" w:right="0" w:firstLine="480" w:firstLineChars="200"/>
              <w:rPr>
                <w:rFonts w:hint="default" w:cs="Times New Roman"/>
                <w:b w:val="0"/>
                <w:bCs w:val="0"/>
                <w:color w:val="auto"/>
                <w:highlight w:val="none"/>
                <w:lang w:val="en-US" w:eastAsia="zh-CN"/>
              </w:rPr>
            </w:pPr>
            <w:r>
              <w:rPr>
                <w:rFonts w:hint="default" w:cs="Times New Roman"/>
                <w:b w:val="0"/>
                <w:bCs w:val="0"/>
                <w:color w:val="auto"/>
                <w:highlight w:val="none"/>
                <w:lang w:val="en-US" w:eastAsia="zh-CN"/>
              </w:rPr>
              <w:t>监测结果</w:t>
            </w:r>
            <w:r>
              <w:rPr>
                <w:rFonts w:hint="eastAsia" w:cs="Times New Roman"/>
                <w:b w:val="0"/>
                <w:bCs w:val="0"/>
                <w:color w:val="auto"/>
                <w:highlight w:val="none"/>
                <w:lang w:val="en-US" w:eastAsia="zh-CN"/>
              </w:rPr>
              <w:t>具体见下表</w:t>
            </w:r>
          </w:p>
          <w:p w14:paraId="3FA9092B">
            <w:pPr>
              <w:pStyle w:val="36"/>
              <w:keepLines w:val="0"/>
              <w:numPr>
                <w:ilvl w:val="3"/>
                <w:numId w:val="0"/>
              </w:numPr>
              <w:suppressLineNumbers w:val="0"/>
              <w:tabs>
                <w:tab w:val="left" w:pos="0"/>
              </w:tabs>
              <w:bidi w:val="0"/>
              <w:spacing w:before="0" w:beforeAutospacing="0" w:after="0" w:afterAutospacing="0"/>
              <w:ind w:left="0" w:leftChars="0" w:right="0" w:firstLine="0" w:firstLineChars="0"/>
              <w:rPr>
                <w:rFonts w:hint="default" w:cs="Times New Roman"/>
                <w:color w:val="auto"/>
                <w:highlight w:val="none"/>
                <w:lang w:val="en-US" w:eastAsia="zh-CN"/>
              </w:rPr>
            </w:pPr>
            <w:r>
              <w:rPr>
                <w:rFonts w:hint="default" w:ascii="Times New Roman" w:hAnsi="Times New Roman" w:eastAsia="宋体" w:cs="Times New Roman"/>
                <w:b/>
                <w:bCs/>
                <w:color w:val="auto"/>
                <w:kern w:val="2"/>
                <w:sz w:val="21"/>
                <w:szCs w:val="21"/>
                <w:highlight w:val="none"/>
                <w:lang w:val="en-US" w:eastAsia="zh-CN" w:bidi="ar-SA"/>
              </w:rPr>
              <w:t>表</w:t>
            </w:r>
            <w:r>
              <w:rPr>
                <w:rFonts w:hint="default" w:ascii="Times New Roman" w:hAnsi="Times New Roman" w:cs="Times New Roman"/>
                <w:b/>
                <w:bCs/>
                <w:color w:val="auto"/>
                <w:kern w:val="2"/>
                <w:sz w:val="21"/>
                <w:szCs w:val="21"/>
                <w:highlight w:val="none"/>
                <w:lang w:val="en-US" w:eastAsia="zh-CN" w:bidi="ar-SA"/>
              </w:rPr>
              <w:t>3</w:t>
            </w:r>
            <w:r>
              <w:rPr>
                <w:rFonts w:hint="eastAsia" w:cs="Times New Roman"/>
                <w:b/>
                <w:bCs/>
                <w:color w:val="auto"/>
                <w:kern w:val="2"/>
                <w:sz w:val="21"/>
                <w:szCs w:val="21"/>
                <w:highlight w:val="none"/>
                <w:lang w:val="en-US" w:eastAsia="zh-CN" w:bidi="ar-SA"/>
              </w:rPr>
              <w:t>.1-3 补充</w:t>
            </w:r>
            <w:r>
              <w:rPr>
                <w:rFonts w:hint="default" w:cs="Times New Roman"/>
                <w:color w:val="auto"/>
                <w:highlight w:val="none"/>
                <w:lang w:val="en-US" w:eastAsia="zh-CN"/>
              </w:rPr>
              <w:t>监测</w:t>
            </w:r>
            <w:r>
              <w:rPr>
                <w:rFonts w:hint="eastAsia" w:cs="Times New Roman"/>
                <w:color w:val="auto"/>
                <w:highlight w:val="none"/>
                <w:lang w:val="en-US" w:eastAsia="zh-CN"/>
              </w:rPr>
              <w:t>结果</w:t>
            </w:r>
          </w:p>
          <w:tbl>
            <w:tblPr>
              <w:tblStyle w:val="28"/>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4"/>
              <w:gridCol w:w="1064"/>
              <w:gridCol w:w="2109"/>
              <w:gridCol w:w="2109"/>
              <w:gridCol w:w="1331"/>
            </w:tblGrid>
            <w:tr w14:paraId="38671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31" w:type="pct"/>
                  <w:noWrap w:val="0"/>
                  <w:vAlign w:val="center"/>
                </w:tcPr>
                <w:p w14:paraId="2050FEA1">
                  <w:pPr>
                    <w:pStyle w:val="37"/>
                    <w:keepNext w:val="0"/>
                    <w:keepLines w:val="0"/>
                    <w:suppressLineNumbers w:val="0"/>
                    <w:bidi w:val="0"/>
                    <w:spacing w:before="0" w:beforeAutospacing="0" w:after="0" w:afterAutospacing="0"/>
                    <w:ind w:left="0" w:right="0"/>
                    <w:rPr>
                      <w:rFonts w:hint="default" w:cs="Times New Roman"/>
                      <w:b/>
                      <w:bCs/>
                      <w:color w:val="auto"/>
                      <w:highlight w:val="none"/>
                      <w:lang w:val="en-US"/>
                    </w:rPr>
                  </w:pPr>
                  <w:r>
                    <w:rPr>
                      <w:rFonts w:hint="eastAsia" w:cs="Times New Roman"/>
                      <w:b/>
                      <w:bCs/>
                      <w:color w:val="auto"/>
                      <w:highlight w:val="none"/>
                      <w:lang w:val="en-US" w:eastAsia="zh-CN"/>
                    </w:rPr>
                    <w:t>监测点位</w:t>
                  </w:r>
                </w:p>
              </w:tc>
              <w:tc>
                <w:tcPr>
                  <w:tcW w:w="654" w:type="pct"/>
                  <w:noWrap w:val="0"/>
                  <w:vAlign w:val="center"/>
                </w:tcPr>
                <w:p w14:paraId="2752990F">
                  <w:pPr>
                    <w:pStyle w:val="37"/>
                    <w:keepNext w:val="0"/>
                    <w:keepLines w:val="0"/>
                    <w:suppressLineNumbers w:val="0"/>
                    <w:bidi w:val="0"/>
                    <w:spacing w:before="0" w:beforeAutospacing="0" w:after="0" w:afterAutospacing="0"/>
                    <w:ind w:left="0" w:right="0"/>
                    <w:rPr>
                      <w:rFonts w:hint="eastAsia" w:cs="Times New Roman"/>
                      <w:b/>
                      <w:bCs/>
                      <w:color w:val="auto"/>
                      <w:highlight w:val="none"/>
                    </w:rPr>
                  </w:pPr>
                  <w:r>
                    <w:rPr>
                      <w:rFonts w:hint="eastAsia" w:cs="Times New Roman"/>
                      <w:b/>
                      <w:bCs/>
                      <w:color w:val="auto"/>
                      <w:highlight w:val="none"/>
                      <w:lang w:val="en-US" w:eastAsia="zh-CN"/>
                    </w:rPr>
                    <w:t>污染物</w:t>
                  </w:r>
                </w:p>
              </w:tc>
              <w:tc>
                <w:tcPr>
                  <w:tcW w:w="1297" w:type="pct"/>
                  <w:noWrap w:val="0"/>
                  <w:vAlign w:val="center"/>
                </w:tcPr>
                <w:p w14:paraId="484DC3E7">
                  <w:pPr>
                    <w:pStyle w:val="37"/>
                    <w:keepNext w:val="0"/>
                    <w:keepLines w:val="0"/>
                    <w:suppressLineNumbers w:val="0"/>
                    <w:bidi w:val="0"/>
                    <w:spacing w:before="0" w:beforeAutospacing="0" w:after="0" w:afterAutospacing="0"/>
                    <w:ind w:left="0" w:right="0"/>
                    <w:rPr>
                      <w:rFonts w:hint="eastAsia" w:cs="Times New Roman"/>
                      <w:b/>
                      <w:bCs/>
                      <w:color w:val="auto"/>
                      <w:highlight w:val="none"/>
                    </w:rPr>
                  </w:pPr>
                  <w:r>
                    <w:rPr>
                      <w:rFonts w:hint="eastAsia" w:cs="Times New Roman"/>
                      <w:b/>
                      <w:bCs/>
                      <w:color w:val="auto"/>
                      <w:highlight w:val="none"/>
                      <w:lang w:val="en-US" w:eastAsia="zh-CN"/>
                    </w:rPr>
                    <w:t>质量标准</w:t>
                  </w:r>
                  <w:r>
                    <w:rPr>
                      <w:rFonts w:hint="default" w:ascii="Times New Roman" w:hAnsi="Times New Roman" w:cs="Times New Roman"/>
                      <w:b/>
                      <w:bCs/>
                      <w:color w:val="auto"/>
                      <w:highlight w:val="none"/>
                      <w:lang w:val="en-US" w:eastAsia="zh-CN"/>
                    </w:rPr>
                    <w:t>mg</w:t>
                  </w:r>
                  <w:r>
                    <w:rPr>
                      <w:rFonts w:hint="eastAsia" w:cs="Times New Roman"/>
                      <w:b/>
                      <w:bCs/>
                      <w:color w:val="auto"/>
                      <w:highlight w:val="none"/>
                      <w:lang w:val="en-US" w:eastAsia="zh-CN"/>
                    </w:rPr>
                    <w:t>/</w:t>
                  </w:r>
                  <w:r>
                    <w:rPr>
                      <w:rFonts w:hint="default" w:ascii="Times New Roman" w:hAnsi="Times New Roman" w:cs="Times New Roman"/>
                      <w:b/>
                      <w:bCs/>
                      <w:color w:val="auto"/>
                      <w:highlight w:val="none"/>
                      <w:lang w:val="en-US" w:eastAsia="zh-CN"/>
                    </w:rPr>
                    <w:t>m</w:t>
                  </w:r>
                  <w:r>
                    <w:rPr>
                      <w:rFonts w:hint="default" w:ascii="Times New Roman" w:hAnsi="Times New Roman" w:cs="Times New Roman"/>
                      <w:b/>
                      <w:bCs/>
                      <w:color w:val="auto"/>
                      <w:highlight w:val="none"/>
                      <w:vertAlign w:val="superscript"/>
                      <w:lang w:val="en-US" w:eastAsia="zh-CN"/>
                    </w:rPr>
                    <w:t>3</w:t>
                  </w:r>
                </w:p>
              </w:tc>
              <w:tc>
                <w:tcPr>
                  <w:tcW w:w="1297" w:type="pct"/>
                  <w:noWrap w:val="0"/>
                  <w:vAlign w:val="center"/>
                </w:tcPr>
                <w:p w14:paraId="191BC882">
                  <w:pPr>
                    <w:pStyle w:val="37"/>
                    <w:keepNext w:val="0"/>
                    <w:keepLines w:val="0"/>
                    <w:suppressLineNumbers w:val="0"/>
                    <w:bidi w:val="0"/>
                    <w:spacing w:before="0" w:beforeAutospacing="0" w:after="0" w:afterAutospacing="0"/>
                    <w:ind w:left="0" w:right="0"/>
                    <w:rPr>
                      <w:rFonts w:hint="default" w:cs="Times New Roman"/>
                      <w:b/>
                      <w:bCs/>
                      <w:color w:val="auto"/>
                      <w:highlight w:val="none"/>
                      <w:lang w:val="en-US" w:eastAsia="zh-CN"/>
                    </w:rPr>
                  </w:pPr>
                  <w:r>
                    <w:rPr>
                      <w:rFonts w:hint="eastAsia" w:cs="Times New Roman"/>
                      <w:b/>
                      <w:bCs/>
                      <w:color w:val="auto"/>
                      <w:highlight w:val="none"/>
                      <w:lang w:val="en-US" w:eastAsia="zh-CN"/>
                    </w:rPr>
                    <w:t>监测结果</w:t>
                  </w:r>
                  <w:r>
                    <w:rPr>
                      <w:rFonts w:hint="default" w:ascii="Times New Roman" w:hAnsi="Times New Roman" w:cs="Times New Roman"/>
                      <w:b/>
                      <w:bCs/>
                      <w:color w:val="auto"/>
                      <w:highlight w:val="none"/>
                      <w:lang w:val="en-US" w:eastAsia="zh-CN"/>
                    </w:rPr>
                    <w:t>mg</w:t>
                  </w:r>
                  <w:r>
                    <w:rPr>
                      <w:rFonts w:hint="eastAsia" w:cs="Times New Roman"/>
                      <w:b/>
                      <w:bCs/>
                      <w:color w:val="auto"/>
                      <w:highlight w:val="none"/>
                      <w:lang w:val="en-US" w:eastAsia="zh-CN"/>
                    </w:rPr>
                    <w:t>/</w:t>
                  </w:r>
                  <w:r>
                    <w:rPr>
                      <w:rFonts w:hint="default" w:ascii="Times New Roman" w:hAnsi="Times New Roman" w:cs="Times New Roman"/>
                      <w:b/>
                      <w:bCs/>
                      <w:color w:val="auto"/>
                      <w:highlight w:val="none"/>
                      <w:lang w:val="en-US" w:eastAsia="zh-CN"/>
                    </w:rPr>
                    <w:t>m</w:t>
                  </w:r>
                  <w:r>
                    <w:rPr>
                      <w:rFonts w:hint="default" w:ascii="Times New Roman" w:hAnsi="Times New Roman" w:cs="Times New Roman"/>
                      <w:b/>
                      <w:bCs/>
                      <w:color w:val="auto"/>
                      <w:highlight w:val="none"/>
                      <w:vertAlign w:val="superscript"/>
                      <w:lang w:val="en-US" w:eastAsia="zh-CN"/>
                    </w:rPr>
                    <w:t>3</w:t>
                  </w:r>
                </w:p>
              </w:tc>
              <w:tc>
                <w:tcPr>
                  <w:tcW w:w="818" w:type="pct"/>
                  <w:noWrap w:val="0"/>
                  <w:vAlign w:val="center"/>
                </w:tcPr>
                <w:p w14:paraId="597FF387">
                  <w:pPr>
                    <w:pStyle w:val="37"/>
                    <w:keepNext w:val="0"/>
                    <w:keepLines w:val="0"/>
                    <w:suppressLineNumbers w:val="0"/>
                    <w:bidi w:val="0"/>
                    <w:spacing w:before="0" w:beforeAutospacing="0" w:after="0" w:afterAutospacing="0"/>
                    <w:ind w:left="0" w:right="0"/>
                    <w:rPr>
                      <w:rFonts w:hint="default" w:cs="Times New Roman"/>
                      <w:b/>
                      <w:bCs/>
                      <w:color w:val="auto"/>
                      <w:highlight w:val="none"/>
                      <w:lang w:val="en-US" w:eastAsia="zh-CN"/>
                    </w:rPr>
                  </w:pPr>
                  <w:r>
                    <w:rPr>
                      <w:rFonts w:hint="eastAsia" w:cs="Times New Roman"/>
                      <w:b/>
                      <w:bCs/>
                      <w:color w:val="auto"/>
                      <w:highlight w:val="none"/>
                      <w:lang w:val="en-US" w:eastAsia="zh-CN"/>
                    </w:rPr>
                    <w:t>达标情况</w:t>
                  </w:r>
                </w:p>
              </w:tc>
            </w:tr>
            <w:tr w14:paraId="13361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931" w:type="pct"/>
                  <w:vMerge w:val="restart"/>
                  <w:noWrap/>
                  <w:vAlign w:val="center"/>
                </w:tcPr>
                <w:p w14:paraId="60126637">
                  <w:pPr>
                    <w:pStyle w:val="37"/>
                    <w:keepNext w:val="0"/>
                    <w:keepLines w:val="0"/>
                    <w:suppressLineNumbers w:val="0"/>
                    <w:bidi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G1 官家嘴村</w:t>
                  </w:r>
                </w:p>
              </w:tc>
              <w:tc>
                <w:tcPr>
                  <w:tcW w:w="654" w:type="pct"/>
                  <w:noWrap w:val="0"/>
                  <w:vAlign w:val="center"/>
                </w:tcPr>
                <w:p w14:paraId="37F5BB4F">
                  <w:pPr>
                    <w:pStyle w:val="37"/>
                    <w:keepNext w:val="0"/>
                    <w:keepLines w:val="0"/>
                    <w:suppressLineNumbers w:val="0"/>
                    <w:bidi w:val="0"/>
                    <w:spacing w:before="0" w:beforeAutospacing="0" w:after="0" w:afterAutospacing="0"/>
                    <w:ind w:left="0" w:right="0"/>
                    <w:rPr>
                      <w:rFonts w:hint="eastAsia" w:cs="Times New Roman"/>
                      <w:color w:val="auto"/>
                      <w:highlight w:val="none"/>
                    </w:rPr>
                  </w:pPr>
                  <w:r>
                    <w:rPr>
                      <w:rFonts w:hint="eastAsia" w:cs="Times New Roman"/>
                      <w:color w:val="auto"/>
                      <w:highlight w:val="none"/>
                      <w:lang w:val="en-US" w:eastAsia="zh-CN"/>
                    </w:rPr>
                    <w:t>氨</w:t>
                  </w:r>
                </w:p>
              </w:tc>
              <w:tc>
                <w:tcPr>
                  <w:tcW w:w="1297" w:type="pct"/>
                  <w:noWrap/>
                  <w:vAlign w:val="center"/>
                </w:tcPr>
                <w:p w14:paraId="44DD97EA">
                  <w:pPr>
                    <w:pStyle w:val="37"/>
                    <w:keepNext w:val="0"/>
                    <w:keepLines w:val="0"/>
                    <w:suppressLineNumbers w:val="0"/>
                    <w:bidi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0.2</w:t>
                  </w:r>
                </w:p>
              </w:tc>
              <w:tc>
                <w:tcPr>
                  <w:tcW w:w="1297" w:type="pct"/>
                  <w:noWrap/>
                  <w:vAlign w:val="center"/>
                </w:tcPr>
                <w:p w14:paraId="50F7CE0D">
                  <w:pPr>
                    <w:pStyle w:val="37"/>
                    <w:keepNext w:val="0"/>
                    <w:keepLines w:val="0"/>
                    <w:suppressLineNumbers w:val="0"/>
                    <w:bidi w:val="0"/>
                    <w:spacing w:before="0" w:beforeAutospacing="0" w:after="0" w:afterAutospacing="0"/>
                    <w:ind w:left="0" w:right="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0.008~0.018</w:t>
                  </w:r>
                </w:p>
              </w:tc>
              <w:tc>
                <w:tcPr>
                  <w:tcW w:w="818" w:type="pct"/>
                  <w:noWrap/>
                  <w:vAlign w:val="center"/>
                </w:tcPr>
                <w:p w14:paraId="4F5EC117">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eastAsia" w:cs="Times New Roman"/>
                      <w:color w:val="auto"/>
                      <w:highlight w:val="none"/>
                      <w:lang w:val="en-US" w:eastAsia="zh-CN"/>
                    </w:rPr>
                    <w:t>达标</w:t>
                  </w:r>
                </w:p>
              </w:tc>
            </w:tr>
            <w:tr w14:paraId="7CDCC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931" w:type="pct"/>
                  <w:vMerge w:val="continue"/>
                  <w:noWrap/>
                  <w:vAlign w:val="center"/>
                </w:tcPr>
                <w:p w14:paraId="217FA976">
                  <w:pPr>
                    <w:pStyle w:val="37"/>
                    <w:keepNext w:val="0"/>
                    <w:keepLines w:val="0"/>
                    <w:suppressLineNumbers w:val="0"/>
                    <w:bidi w:val="0"/>
                    <w:spacing w:before="0" w:beforeAutospacing="0" w:after="0" w:afterAutospacing="0"/>
                    <w:ind w:left="0" w:right="0"/>
                    <w:rPr>
                      <w:rFonts w:hint="eastAsia" w:cs="Times New Roman"/>
                      <w:color w:val="auto"/>
                      <w:highlight w:val="none"/>
                    </w:rPr>
                  </w:pPr>
                </w:p>
              </w:tc>
              <w:tc>
                <w:tcPr>
                  <w:tcW w:w="654" w:type="pct"/>
                  <w:noWrap w:val="0"/>
                  <w:vAlign w:val="center"/>
                </w:tcPr>
                <w:p w14:paraId="1E53B479">
                  <w:pPr>
                    <w:pStyle w:val="37"/>
                    <w:keepNext w:val="0"/>
                    <w:keepLines w:val="0"/>
                    <w:suppressLineNumbers w:val="0"/>
                    <w:bidi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硫化氢</w:t>
                  </w:r>
                </w:p>
              </w:tc>
              <w:tc>
                <w:tcPr>
                  <w:tcW w:w="1297" w:type="pct"/>
                  <w:noWrap/>
                  <w:vAlign w:val="center"/>
                </w:tcPr>
                <w:p w14:paraId="5CBF4067">
                  <w:pPr>
                    <w:pStyle w:val="37"/>
                    <w:keepNext w:val="0"/>
                    <w:keepLines w:val="0"/>
                    <w:suppressLineNumbers w:val="0"/>
                    <w:bidi w:val="0"/>
                    <w:spacing w:before="0" w:beforeAutospacing="0" w:after="0" w:afterAutospacing="0"/>
                    <w:ind w:left="0" w:right="0"/>
                    <w:rPr>
                      <w:rFonts w:hint="default" w:eastAsia="宋体" w:cs="Times New Roman"/>
                      <w:color w:val="auto"/>
                      <w:highlight w:val="none"/>
                      <w:lang w:val="en-US" w:eastAsia="zh-CN"/>
                    </w:rPr>
                  </w:pPr>
                  <w:r>
                    <w:rPr>
                      <w:rFonts w:hint="eastAsia" w:cs="Times New Roman"/>
                      <w:color w:val="auto"/>
                      <w:highlight w:val="none"/>
                      <w:lang w:val="en-US" w:eastAsia="zh-CN"/>
                    </w:rPr>
                    <w:t>0.01</w:t>
                  </w:r>
                </w:p>
              </w:tc>
              <w:tc>
                <w:tcPr>
                  <w:tcW w:w="1297" w:type="pct"/>
                  <w:noWrap/>
                  <w:vAlign w:val="center"/>
                </w:tcPr>
                <w:p w14:paraId="5F244F46">
                  <w:pPr>
                    <w:pStyle w:val="37"/>
                    <w:keepNext w:val="0"/>
                    <w:keepLines w:val="0"/>
                    <w:suppressLineNumbers w:val="0"/>
                    <w:bidi w:val="0"/>
                    <w:spacing w:before="0" w:beforeAutospacing="0" w:after="0" w:afterAutospacing="0"/>
                    <w:ind w:left="0" w:right="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0.004~0.005</w:t>
                  </w:r>
                </w:p>
              </w:tc>
              <w:tc>
                <w:tcPr>
                  <w:tcW w:w="818" w:type="pct"/>
                  <w:noWrap/>
                  <w:vAlign w:val="center"/>
                </w:tcPr>
                <w:p w14:paraId="740CE090">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eastAsia" w:cs="Times New Roman"/>
                      <w:color w:val="auto"/>
                      <w:highlight w:val="none"/>
                      <w:lang w:val="en-US" w:eastAsia="zh-CN"/>
                    </w:rPr>
                    <w:t>达标</w:t>
                  </w:r>
                </w:p>
              </w:tc>
            </w:tr>
          </w:tbl>
          <w:p w14:paraId="757A78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注：“ND”表示未检出。</w:t>
            </w:r>
          </w:p>
          <w:p w14:paraId="2116E701">
            <w:pPr>
              <w:keepNext w:val="0"/>
              <w:keepLines w:val="0"/>
              <w:pageBreakBefore w:val="0"/>
              <w:widowControl w:val="0"/>
              <w:suppressLineNumbers w:val="0"/>
              <w:shd w:val="clear" w:color="auto" w:fill="auto"/>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s="Times New Roman"/>
                <w:color w:val="auto"/>
                <w:highlight w:val="none"/>
                <w:lang w:val="en-US" w:eastAsia="zh-CN"/>
              </w:rPr>
            </w:pPr>
            <w:r>
              <w:rPr>
                <w:rFonts w:hint="eastAsia" w:cs="Times New Roman"/>
                <w:color w:val="auto"/>
                <w:highlight w:val="none"/>
                <w:lang w:val="en-US" w:eastAsia="zh-CN"/>
              </w:rPr>
              <w:t>根据上表监测结果可知，监测点位氨、硫化氢满足《环境影响评价技术导则 大气环境》（</w:t>
            </w:r>
            <w:r>
              <w:rPr>
                <w:rFonts w:hint="default" w:ascii="Times New Roman" w:hAnsi="Times New Roman" w:cs="Times New Roman"/>
                <w:color w:val="auto"/>
                <w:highlight w:val="none"/>
                <w:lang w:val="en-US" w:eastAsia="zh-CN"/>
              </w:rPr>
              <w:t>HJ</w:t>
            </w:r>
            <w:r>
              <w:rPr>
                <w:rFonts w:hint="eastAsia" w:cs="Times New Roman"/>
                <w:color w:val="auto"/>
                <w:highlight w:val="none"/>
                <w:lang w:val="en-US" w:eastAsia="zh-CN"/>
              </w:rPr>
              <w:t xml:space="preserve"> </w:t>
            </w:r>
            <w:r>
              <w:rPr>
                <w:rFonts w:hint="default" w:ascii="Times New Roman" w:hAnsi="Times New Roman" w:cs="Times New Roman"/>
                <w:color w:val="auto"/>
                <w:highlight w:val="none"/>
                <w:lang w:val="en-US" w:eastAsia="zh-CN"/>
              </w:rPr>
              <w:t>2</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2</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2018</w:t>
            </w:r>
            <w:r>
              <w:rPr>
                <w:rFonts w:hint="eastAsia" w:cs="Times New Roman"/>
                <w:color w:val="auto"/>
                <w:highlight w:val="none"/>
                <w:lang w:val="en-US" w:eastAsia="zh-CN"/>
              </w:rPr>
              <w:t>）附录</w:t>
            </w:r>
            <w:r>
              <w:rPr>
                <w:rFonts w:hint="default" w:ascii="Times New Roman" w:hAnsi="Times New Roman" w:cs="Times New Roman"/>
                <w:color w:val="auto"/>
                <w:highlight w:val="none"/>
                <w:lang w:val="en-US" w:eastAsia="zh-CN"/>
              </w:rPr>
              <w:t>D</w:t>
            </w:r>
            <w:r>
              <w:rPr>
                <w:rFonts w:hint="eastAsia" w:cs="Times New Roman"/>
                <w:color w:val="auto"/>
                <w:highlight w:val="none"/>
                <w:lang w:val="en-US" w:eastAsia="zh-CN"/>
              </w:rPr>
              <w:t>要求。区域环境空气质量良好。</w:t>
            </w:r>
          </w:p>
          <w:p w14:paraId="6AC83C2B">
            <w:pPr>
              <w:pStyle w:val="2"/>
              <w:keepLines w:val="0"/>
              <w:numPr>
                <w:ilvl w:val="0"/>
                <w:numId w:val="0"/>
              </w:numPr>
              <w:suppressLineNumbers w:val="0"/>
              <w:tabs>
                <w:tab w:val="left" w:pos="0"/>
              </w:tabs>
              <w:bidi w:val="0"/>
              <w:spacing w:before="0" w:beforeAutospacing="0" w:after="0" w:afterAutospacing="0"/>
              <w:ind w:leftChars="0" w:right="0"/>
              <w:rPr>
                <w:rFonts w:hint="eastAsia" w:cs="Times New Roman"/>
                <w:b/>
                <w:bCs/>
                <w:color w:val="auto"/>
                <w:highlight w:val="none"/>
                <w:lang w:val="en-US" w:eastAsia="zh-CN"/>
              </w:rPr>
            </w:pPr>
            <w:bookmarkStart w:id="17" w:name="_Toc29350"/>
            <w:r>
              <w:rPr>
                <w:rFonts w:hint="default" w:ascii="Times New Roman" w:hAnsi="Times New Roman" w:cs="Times New Roman"/>
                <w:b/>
                <w:bCs/>
                <w:color w:val="auto"/>
                <w:highlight w:val="none"/>
                <w:lang w:val="en-US" w:eastAsia="zh-CN"/>
              </w:rPr>
              <w:t>3</w:t>
            </w:r>
            <w:r>
              <w:rPr>
                <w:rFonts w:hint="eastAsia" w:cs="Times New Roman"/>
                <w:b/>
                <w:bCs/>
                <w:color w:val="auto"/>
                <w:highlight w:val="none"/>
                <w:lang w:val="en-US" w:eastAsia="zh-CN"/>
              </w:rPr>
              <w:t>.</w:t>
            </w:r>
            <w:r>
              <w:rPr>
                <w:rFonts w:hint="default" w:ascii="Times New Roman" w:hAnsi="Times New Roman" w:cs="Times New Roman"/>
                <w:b/>
                <w:bCs/>
                <w:color w:val="auto"/>
                <w:highlight w:val="none"/>
                <w:lang w:val="en-US" w:eastAsia="zh-CN"/>
              </w:rPr>
              <w:t>1</w:t>
            </w:r>
            <w:r>
              <w:rPr>
                <w:rFonts w:hint="eastAsia" w:cs="Times New Roman"/>
                <w:b/>
                <w:bCs/>
                <w:color w:val="auto"/>
                <w:highlight w:val="none"/>
                <w:lang w:val="en-US" w:eastAsia="zh-CN"/>
              </w:rPr>
              <w:t>.</w:t>
            </w:r>
            <w:r>
              <w:rPr>
                <w:rFonts w:hint="default" w:ascii="Times New Roman" w:hAnsi="Times New Roman" w:cs="Times New Roman"/>
                <w:b/>
                <w:bCs/>
                <w:color w:val="auto"/>
                <w:highlight w:val="none"/>
                <w:lang w:val="en-US" w:eastAsia="zh-CN"/>
              </w:rPr>
              <w:t>2</w:t>
            </w:r>
            <w:r>
              <w:rPr>
                <w:rFonts w:hint="eastAsia" w:cs="Times New Roman"/>
                <w:b/>
                <w:bCs/>
                <w:color w:val="auto"/>
                <w:highlight w:val="none"/>
                <w:lang w:val="en-US" w:eastAsia="zh-CN"/>
              </w:rPr>
              <w:t>地表水环境</w:t>
            </w:r>
            <w:bookmarkEnd w:id="17"/>
          </w:p>
          <w:p w14:paraId="45686A7E">
            <w:pPr>
              <w:keepNext w:val="0"/>
              <w:keepLines w:val="0"/>
              <w:suppressLineNumbers w:val="0"/>
              <w:spacing w:before="0" w:beforeAutospacing="0" w:after="0" w:afterAutospacing="0"/>
              <w:ind w:left="0" w:right="0"/>
              <w:rPr>
                <w:rFonts w:hint="default" w:eastAsia="宋体" w:cs="Times New Roman"/>
                <w:b/>
                <w:bCs/>
                <w:color w:val="auto"/>
                <w:highlight w:val="none"/>
                <w:lang w:val="en-US" w:eastAsia="zh-CN"/>
              </w:rPr>
            </w:pPr>
            <w:r>
              <w:rPr>
                <w:rFonts w:hint="default" w:ascii="Times New Roman" w:hAnsi="Times New Roman" w:cs="Times New Roman"/>
                <w:b/>
                <w:bCs/>
                <w:color w:val="auto"/>
                <w:highlight w:val="none"/>
                <w:lang w:val="en-US" w:eastAsia="zh-CN"/>
              </w:rPr>
              <w:t>3</w:t>
            </w:r>
            <w:r>
              <w:rPr>
                <w:rFonts w:hint="eastAsia" w:cs="Times New Roman"/>
                <w:b/>
                <w:bCs/>
                <w:color w:val="auto"/>
                <w:highlight w:val="none"/>
                <w:lang w:val="en-US" w:eastAsia="zh-CN"/>
              </w:rPr>
              <w:t>.</w:t>
            </w:r>
            <w:r>
              <w:rPr>
                <w:rFonts w:hint="default" w:ascii="Times New Roman" w:hAnsi="Times New Roman" w:cs="Times New Roman"/>
                <w:b/>
                <w:bCs/>
                <w:color w:val="auto"/>
                <w:highlight w:val="none"/>
                <w:lang w:val="en-US" w:eastAsia="zh-CN"/>
              </w:rPr>
              <w:t>1</w:t>
            </w:r>
            <w:r>
              <w:rPr>
                <w:rFonts w:hint="eastAsia" w:cs="Times New Roman"/>
                <w:b/>
                <w:bCs/>
                <w:color w:val="auto"/>
                <w:highlight w:val="none"/>
                <w:lang w:val="en-US" w:eastAsia="zh-CN"/>
              </w:rPr>
              <w:t>.</w:t>
            </w:r>
            <w:r>
              <w:rPr>
                <w:rFonts w:hint="default" w:ascii="Times New Roman" w:hAnsi="Times New Roman" w:cs="Times New Roman"/>
                <w:b/>
                <w:bCs/>
                <w:color w:val="auto"/>
                <w:highlight w:val="none"/>
                <w:lang w:val="en-US" w:eastAsia="zh-CN"/>
              </w:rPr>
              <w:t>2</w:t>
            </w:r>
            <w:r>
              <w:rPr>
                <w:rFonts w:hint="eastAsia" w:cs="Times New Roman"/>
                <w:b/>
                <w:bCs/>
                <w:color w:val="auto"/>
                <w:highlight w:val="none"/>
                <w:lang w:val="en-US" w:eastAsia="zh-CN"/>
              </w:rPr>
              <w:t>.</w:t>
            </w:r>
            <w:r>
              <w:rPr>
                <w:rFonts w:hint="default" w:ascii="Times New Roman" w:hAnsi="Times New Roman" w:cs="Times New Roman"/>
                <w:b/>
                <w:bCs/>
                <w:color w:val="auto"/>
                <w:highlight w:val="none"/>
                <w:lang w:val="en-US" w:eastAsia="zh-CN"/>
              </w:rPr>
              <w:t>1</w:t>
            </w:r>
            <w:r>
              <w:rPr>
                <w:rFonts w:hint="eastAsia" w:cs="Times New Roman"/>
                <w:b/>
                <w:bCs/>
                <w:color w:val="auto"/>
                <w:highlight w:val="none"/>
                <w:lang w:val="en-US" w:eastAsia="zh-CN"/>
              </w:rPr>
              <w:t>区域地表水水质情况</w:t>
            </w:r>
          </w:p>
          <w:p w14:paraId="54826555">
            <w:pPr>
              <w:keepNext w:val="0"/>
              <w:keepLines w:val="0"/>
              <w:suppressLineNumbers w:val="0"/>
              <w:spacing w:before="0" w:beforeAutospacing="0" w:after="0" w:afterAutospacing="0"/>
              <w:ind w:left="0" w:right="0" w:firstLine="480"/>
              <w:rPr>
                <w:rFonts w:hint="default" w:cs="Times New Roman"/>
                <w:color w:val="auto"/>
                <w:highlight w:val="yellow"/>
              </w:rPr>
            </w:pPr>
            <w:r>
              <w:rPr>
                <w:rFonts w:hint="eastAsia" w:cs="Times New Roman"/>
                <w:color w:val="auto"/>
                <w:highlight w:val="none"/>
              </w:rPr>
              <w:t>本项目位于</w:t>
            </w:r>
            <w:r>
              <w:rPr>
                <w:rFonts w:hint="eastAsia" w:cs="Times New Roman"/>
                <w:color w:val="auto"/>
                <w:highlight w:val="none"/>
                <w:lang w:val="en-US" w:eastAsia="zh-CN"/>
              </w:rPr>
              <w:t>祁东县官家嘴镇官家嘴村</w:t>
            </w:r>
            <w:r>
              <w:rPr>
                <w:rFonts w:hint="eastAsia" w:cs="Times New Roman"/>
                <w:color w:val="auto"/>
                <w:highlight w:val="none"/>
              </w:rPr>
              <w:t>，</w:t>
            </w:r>
            <w:r>
              <w:rPr>
                <w:rFonts w:hint="eastAsia" w:cs="Times New Roman"/>
                <w:color w:val="auto"/>
                <w:highlight w:val="none"/>
                <w:lang w:val="en-US" w:eastAsia="zh-CN"/>
              </w:rPr>
              <w:t>周边地表水体为黄狮江，本次地表水通过引用《官家嘴镇污水处理工程污水处理站</w:t>
            </w:r>
            <w:bookmarkStart w:id="18" w:name="_Toc146"/>
            <w:r>
              <w:rPr>
                <w:rFonts w:hint="eastAsia" w:cs="Times New Roman"/>
                <w:color w:val="auto"/>
                <w:highlight w:val="none"/>
                <w:lang w:val="en-US" w:eastAsia="zh-CN"/>
              </w:rPr>
              <w:t>入河排污口设置论证报告</w:t>
            </w:r>
            <w:bookmarkEnd w:id="18"/>
            <w:r>
              <w:rPr>
                <w:rFonts w:hint="eastAsia" w:cs="Times New Roman"/>
                <w:color w:val="auto"/>
                <w:highlight w:val="none"/>
                <w:lang w:val="en-US" w:eastAsia="zh-CN"/>
              </w:rPr>
              <w:t>》中</w:t>
            </w:r>
            <w:r>
              <w:rPr>
                <w:rFonts w:hint="default"/>
                <w:szCs w:val="24"/>
                <w:highlight w:val="none"/>
              </w:rPr>
              <w:t>20</w:t>
            </w:r>
            <w:r>
              <w:rPr>
                <w:rFonts w:hint="eastAsia"/>
                <w:szCs w:val="24"/>
                <w:highlight w:val="none"/>
              </w:rPr>
              <w:t>2</w:t>
            </w:r>
            <w:r>
              <w:rPr>
                <w:rFonts w:hint="default"/>
                <w:szCs w:val="24"/>
                <w:highlight w:val="none"/>
              </w:rPr>
              <w:t>4年3月</w:t>
            </w:r>
            <w:r>
              <w:rPr>
                <w:rFonts w:hint="eastAsia"/>
                <w:szCs w:val="24"/>
                <w:highlight w:val="none"/>
              </w:rPr>
              <w:t>4</w:t>
            </w:r>
            <w:r>
              <w:rPr>
                <w:rFonts w:hint="default"/>
                <w:szCs w:val="24"/>
                <w:highlight w:val="none"/>
              </w:rPr>
              <w:t>日~</w:t>
            </w:r>
            <w:r>
              <w:rPr>
                <w:rFonts w:hint="eastAsia"/>
                <w:szCs w:val="24"/>
                <w:highlight w:val="none"/>
              </w:rPr>
              <w:t>6</w:t>
            </w:r>
            <w:r>
              <w:rPr>
                <w:rFonts w:hint="default"/>
                <w:szCs w:val="24"/>
                <w:highlight w:val="none"/>
              </w:rPr>
              <w:t>日</w:t>
            </w:r>
            <w:r>
              <w:rPr>
                <w:rFonts w:hint="eastAsia"/>
                <w:szCs w:val="24"/>
                <w:highlight w:val="none"/>
                <w:lang w:val="en-US" w:eastAsia="zh-CN"/>
              </w:rPr>
              <w:t>现状监测数据以及委托</w:t>
            </w:r>
            <w:r>
              <w:rPr>
                <w:rFonts w:hint="eastAsia" w:cs="Times New Roman"/>
                <w:color w:val="auto"/>
                <w:highlight w:val="none"/>
                <w:lang w:val="en-US" w:eastAsia="zh-CN"/>
              </w:rPr>
              <w:t>湖南中雁环保科技有限公司补充监测（采样时间为2025年7月9日至11日）数据进行评价。</w:t>
            </w:r>
          </w:p>
          <w:p w14:paraId="499CF8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color w:val="auto"/>
                <w:lang w:val="en-US" w:eastAsia="zh-CN"/>
              </w:rPr>
            </w:pPr>
            <w:r>
              <w:rPr>
                <w:rFonts w:hint="eastAsia"/>
                <w:color w:val="auto"/>
                <w:lang w:val="en-US" w:eastAsia="zh-CN"/>
              </w:rPr>
              <w:t>①监测点位和</w:t>
            </w:r>
            <w:r>
              <w:rPr>
                <w:rFonts w:hint="eastAsia"/>
                <w:color w:val="auto"/>
                <w:vertAlign w:val="baseline"/>
                <w:lang w:val="en-US" w:eastAsia="zh-CN"/>
              </w:rPr>
              <w:t>监测因子</w:t>
            </w:r>
            <w:r>
              <w:rPr>
                <w:rFonts w:hint="eastAsia"/>
                <w:color w:val="auto"/>
                <w:lang w:val="en-US" w:eastAsia="zh-CN"/>
              </w:rPr>
              <w:t>：</w:t>
            </w:r>
          </w:p>
          <w:p w14:paraId="3392E1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color w:val="auto"/>
                <w:lang w:val="en-US" w:eastAsia="zh-CN"/>
              </w:rPr>
            </w:pPr>
            <w:r>
              <w:rPr>
                <w:rFonts w:hint="eastAsia"/>
                <w:color w:val="auto"/>
                <w:lang w:val="en-US" w:eastAsia="zh-CN"/>
              </w:rPr>
              <w:t>监测点位和</w:t>
            </w:r>
            <w:r>
              <w:rPr>
                <w:rFonts w:hint="eastAsia"/>
                <w:color w:val="auto"/>
                <w:vertAlign w:val="baseline"/>
                <w:lang w:val="en-US" w:eastAsia="zh-CN"/>
              </w:rPr>
              <w:t>监测因子</w:t>
            </w:r>
            <w:r>
              <w:rPr>
                <w:rFonts w:hint="eastAsia"/>
                <w:color w:val="auto"/>
                <w:lang w:val="en-US" w:eastAsia="zh-CN"/>
              </w:rPr>
              <w:t>见表3.1-</w:t>
            </w:r>
            <w:r>
              <w:rPr>
                <w:rFonts w:hint="default"/>
                <w:color w:val="auto"/>
                <w:lang w:eastAsia="zh-CN"/>
              </w:rPr>
              <w:fldChar w:fldCharType="begin"/>
            </w:r>
            <w:r>
              <w:rPr>
                <w:rFonts w:hint="default"/>
                <w:color w:val="auto"/>
                <w:lang w:eastAsia="zh-CN"/>
              </w:rPr>
              <w:instrText xml:space="preserve"> SEQ 3- \* MERGEFORMAT </w:instrText>
            </w:r>
            <w:r>
              <w:rPr>
                <w:rFonts w:hint="default"/>
                <w:color w:val="auto"/>
                <w:lang w:eastAsia="zh-CN"/>
              </w:rPr>
              <w:fldChar w:fldCharType="separate"/>
            </w:r>
            <w:r>
              <w:rPr>
                <w:rFonts w:hint="default"/>
                <w:color w:val="auto"/>
                <w:lang w:eastAsia="zh-CN"/>
              </w:rPr>
              <w:t>4</w:t>
            </w:r>
            <w:r>
              <w:rPr>
                <w:rFonts w:hint="default"/>
                <w:color w:val="auto"/>
                <w:lang w:eastAsia="zh-CN"/>
              </w:rPr>
              <w:fldChar w:fldCharType="end"/>
            </w:r>
            <w:r>
              <w:rPr>
                <w:rFonts w:hint="eastAsia"/>
                <w:color w:val="auto"/>
                <w:lang w:val="en-US" w:eastAsia="zh-CN"/>
              </w:rPr>
              <w:t>。</w:t>
            </w:r>
          </w:p>
          <w:p w14:paraId="3999182A">
            <w:pPr>
              <w:pStyle w:val="36"/>
              <w:keepLines w:val="0"/>
              <w:numPr>
                <w:ilvl w:val="3"/>
                <w:numId w:val="0"/>
              </w:numPr>
              <w:suppressLineNumbers w:val="0"/>
              <w:tabs>
                <w:tab w:val="left" w:pos="0"/>
                <w:tab w:val="clear" w:pos="420"/>
              </w:tabs>
              <w:bidi w:val="0"/>
              <w:spacing w:before="0" w:beforeAutospacing="0" w:after="0" w:afterAutospacing="0"/>
              <w:ind w:left="0" w:leftChars="0" w:right="0"/>
              <w:jc w:val="center"/>
              <w:rPr>
                <w:rFonts w:hint="eastAsia"/>
                <w:color w:val="auto"/>
                <w:lang w:val="en-US" w:eastAsia="zh-CN"/>
              </w:rPr>
            </w:pPr>
            <w:r>
              <w:rPr>
                <w:rFonts w:hint="eastAsia"/>
                <w:color w:val="auto"/>
                <w:lang w:val="en-US" w:eastAsia="zh-CN"/>
              </w:rPr>
              <w:t>表3.1-</w:t>
            </w:r>
            <w:r>
              <w:rPr>
                <w:rFonts w:hint="default"/>
                <w:color w:val="auto"/>
                <w:lang w:eastAsia="zh-CN"/>
              </w:rPr>
              <w:fldChar w:fldCharType="begin"/>
            </w:r>
            <w:r>
              <w:rPr>
                <w:rFonts w:hint="default"/>
                <w:color w:val="auto"/>
                <w:lang w:eastAsia="zh-CN"/>
              </w:rPr>
              <w:instrText xml:space="preserve"> SEQ 表3- </w:instrText>
            </w:r>
            <w:r>
              <w:rPr>
                <w:rFonts w:hint="default"/>
                <w:color w:val="auto"/>
                <w:lang w:eastAsia="zh-CN"/>
              </w:rPr>
              <w:fldChar w:fldCharType="separate"/>
            </w:r>
            <w:r>
              <w:rPr>
                <w:rFonts w:hint="default"/>
                <w:color w:val="auto"/>
                <w:lang w:eastAsia="zh-CN"/>
              </w:rPr>
              <w:t>4</w:t>
            </w:r>
            <w:r>
              <w:rPr>
                <w:rFonts w:hint="default"/>
                <w:color w:val="auto"/>
                <w:lang w:eastAsia="zh-CN"/>
              </w:rPr>
              <w:fldChar w:fldCharType="end"/>
            </w:r>
            <w:r>
              <w:rPr>
                <w:rFonts w:hint="eastAsia"/>
                <w:color w:val="auto"/>
                <w:lang w:val="en-US" w:eastAsia="zh-CN"/>
              </w:rPr>
              <w:t xml:space="preserve">  地表水补充监测布点一览表</w:t>
            </w:r>
          </w:p>
          <w:tbl>
            <w:tblPr>
              <w:tblStyle w:val="2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6"/>
              <w:gridCol w:w="3636"/>
              <w:gridCol w:w="2728"/>
              <w:gridCol w:w="1251"/>
            </w:tblGrid>
            <w:tr w14:paraId="656FE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 w:type="pct"/>
                  <w:vAlign w:val="center"/>
                </w:tcPr>
                <w:p w14:paraId="031A61CB">
                  <w:pPr>
                    <w:pStyle w:val="37"/>
                    <w:keepNext w:val="0"/>
                    <w:keepLines w:val="0"/>
                    <w:widowControl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序号</w:t>
                  </w:r>
                </w:p>
              </w:tc>
              <w:tc>
                <w:tcPr>
                  <w:tcW w:w="2235" w:type="pct"/>
                  <w:vAlign w:val="center"/>
                </w:tcPr>
                <w:p w14:paraId="07317B47">
                  <w:pPr>
                    <w:pStyle w:val="37"/>
                    <w:keepNext w:val="0"/>
                    <w:keepLines w:val="0"/>
                    <w:widowControl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监测点位</w:t>
                  </w:r>
                </w:p>
              </w:tc>
              <w:tc>
                <w:tcPr>
                  <w:tcW w:w="1677" w:type="pct"/>
                  <w:vAlign w:val="center"/>
                </w:tcPr>
                <w:p w14:paraId="0B7AEFFD">
                  <w:pPr>
                    <w:pStyle w:val="37"/>
                    <w:keepNext w:val="0"/>
                    <w:keepLines w:val="0"/>
                    <w:widowControl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引用的监测因子</w:t>
                  </w:r>
                </w:p>
              </w:tc>
              <w:tc>
                <w:tcPr>
                  <w:tcW w:w="769" w:type="pct"/>
                  <w:vAlign w:val="center"/>
                </w:tcPr>
                <w:p w14:paraId="1A8D2443">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补充监测因子</w:t>
                  </w:r>
                </w:p>
              </w:tc>
            </w:tr>
            <w:tr w14:paraId="531E8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 w:type="pct"/>
                  <w:vAlign w:val="center"/>
                </w:tcPr>
                <w:p w14:paraId="7713A4FA">
                  <w:pPr>
                    <w:pStyle w:val="37"/>
                    <w:keepNext w:val="0"/>
                    <w:keepLines w:val="0"/>
                    <w:widowControl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S1</w:t>
                  </w:r>
                </w:p>
              </w:tc>
              <w:tc>
                <w:tcPr>
                  <w:tcW w:w="2235" w:type="pct"/>
                  <w:vAlign w:val="center"/>
                </w:tcPr>
                <w:p w14:paraId="7AD43464">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s="Times New Roman"/>
                      <w:color w:val="auto"/>
                      <w:highlight w:val="none"/>
                      <w:lang w:val="en-US" w:eastAsia="zh-CN"/>
                    </w:rPr>
                    <w:t>官家嘴镇污水处理工程</w:t>
                  </w:r>
                  <w:r>
                    <w:rPr>
                      <w:rFonts w:hint="eastAsia" w:ascii="Times New Roman" w:hAnsi="Times New Roman"/>
                      <w:color w:val="auto"/>
                      <w:sz w:val="22"/>
                      <w:szCs w:val="20"/>
                      <w:lang w:val="en-US" w:eastAsia="zh-CN"/>
                    </w:rPr>
                    <w:t>入河排污口上游500m</w:t>
                  </w:r>
                  <w:r>
                    <w:rPr>
                      <w:rFonts w:hint="eastAsia"/>
                      <w:color w:val="auto"/>
                      <w:lang w:val="en-US" w:eastAsia="zh-CN"/>
                    </w:rPr>
                    <w:t>（黄狮江）</w:t>
                  </w:r>
                </w:p>
              </w:tc>
              <w:tc>
                <w:tcPr>
                  <w:tcW w:w="1677" w:type="pct"/>
                  <w:vMerge w:val="restart"/>
                  <w:vAlign w:val="center"/>
                </w:tcPr>
                <w:p w14:paraId="272511FE">
                  <w:pPr>
                    <w:pStyle w:val="37"/>
                    <w:keepNext w:val="0"/>
                    <w:keepLines w:val="0"/>
                    <w:widowControl w:val="0"/>
                    <w:suppressLineNumbers w:val="0"/>
                    <w:bidi w:val="0"/>
                    <w:spacing w:before="0" w:beforeAutospacing="0" w:after="0" w:afterAutospacing="0"/>
                    <w:ind w:left="0" w:right="0"/>
                    <w:jc w:val="center"/>
                    <w:rPr>
                      <w:rFonts w:hint="eastAsia"/>
                      <w:color w:val="auto"/>
                      <w:lang w:val="en-US" w:eastAsia="zh-CN"/>
                    </w:rPr>
                  </w:pPr>
                  <w:r>
                    <w:rPr>
                      <w:rFonts w:hint="eastAsia"/>
                      <w:color w:val="auto"/>
                      <w:lang w:val="en-US" w:eastAsia="zh-CN"/>
                    </w:rPr>
                    <w:t>pH、CODCr、SS、BOD5、高锰酸盐指数、总磷、总氮、氨氮、石油类、粪大肠菌群</w:t>
                  </w:r>
                </w:p>
              </w:tc>
              <w:tc>
                <w:tcPr>
                  <w:tcW w:w="769" w:type="pct"/>
                  <w:vMerge w:val="restart"/>
                  <w:vAlign w:val="center"/>
                </w:tcPr>
                <w:p w14:paraId="28EB844A">
                  <w:pPr>
                    <w:pStyle w:val="37"/>
                    <w:keepNext w:val="0"/>
                    <w:keepLines w:val="0"/>
                    <w:widowControl w:val="0"/>
                    <w:suppressLineNumbers w:val="0"/>
                    <w:bidi w:val="0"/>
                    <w:spacing w:before="0" w:beforeAutospacing="0" w:after="0" w:afterAutospacing="0"/>
                    <w:ind w:left="0" w:right="0"/>
                    <w:jc w:val="center"/>
                    <w:rPr>
                      <w:rFonts w:hint="eastAsia"/>
                      <w:color w:val="auto"/>
                      <w:lang w:val="en-US" w:eastAsia="zh-CN"/>
                    </w:rPr>
                  </w:pPr>
                  <w:r>
                    <w:rPr>
                      <w:rFonts w:hint="eastAsia"/>
                      <w:color w:val="auto"/>
                      <w:sz w:val="22"/>
                      <w:szCs w:val="22"/>
                      <w:lang w:val="en-US" w:eastAsia="zh-CN"/>
                    </w:rPr>
                    <w:t>硫酸盐、全盐量</w:t>
                  </w:r>
                </w:p>
              </w:tc>
            </w:tr>
            <w:tr w14:paraId="6F76C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 w:type="pct"/>
                  <w:vAlign w:val="center"/>
                </w:tcPr>
                <w:p w14:paraId="3C899D06">
                  <w:pPr>
                    <w:pStyle w:val="37"/>
                    <w:keepNext w:val="0"/>
                    <w:keepLines w:val="0"/>
                    <w:widowControl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S2</w:t>
                  </w:r>
                </w:p>
              </w:tc>
              <w:tc>
                <w:tcPr>
                  <w:tcW w:w="2235" w:type="pct"/>
                  <w:vAlign w:val="center"/>
                </w:tcPr>
                <w:p w14:paraId="65CB6533">
                  <w:pPr>
                    <w:pStyle w:val="37"/>
                    <w:keepNext w:val="0"/>
                    <w:keepLines w:val="0"/>
                    <w:widowControl w:val="0"/>
                    <w:suppressLineNumbers w:val="0"/>
                    <w:bidi w:val="0"/>
                    <w:spacing w:before="0" w:beforeAutospacing="0" w:after="0" w:afterAutospacing="0"/>
                    <w:ind w:left="0" w:right="0"/>
                    <w:rPr>
                      <w:rFonts w:hint="eastAsia"/>
                      <w:color w:val="auto"/>
                      <w:lang w:val="en-US" w:eastAsia="zh-CN"/>
                    </w:rPr>
                  </w:pPr>
                  <w:r>
                    <w:rPr>
                      <w:rFonts w:hint="eastAsia" w:cs="Times New Roman"/>
                      <w:color w:val="auto"/>
                      <w:highlight w:val="none"/>
                      <w:lang w:val="en-US" w:eastAsia="zh-CN"/>
                    </w:rPr>
                    <w:t>官家嘴镇污水处理工程</w:t>
                  </w:r>
                  <w:r>
                    <w:rPr>
                      <w:rFonts w:hint="eastAsia" w:ascii="Times New Roman" w:hAnsi="Times New Roman"/>
                      <w:color w:val="auto"/>
                      <w:sz w:val="22"/>
                      <w:szCs w:val="20"/>
                      <w:lang w:val="en-US" w:eastAsia="zh-CN"/>
                    </w:rPr>
                    <w:t>入河排污口</w:t>
                  </w:r>
                  <w:r>
                    <w:rPr>
                      <w:rFonts w:hint="eastAsia"/>
                      <w:color w:val="auto"/>
                      <w:lang w:val="en-US" w:eastAsia="zh-CN"/>
                    </w:rPr>
                    <w:t>下游1000m（黄狮江）</w:t>
                  </w:r>
                </w:p>
              </w:tc>
              <w:tc>
                <w:tcPr>
                  <w:tcW w:w="1677" w:type="pct"/>
                  <w:vMerge w:val="continue"/>
                  <w:vAlign w:val="center"/>
                </w:tcPr>
                <w:p w14:paraId="26AD48D1">
                  <w:pPr>
                    <w:pStyle w:val="37"/>
                    <w:keepNext w:val="0"/>
                    <w:keepLines w:val="0"/>
                    <w:widowControl w:val="0"/>
                    <w:suppressLineNumbers w:val="0"/>
                    <w:bidi w:val="0"/>
                    <w:spacing w:before="0" w:beforeAutospacing="0" w:after="0" w:afterAutospacing="0"/>
                    <w:ind w:left="0" w:right="0"/>
                    <w:jc w:val="center"/>
                    <w:rPr>
                      <w:rFonts w:hint="eastAsia"/>
                      <w:color w:val="auto"/>
                      <w:lang w:val="en-US" w:eastAsia="zh-CN"/>
                    </w:rPr>
                  </w:pPr>
                </w:p>
              </w:tc>
              <w:tc>
                <w:tcPr>
                  <w:tcW w:w="769" w:type="pct"/>
                  <w:vMerge w:val="continue"/>
                  <w:vAlign w:val="center"/>
                </w:tcPr>
                <w:p w14:paraId="36F0382B">
                  <w:pPr>
                    <w:pStyle w:val="37"/>
                    <w:keepNext w:val="0"/>
                    <w:keepLines w:val="0"/>
                    <w:widowControl w:val="0"/>
                    <w:suppressLineNumbers w:val="0"/>
                    <w:bidi w:val="0"/>
                    <w:spacing w:before="0" w:beforeAutospacing="0" w:after="0" w:afterAutospacing="0"/>
                    <w:ind w:left="0" w:right="0"/>
                    <w:jc w:val="center"/>
                    <w:rPr>
                      <w:rFonts w:hint="eastAsia"/>
                      <w:color w:val="auto"/>
                      <w:lang w:val="en-US" w:eastAsia="zh-CN"/>
                    </w:rPr>
                  </w:pPr>
                </w:p>
              </w:tc>
            </w:tr>
          </w:tbl>
          <w:p w14:paraId="7F4C8790">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auto"/>
                <w:sz w:val="24"/>
                <w:szCs w:val="28"/>
                <w:lang w:val="en-US" w:eastAsia="zh-CN"/>
              </w:rPr>
            </w:pPr>
            <w:r>
              <w:rPr>
                <w:rFonts w:hint="eastAsia" w:ascii="宋体" w:hAnsi="宋体" w:eastAsia="宋体" w:cs="宋体"/>
                <w:color w:val="auto"/>
                <w:sz w:val="24"/>
                <w:szCs w:val="28"/>
                <w:vertAlign w:val="baseline"/>
                <w:lang w:val="en-US" w:eastAsia="zh-CN"/>
              </w:rPr>
              <w:t>②</w:t>
            </w:r>
            <w:r>
              <w:rPr>
                <w:rFonts w:hint="eastAsia"/>
                <w:color w:val="auto"/>
                <w:sz w:val="24"/>
                <w:szCs w:val="28"/>
                <w:vertAlign w:val="baseline"/>
                <w:lang w:val="en-US" w:eastAsia="zh-CN"/>
              </w:rPr>
              <w:t>评价标准：</w:t>
            </w:r>
            <w:r>
              <w:rPr>
                <w:rFonts w:hint="eastAsia"/>
                <w:color w:val="auto"/>
                <w:sz w:val="24"/>
                <w:szCs w:val="28"/>
                <w:lang w:val="en-US" w:eastAsia="zh-CN"/>
              </w:rPr>
              <w:t>《地表水环境质量标准》（GB3838-2002）中</w:t>
            </w:r>
            <w:r>
              <w:rPr>
                <w:rFonts w:hint="eastAsia"/>
                <w:color w:val="auto"/>
                <w:sz w:val="24"/>
                <w:szCs w:val="28"/>
                <w:lang w:val="en-US" w:eastAsia="zh-CN"/>
              </w:rPr>
              <w:fldChar w:fldCharType="begin"/>
            </w:r>
            <w:r>
              <w:rPr>
                <w:rFonts w:hint="eastAsia"/>
                <w:color w:val="auto"/>
                <w:sz w:val="24"/>
                <w:szCs w:val="28"/>
                <w:lang w:val="en-US" w:eastAsia="zh-CN"/>
              </w:rPr>
              <w:instrText xml:space="preserve"> = 3 \* ROMAN \* MERGEFORMAT </w:instrText>
            </w:r>
            <w:r>
              <w:rPr>
                <w:rFonts w:hint="eastAsia"/>
                <w:color w:val="auto"/>
                <w:sz w:val="24"/>
                <w:szCs w:val="28"/>
                <w:lang w:val="en-US" w:eastAsia="zh-CN"/>
              </w:rPr>
              <w:fldChar w:fldCharType="separate"/>
            </w:r>
            <w:r>
              <w:rPr>
                <w:rFonts w:hint="default"/>
                <w:sz w:val="24"/>
                <w:szCs w:val="28"/>
              </w:rPr>
              <w:t>III</w:t>
            </w:r>
            <w:r>
              <w:rPr>
                <w:rFonts w:hint="eastAsia"/>
                <w:color w:val="auto"/>
                <w:sz w:val="24"/>
                <w:szCs w:val="28"/>
                <w:lang w:val="en-US" w:eastAsia="zh-CN"/>
              </w:rPr>
              <w:fldChar w:fldCharType="end"/>
            </w:r>
            <w:r>
              <w:rPr>
                <w:rFonts w:hint="eastAsia"/>
                <w:color w:val="auto"/>
                <w:sz w:val="24"/>
                <w:szCs w:val="28"/>
                <w:lang w:val="en-US" w:eastAsia="zh-CN"/>
              </w:rPr>
              <w:t>类水质标准。</w:t>
            </w:r>
          </w:p>
          <w:p w14:paraId="30EC78DE">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sz w:val="24"/>
                <w:szCs w:val="24"/>
                <w:lang w:val="en-US" w:eastAsia="zh-CN"/>
              </w:rPr>
            </w:pPr>
            <w:r>
              <w:rPr>
                <w:rFonts w:hint="eastAsia" w:ascii="新宋体" w:hAnsi="新宋体" w:eastAsia="新宋体" w:cs="新宋体"/>
                <w:color w:val="auto"/>
                <w:sz w:val="24"/>
                <w:szCs w:val="28"/>
                <w:lang w:val="en-US" w:eastAsia="zh-CN"/>
              </w:rPr>
              <w:t>③</w:t>
            </w:r>
            <w:r>
              <w:rPr>
                <w:rFonts w:hint="eastAsia"/>
                <w:color w:val="auto"/>
                <w:sz w:val="24"/>
                <w:szCs w:val="28"/>
                <w:lang w:val="en-US" w:eastAsia="zh-CN"/>
              </w:rPr>
              <w:t>监测结果</w:t>
            </w:r>
          </w:p>
          <w:p w14:paraId="0F5E557C">
            <w:pPr>
              <w:pStyle w:val="103"/>
              <w:keepNext w:val="0"/>
              <w:keepLines w:val="0"/>
              <w:suppressLineNumbers w:val="0"/>
              <w:spacing w:before="0" w:beforeAutospacing="0" w:after="0" w:afterAutospacing="0"/>
              <w:ind w:left="0" w:right="0"/>
              <w:rPr>
                <w:rFonts w:hint="default" w:eastAsia="宋体"/>
                <w:lang w:val="en-US" w:eastAsia="zh-CN"/>
              </w:rPr>
            </w:pPr>
            <w:r>
              <w:rPr>
                <w:rFonts w:hint="eastAsia"/>
              </w:rPr>
              <w:t>表</w:t>
            </w:r>
            <w:r>
              <w:rPr>
                <w:rFonts w:hint="eastAsia"/>
                <w:lang w:val="en-US" w:eastAsia="zh-CN"/>
              </w:rPr>
              <w:t>3.1-5（1）</w:t>
            </w:r>
            <w:r>
              <w:rPr>
                <w:rFonts w:hint="default"/>
              </w:rPr>
              <w:t xml:space="preserve">  </w:t>
            </w:r>
            <w:r>
              <w:rPr>
                <w:rFonts w:hint="eastAsia"/>
                <w:lang w:val="en-US" w:eastAsia="zh-CN"/>
              </w:rPr>
              <w:t>引用的</w:t>
            </w:r>
            <w:r>
              <w:rPr>
                <w:rFonts w:hint="default"/>
              </w:rPr>
              <w:t>地表水现状监测结果</w:t>
            </w:r>
            <w:r>
              <w:rPr>
                <w:rFonts w:hint="eastAsia"/>
                <w:lang w:val="en-US" w:eastAsia="zh-CN"/>
              </w:rPr>
              <w:t xml:space="preserve">   单位：pH无量纲，mg/L</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8"/>
              <w:gridCol w:w="1611"/>
              <w:gridCol w:w="1175"/>
              <w:gridCol w:w="1147"/>
              <w:gridCol w:w="1105"/>
              <w:gridCol w:w="744"/>
              <w:gridCol w:w="1271"/>
            </w:tblGrid>
            <w:tr w14:paraId="00F31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662" w:type="pct"/>
                  <w:vMerge w:val="restart"/>
                  <w:vAlign w:val="center"/>
                </w:tcPr>
                <w:p w14:paraId="515AEC4A">
                  <w:pPr>
                    <w:pStyle w:val="105"/>
                    <w:keepNext w:val="0"/>
                    <w:keepLines w:val="0"/>
                    <w:suppressLineNumbers w:val="0"/>
                    <w:spacing w:before="0" w:beforeAutospacing="0" w:after="0" w:afterAutospacing="0"/>
                    <w:ind w:left="0" w:right="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监测点位</w:t>
                  </w:r>
                </w:p>
              </w:tc>
              <w:tc>
                <w:tcPr>
                  <w:tcW w:w="990" w:type="pct"/>
                  <w:vMerge w:val="restart"/>
                  <w:vAlign w:val="center"/>
                </w:tcPr>
                <w:p w14:paraId="17E355A5">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监测因子</w:t>
                  </w:r>
                </w:p>
              </w:tc>
              <w:tc>
                <w:tcPr>
                  <w:tcW w:w="2107" w:type="pct"/>
                  <w:gridSpan w:val="3"/>
                  <w:vAlign w:val="center"/>
                </w:tcPr>
                <w:p w14:paraId="25788CFD">
                  <w:pPr>
                    <w:pStyle w:val="105"/>
                    <w:keepNext w:val="0"/>
                    <w:keepLines w:val="0"/>
                    <w:suppressLineNumbers w:val="0"/>
                    <w:spacing w:before="0" w:beforeAutospacing="0" w:after="0" w:afterAutospacing="0"/>
                    <w:ind w:left="0" w:right="0"/>
                    <w:rPr>
                      <w:rFonts w:hint="default" w:ascii="Times New Roman" w:hAnsi="Times New Roman" w:eastAsia="等线" w:cs="Times New Roman"/>
                      <w:kern w:val="0"/>
                    </w:rPr>
                  </w:pPr>
                  <w:r>
                    <w:rPr>
                      <w:rFonts w:hint="default" w:ascii="Times New Roman" w:hAnsi="Times New Roman" w:cs="Times New Roman"/>
                      <w:kern w:val="0"/>
                    </w:rPr>
                    <w:t>监测结果</w:t>
                  </w:r>
                </w:p>
              </w:tc>
              <w:tc>
                <w:tcPr>
                  <w:tcW w:w="457" w:type="pct"/>
                  <w:vMerge w:val="restart"/>
                  <w:vAlign w:val="center"/>
                </w:tcPr>
                <w:p w14:paraId="38C7F5D3">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标准限值</w:t>
                  </w:r>
                </w:p>
              </w:tc>
              <w:tc>
                <w:tcPr>
                  <w:tcW w:w="781" w:type="pct"/>
                  <w:vMerge w:val="restart"/>
                  <w:vAlign w:val="center"/>
                </w:tcPr>
                <w:p w14:paraId="43F50189">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达标情况</w:t>
                  </w:r>
                </w:p>
              </w:tc>
            </w:tr>
            <w:tr w14:paraId="01E9E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662" w:type="pct"/>
                  <w:vMerge w:val="continue"/>
                  <w:vAlign w:val="center"/>
                </w:tcPr>
                <w:p w14:paraId="6692AFA1">
                  <w:pPr>
                    <w:pStyle w:val="105"/>
                    <w:keepNext w:val="0"/>
                    <w:keepLines w:val="0"/>
                    <w:suppressLineNumbers w:val="0"/>
                    <w:spacing w:before="0" w:beforeAutospacing="0" w:after="0" w:afterAutospacing="0"/>
                    <w:ind w:left="0" w:right="0"/>
                    <w:rPr>
                      <w:rFonts w:hint="default"/>
                    </w:rPr>
                  </w:pPr>
                </w:p>
              </w:tc>
              <w:tc>
                <w:tcPr>
                  <w:tcW w:w="990" w:type="pct"/>
                  <w:vMerge w:val="continue"/>
                  <w:vAlign w:val="center"/>
                </w:tcPr>
                <w:p w14:paraId="09B097D7">
                  <w:pPr>
                    <w:pStyle w:val="105"/>
                    <w:keepNext w:val="0"/>
                    <w:keepLines w:val="0"/>
                    <w:suppressLineNumbers w:val="0"/>
                    <w:spacing w:before="0" w:beforeAutospacing="0" w:after="0" w:afterAutospacing="0"/>
                    <w:ind w:left="0" w:right="0"/>
                    <w:rPr>
                      <w:rFonts w:hint="default"/>
                    </w:rPr>
                  </w:pPr>
                </w:p>
              </w:tc>
              <w:tc>
                <w:tcPr>
                  <w:tcW w:w="722" w:type="pct"/>
                  <w:vAlign w:val="center"/>
                </w:tcPr>
                <w:p w14:paraId="3C156471">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2024.3.4</w:t>
                  </w:r>
                </w:p>
              </w:tc>
              <w:tc>
                <w:tcPr>
                  <w:tcW w:w="705" w:type="pct"/>
                  <w:vAlign w:val="center"/>
                </w:tcPr>
                <w:p w14:paraId="6E495F32">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2024.3.5</w:t>
                  </w:r>
                </w:p>
              </w:tc>
              <w:tc>
                <w:tcPr>
                  <w:tcW w:w="679" w:type="pct"/>
                  <w:vAlign w:val="center"/>
                </w:tcPr>
                <w:p w14:paraId="6C2AA917">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2024.3.6</w:t>
                  </w:r>
                </w:p>
              </w:tc>
              <w:tc>
                <w:tcPr>
                  <w:tcW w:w="457" w:type="pct"/>
                  <w:vMerge w:val="continue"/>
                  <w:vAlign w:val="center"/>
                </w:tcPr>
                <w:p w14:paraId="7257048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781" w:type="pct"/>
                  <w:vMerge w:val="continue"/>
                  <w:vAlign w:val="center"/>
                </w:tcPr>
                <w:p w14:paraId="676D4F8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r>
            <w:tr w14:paraId="5FA37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restart"/>
                  <w:vAlign w:val="center"/>
                </w:tcPr>
                <w:p w14:paraId="7FF289DF">
                  <w:pPr>
                    <w:pStyle w:val="105"/>
                    <w:keepNext w:val="0"/>
                    <w:keepLines w:val="0"/>
                    <w:suppressLineNumbers w:val="0"/>
                    <w:spacing w:before="0" w:beforeAutospacing="0" w:after="0" w:afterAutospacing="0"/>
                    <w:ind w:left="0" w:right="0"/>
                    <w:rPr>
                      <w:rFonts w:hint="default" w:ascii="Times New Roman" w:hAnsi="Times New Roman" w:cs="Times New Roman"/>
                      <w:bCs/>
                      <w:kern w:val="0"/>
                      <w:szCs w:val="24"/>
                    </w:rPr>
                  </w:pPr>
                  <w:r>
                    <w:rPr>
                      <w:rFonts w:hint="default" w:ascii="Times New Roman" w:hAnsi="Times New Roman" w:cs="Times New Roman"/>
                      <w:bCs/>
                      <w:kern w:val="0"/>
                      <w:szCs w:val="24"/>
                      <w:lang w:val="en-US" w:eastAsia="zh-CN"/>
                    </w:rPr>
                    <w:t>S1</w:t>
                  </w:r>
                  <w:r>
                    <w:rPr>
                      <w:rFonts w:hint="default" w:ascii="Times New Roman" w:hAnsi="Times New Roman" w:cs="Times New Roman"/>
                      <w:bCs/>
                      <w:kern w:val="0"/>
                      <w:szCs w:val="24"/>
                    </w:rPr>
                    <w:t>：</w:t>
                  </w:r>
                </w:p>
                <w:p w14:paraId="3B4471E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color w:val="auto"/>
                      <w:highlight w:val="none"/>
                      <w:lang w:val="en-US" w:eastAsia="zh-CN"/>
                    </w:rPr>
                    <w:t>官家嘴镇污水处理工程</w:t>
                  </w:r>
                  <w:r>
                    <w:rPr>
                      <w:rFonts w:hint="default" w:ascii="Times New Roman" w:hAnsi="Times New Roman" w:cs="Times New Roman"/>
                      <w:color w:val="auto"/>
                      <w:sz w:val="22"/>
                      <w:szCs w:val="20"/>
                      <w:lang w:val="en-US" w:eastAsia="zh-CN"/>
                    </w:rPr>
                    <w:t>入河排污口上游500m</w:t>
                  </w:r>
                  <w:r>
                    <w:rPr>
                      <w:rFonts w:hint="default" w:ascii="Times New Roman" w:hAnsi="Times New Roman" w:cs="Times New Roman"/>
                      <w:color w:val="auto"/>
                      <w:lang w:val="en-US" w:eastAsia="zh-CN"/>
                    </w:rPr>
                    <w:t>（黄狮江）</w:t>
                  </w:r>
                </w:p>
              </w:tc>
              <w:tc>
                <w:tcPr>
                  <w:tcW w:w="990" w:type="pct"/>
                  <w:vAlign w:val="center"/>
                </w:tcPr>
                <w:p w14:paraId="4BD18B1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pH值</w:t>
                  </w:r>
                </w:p>
              </w:tc>
              <w:tc>
                <w:tcPr>
                  <w:tcW w:w="722" w:type="pct"/>
                  <w:vAlign w:val="center"/>
                </w:tcPr>
                <w:p w14:paraId="5465C78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7.3</w:t>
                  </w:r>
                </w:p>
              </w:tc>
              <w:tc>
                <w:tcPr>
                  <w:tcW w:w="705" w:type="pct"/>
                  <w:vAlign w:val="center"/>
                </w:tcPr>
                <w:p w14:paraId="3B64EF7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7.4</w:t>
                  </w:r>
                </w:p>
              </w:tc>
              <w:tc>
                <w:tcPr>
                  <w:tcW w:w="679" w:type="pct"/>
                  <w:vAlign w:val="center"/>
                </w:tcPr>
                <w:p w14:paraId="27EDC1F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7.3</w:t>
                  </w:r>
                </w:p>
              </w:tc>
              <w:tc>
                <w:tcPr>
                  <w:tcW w:w="457" w:type="pct"/>
                  <w:vAlign w:val="center"/>
                </w:tcPr>
                <w:p w14:paraId="2B121C96">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6~9</w:t>
                  </w:r>
                </w:p>
              </w:tc>
              <w:tc>
                <w:tcPr>
                  <w:tcW w:w="781" w:type="pct"/>
                  <w:vAlign w:val="center"/>
                </w:tcPr>
                <w:p w14:paraId="2280237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49C6F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1E699597">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539C805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 xml:space="preserve">COD </w:t>
                  </w:r>
                </w:p>
              </w:tc>
              <w:tc>
                <w:tcPr>
                  <w:tcW w:w="722" w:type="pct"/>
                  <w:vAlign w:val="center"/>
                </w:tcPr>
                <w:p w14:paraId="04263B8B">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4</w:t>
                  </w:r>
                </w:p>
              </w:tc>
              <w:tc>
                <w:tcPr>
                  <w:tcW w:w="705" w:type="pct"/>
                  <w:vAlign w:val="center"/>
                </w:tcPr>
                <w:p w14:paraId="680A573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4</w:t>
                  </w:r>
                </w:p>
              </w:tc>
              <w:tc>
                <w:tcPr>
                  <w:tcW w:w="679" w:type="pct"/>
                  <w:vAlign w:val="center"/>
                </w:tcPr>
                <w:p w14:paraId="35AA00CF">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5</w:t>
                  </w:r>
                </w:p>
              </w:tc>
              <w:tc>
                <w:tcPr>
                  <w:tcW w:w="457" w:type="pct"/>
                  <w:vAlign w:val="center"/>
                </w:tcPr>
                <w:p w14:paraId="47C1404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20</w:t>
                  </w:r>
                </w:p>
              </w:tc>
              <w:tc>
                <w:tcPr>
                  <w:tcW w:w="781" w:type="pct"/>
                  <w:vAlign w:val="center"/>
                </w:tcPr>
                <w:p w14:paraId="4003519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079BA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71C0F75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12DD6BF2">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BOD</w:t>
                  </w:r>
                  <w:r>
                    <w:rPr>
                      <w:rFonts w:hint="default" w:ascii="Times New Roman" w:hAnsi="Times New Roman" w:cs="Times New Roman"/>
                      <w:kern w:val="0"/>
                      <w:vertAlign w:val="subscript"/>
                    </w:rPr>
                    <w:t>5</w:t>
                  </w:r>
                </w:p>
              </w:tc>
              <w:tc>
                <w:tcPr>
                  <w:tcW w:w="722" w:type="pct"/>
                  <w:vAlign w:val="center"/>
                </w:tcPr>
                <w:p w14:paraId="5F7E33F2">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 xml:space="preserve">1.0 </w:t>
                  </w:r>
                </w:p>
              </w:tc>
              <w:tc>
                <w:tcPr>
                  <w:tcW w:w="705" w:type="pct"/>
                  <w:vAlign w:val="center"/>
                </w:tcPr>
                <w:p w14:paraId="55BD21B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 xml:space="preserve">1.0 </w:t>
                  </w:r>
                </w:p>
              </w:tc>
              <w:tc>
                <w:tcPr>
                  <w:tcW w:w="679" w:type="pct"/>
                  <w:vAlign w:val="center"/>
                </w:tcPr>
                <w:p w14:paraId="1F8A0BB7">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1.3</w:t>
                  </w:r>
                </w:p>
              </w:tc>
              <w:tc>
                <w:tcPr>
                  <w:tcW w:w="457" w:type="pct"/>
                  <w:vAlign w:val="center"/>
                </w:tcPr>
                <w:p w14:paraId="2508195B">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4</w:t>
                  </w:r>
                </w:p>
              </w:tc>
              <w:tc>
                <w:tcPr>
                  <w:tcW w:w="781" w:type="pct"/>
                  <w:vAlign w:val="center"/>
                </w:tcPr>
                <w:p w14:paraId="01E49DD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417EA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7917D14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21C40CF9">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高锰酸盐指数</w:t>
                  </w:r>
                </w:p>
              </w:tc>
              <w:tc>
                <w:tcPr>
                  <w:tcW w:w="722" w:type="pct"/>
                  <w:vAlign w:val="center"/>
                </w:tcPr>
                <w:p w14:paraId="20D5B49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1.6 </w:t>
                  </w:r>
                </w:p>
              </w:tc>
              <w:tc>
                <w:tcPr>
                  <w:tcW w:w="705" w:type="pct"/>
                  <w:vAlign w:val="center"/>
                </w:tcPr>
                <w:p w14:paraId="7D57CA66">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1.6 </w:t>
                  </w:r>
                </w:p>
              </w:tc>
              <w:tc>
                <w:tcPr>
                  <w:tcW w:w="679" w:type="pct"/>
                  <w:vAlign w:val="center"/>
                </w:tcPr>
                <w:p w14:paraId="525BB21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1.6 </w:t>
                  </w:r>
                </w:p>
              </w:tc>
              <w:tc>
                <w:tcPr>
                  <w:tcW w:w="457" w:type="pct"/>
                  <w:vAlign w:val="center"/>
                </w:tcPr>
                <w:p w14:paraId="11DCB1B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6</w:t>
                  </w:r>
                </w:p>
              </w:tc>
              <w:tc>
                <w:tcPr>
                  <w:tcW w:w="781" w:type="pct"/>
                  <w:vAlign w:val="center"/>
                </w:tcPr>
                <w:p w14:paraId="2C51DE2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6A522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33C73FEA">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7DEBCB4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氨氮</w:t>
                  </w:r>
                </w:p>
              </w:tc>
              <w:tc>
                <w:tcPr>
                  <w:tcW w:w="722" w:type="pct"/>
                  <w:vAlign w:val="center"/>
                </w:tcPr>
                <w:p w14:paraId="777F50F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2"/>
                      <w:szCs w:val="22"/>
                    </w:rPr>
                    <w:t xml:space="preserve">0.239 </w:t>
                  </w:r>
                </w:p>
              </w:tc>
              <w:tc>
                <w:tcPr>
                  <w:tcW w:w="705" w:type="pct"/>
                  <w:vAlign w:val="center"/>
                </w:tcPr>
                <w:p w14:paraId="17769266">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2"/>
                      <w:szCs w:val="22"/>
                    </w:rPr>
                    <w:t xml:space="preserve">0.348 </w:t>
                  </w:r>
                </w:p>
              </w:tc>
              <w:tc>
                <w:tcPr>
                  <w:tcW w:w="679" w:type="pct"/>
                  <w:vAlign w:val="center"/>
                </w:tcPr>
                <w:p w14:paraId="0CDD7B33">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2"/>
                      <w:szCs w:val="22"/>
                    </w:rPr>
                    <w:t xml:space="preserve">0.348 </w:t>
                  </w:r>
                </w:p>
              </w:tc>
              <w:tc>
                <w:tcPr>
                  <w:tcW w:w="457" w:type="pct"/>
                  <w:vAlign w:val="center"/>
                </w:tcPr>
                <w:p w14:paraId="7962A7D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1</w:t>
                  </w:r>
                </w:p>
              </w:tc>
              <w:tc>
                <w:tcPr>
                  <w:tcW w:w="781" w:type="pct"/>
                  <w:vAlign w:val="center"/>
                </w:tcPr>
                <w:p w14:paraId="026BDCFE">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19EF5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6BED1176">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00C3BFD3">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TP</w:t>
                  </w:r>
                </w:p>
              </w:tc>
              <w:tc>
                <w:tcPr>
                  <w:tcW w:w="722" w:type="pct"/>
                  <w:vAlign w:val="center"/>
                </w:tcPr>
                <w:p w14:paraId="2ED76FF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0.08 </w:t>
                  </w:r>
                </w:p>
              </w:tc>
              <w:tc>
                <w:tcPr>
                  <w:tcW w:w="705" w:type="pct"/>
                  <w:vAlign w:val="center"/>
                </w:tcPr>
                <w:p w14:paraId="00F2316F">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0.07 </w:t>
                  </w:r>
                </w:p>
              </w:tc>
              <w:tc>
                <w:tcPr>
                  <w:tcW w:w="679" w:type="pct"/>
                  <w:vAlign w:val="center"/>
                </w:tcPr>
                <w:p w14:paraId="5B324C2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0.06 </w:t>
                  </w:r>
                </w:p>
              </w:tc>
              <w:tc>
                <w:tcPr>
                  <w:tcW w:w="457" w:type="pct"/>
                  <w:vAlign w:val="center"/>
                </w:tcPr>
                <w:p w14:paraId="4A48B60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0.2</w:t>
                  </w:r>
                </w:p>
              </w:tc>
              <w:tc>
                <w:tcPr>
                  <w:tcW w:w="781" w:type="pct"/>
                  <w:vAlign w:val="center"/>
                </w:tcPr>
                <w:p w14:paraId="2EE7EA1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49FC9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625B186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5BC4E20B">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石油类</w:t>
                  </w:r>
                </w:p>
              </w:tc>
              <w:tc>
                <w:tcPr>
                  <w:tcW w:w="722" w:type="pct"/>
                  <w:vAlign w:val="center"/>
                </w:tcPr>
                <w:p w14:paraId="1E80A3F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0.01L</w:t>
                  </w:r>
                </w:p>
              </w:tc>
              <w:tc>
                <w:tcPr>
                  <w:tcW w:w="705" w:type="pct"/>
                  <w:vAlign w:val="center"/>
                </w:tcPr>
                <w:p w14:paraId="481FAE9F">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0.01L</w:t>
                  </w:r>
                </w:p>
              </w:tc>
              <w:tc>
                <w:tcPr>
                  <w:tcW w:w="679" w:type="pct"/>
                  <w:vAlign w:val="center"/>
                </w:tcPr>
                <w:p w14:paraId="027AECD2">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0.01L</w:t>
                  </w:r>
                </w:p>
              </w:tc>
              <w:tc>
                <w:tcPr>
                  <w:tcW w:w="457" w:type="pct"/>
                  <w:vAlign w:val="center"/>
                </w:tcPr>
                <w:p w14:paraId="40DBECB6">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0.05</w:t>
                  </w:r>
                </w:p>
              </w:tc>
              <w:tc>
                <w:tcPr>
                  <w:tcW w:w="781" w:type="pct"/>
                  <w:vAlign w:val="center"/>
                </w:tcPr>
                <w:p w14:paraId="5014D357">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1946A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748A7F4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0041E44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 xml:space="preserve">SS </w:t>
                  </w:r>
                </w:p>
              </w:tc>
              <w:tc>
                <w:tcPr>
                  <w:tcW w:w="722" w:type="pct"/>
                  <w:vAlign w:val="center"/>
                </w:tcPr>
                <w:p w14:paraId="7A36891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12</w:t>
                  </w:r>
                </w:p>
              </w:tc>
              <w:tc>
                <w:tcPr>
                  <w:tcW w:w="705" w:type="pct"/>
                  <w:vAlign w:val="center"/>
                </w:tcPr>
                <w:p w14:paraId="1935B80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15</w:t>
                  </w:r>
                </w:p>
              </w:tc>
              <w:tc>
                <w:tcPr>
                  <w:tcW w:w="679" w:type="pct"/>
                  <w:vAlign w:val="center"/>
                </w:tcPr>
                <w:p w14:paraId="3CE1D6CF">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5</w:t>
                  </w:r>
                </w:p>
              </w:tc>
              <w:tc>
                <w:tcPr>
                  <w:tcW w:w="457" w:type="pct"/>
                  <w:vAlign w:val="center"/>
                </w:tcPr>
                <w:p w14:paraId="3EFA9D1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w:t>
                  </w:r>
                </w:p>
              </w:tc>
              <w:tc>
                <w:tcPr>
                  <w:tcW w:w="781" w:type="pct"/>
                  <w:vAlign w:val="center"/>
                </w:tcPr>
                <w:p w14:paraId="2F6A3A2D">
                  <w:pPr>
                    <w:pStyle w:val="105"/>
                    <w:keepNext w:val="0"/>
                    <w:keepLines w:val="0"/>
                    <w:suppressLineNumbers w:val="0"/>
                    <w:spacing w:before="0" w:beforeAutospacing="0" w:after="0" w:afterAutospacing="0"/>
                    <w:ind w:left="0" w:right="0"/>
                    <w:rPr>
                      <w:rFonts w:hint="eastAsia" w:ascii="Times New Roman" w:hAnsi="Times New Roman" w:eastAsia="宋体" w:cs="Times New Roman"/>
                      <w:kern w:val="0"/>
                      <w:lang w:eastAsia="zh-CN"/>
                    </w:rPr>
                  </w:pPr>
                  <w:r>
                    <w:rPr>
                      <w:rFonts w:hint="eastAsia" w:ascii="Times New Roman" w:hAnsi="Times New Roman" w:cs="Times New Roman"/>
                      <w:kern w:val="0"/>
                      <w:lang w:val="en-US" w:eastAsia="zh-CN"/>
                    </w:rPr>
                    <w:t>/</w:t>
                  </w:r>
                </w:p>
              </w:tc>
            </w:tr>
            <w:tr w14:paraId="091EF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6AF2B8E0">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7CAB671A">
                  <w:pPr>
                    <w:pStyle w:val="105"/>
                    <w:keepNext w:val="0"/>
                    <w:keepLines w:val="0"/>
                    <w:suppressLineNumbers w:val="0"/>
                    <w:spacing w:before="0" w:beforeAutospacing="0" w:after="0" w:afterAutospacing="0"/>
                    <w:ind w:left="0" w:right="0"/>
                    <w:rPr>
                      <w:rFonts w:hint="eastAsia" w:ascii="Times New Roman" w:hAnsi="Times New Roman" w:eastAsia="宋体" w:cs="Times New Roman"/>
                      <w:kern w:val="0"/>
                      <w:lang w:eastAsia="zh-CN"/>
                    </w:rPr>
                  </w:pPr>
                  <w:r>
                    <w:rPr>
                      <w:rFonts w:hint="default" w:ascii="Times New Roman" w:hAnsi="Times New Roman" w:cs="Times New Roman"/>
                      <w:kern w:val="0"/>
                    </w:rPr>
                    <w:t>粪大肠菌群</w:t>
                  </w:r>
                  <w:r>
                    <w:rPr>
                      <w:rFonts w:hint="eastAsia" w:ascii="Times New Roman" w:hAnsi="Times New Roman" w:cs="Times New Roman"/>
                      <w:kern w:val="0"/>
                      <w:lang w:eastAsia="zh-CN"/>
                    </w:rPr>
                    <w:t>（</w:t>
                  </w:r>
                  <w:r>
                    <w:rPr>
                      <w:rFonts w:hint="default" w:ascii="Times New Roman" w:hAnsi="Times New Roman" w:cs="Times New Roman"/>
                      <w:kern w:val="0"/>
                    </w:rPr>
                    <w:t>MPN/L</w:t>
                  </w:r>
                  <w:r>
                    <w:rPr>
                      <w:rFonts w:hint="eastAsia" w:ascii="Times New Roman" w:hAnsi="Times New Roman" w:cs="Times New Roman"/>
                      <w:kern w:val="0"/>
                      <w:lang w:eastAsia="zh-CN"/>
                    </w:rPr>
                    <w:t>）</w:t>
                  </w:r>
                </w:p>
              </w:tc>
              <w:tc>
                <w:tcPr>
                  <w:tcW w:w="722" w:type="pct"/>
                  <w:vAlign w:val="center"/>
                </w:tcPr>
                <w:p w14:paraId="37BACF8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6200</w:t>
                  </w:r>
                </w:p>
              </w:tc>
              <w:tc>
                <w:tcPr>
                  <w:tcW w:w="705" w:type="pct"/>
                  <w:vAlign w:val="center"/>
                </w:tcPr>
                <w:p w14:paraId="14B7487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7800</w:t>
                  </w:r>
                </w:p>
              </w:tc>
              <w:tc>
                <w:tcPr>
                  <w:tcW w:w="679" w:type="pct"/>
                  <w:vAlign w:val="center"/>
                </w:tcPr>
                <w:p w14:paraId="566353A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6200</w:t>
                  </w:r>
                </w:p>
              </w:tc>
              <w:tc>
                <w:tcPr>
                  <w:tcW w:w="457" w:type="pct"/>
                  <w:vAlign w:val="center"/>
                </w:tcPr>
                <w:p w14:paraId="3B8CC20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10000</w:t>
                  </w:r>
                </w:p>
              </w:tc>
              <w:tc>
                <w:tcPr>
                  <w:tcW w:w="781" w:type="pct"/>
                  <w:vAlign w:val="center"/>
                </w:tcPr>
                <w:p w14:paraId="21FD2FC9">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576A3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restart"/>
                  <w:vAlign w:val="center"/>
                </w:tcPr>
                <w:p w14:paraId="174190C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bCs/>
                      <w:kern w:val="0"/>
                      <w:szCs w:val="24"/>
                      <w:lang w:val="en-US" w:eastAsia="zh-CN"/>
                    </w:rPr>
                    <w:t>S2</w:t>
                  </w:r>
                  <w:r>
                    <w:rPr>
                      <w:rFonts w:hint="default" w:ascii="Times New Roman" w:hAnsi="Times New Roman" w:cs="Times New Roman"/>
                      <w:bCs/>
                      <w:kern w:val="0"/>
                      <w:szCs w:val="24"/>
                    </w:rPr>
                    <w:t>：</w:t>
                  </w:r>
                  <w:r>
                    <w:rPr>
                      <w:rFonts w:hint="default" w:ascii="Times New Roman" w:hAnsi="Times New Roman" w:cs="Times New Roman"/>
                      <w:color w:val="auto"/>
                      <w:highlight w:val="none"/>
                      <w:lang w:val="en-US" w:eastAsia="zh-CN"/>
                    </w:rPr>
                    <w:t>官家嘴镇污水处理工程</w:t>
                  </w:r>
                  <w:r>
                    <w:rPr>
                      <w:rFonts w:hint="default" w:ascii="Times New Roman" w:hAnsi="Times New Roman" w:cs="Times New Roman"/>
                      <w:color w:val="auto"/>
                      <w:sz w:val="22"/>
                      <w:szCs w:val="20"/>
                      <w:lang w:val="en-US" w:eastAsia="zh-CN"/>
                    </w:rPr>
                    <w:t>入河排污口</w:t>
                  </w:r>
                  <w:r>
                    <w:rPr>
                      <w:rFonts w:hint="default" w:ascii="Times New Roman" w:hAnsi="Times New Roman" w:cs="Times New Roman"/>
                      <w:color w:val="auto"/>
                      <w:lang w:val="en-US" w:eastAsia="zh-CN"/>
                    </w:rPr>
                    <w:t>下游1000m（黄狮江）</w:t>
                  </w:r>
                </w:p>
              </w:tc>
              <w:tc>
                <w:tcPr>
                  <w:tcW w:w="990" w:type="pct"/>
                  <w:vAlign w:val="center"/>
                </w:tcPr>
                <w:p w14:paraId="495CD26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pH值</w:t>
                  </w:r>
                </w:p>
              </w:tc>
              <w:tc>
                <w:tcPr>
                  <w:tcW w:w="722" w:type="pct"/>
                  <w:vAlign w:val="center"/>
                </w:tcPr>
                <w:p w14:paraId="1A379CDE">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7.2</w:t>
                  </w:r>
                </w:p>
              </w:tc>
              <w:tc>
                <w:tcPr>
                  <w:tcW w:w="705" w:type="pct"/>
                  <w:vAlign w:val="center"/>
                </w:tcPr>
                <w:p w14:paraId="6289BC2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7.3</w:t>
                  </w:r>
                </w:p>
              </w:tc>
              <w:tc>
                <w:tcPr>
                  <w:tcW w:w="679" w:type="pct"/>
                  <w:vAlign w:val="center"/>
                </w:tcPr>
                <w:p w14:paraId="5904E7C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7.2</w:t>
                  </w:r>
                </w:p>
              </w:tc>
              <w:tc>
                <w:tcPr>
                  <w:tcW w:w="457" w:type="pct"/>
                  <w:vAlign w:val="center"/>
                </w:tcPr>
                <w:p w14:paraId="2C3CD0E7">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6~9</w:t>
                  </w:r>
                </w:p>
              </w:tc>
              <w:tc>
                <w:tcPr>
                  <w:tcW w:w="781" w:type="pct"/>
                  <w:vAlign w:val="center"/>
                </w:tcPr>
                <w:p w14:paraId="34270150">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1D50A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30AFCD1A">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635C3566">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 xml:space="preserve">COD </w:t>
                  </w:r>
                </w:p>
              </w:tc>
              <w:tc>
                <w:tcPr>
                  <w:tcW w:w="722" w:type="pct"/>
                  <w:vAlign w:val="center"/>
                </w:tcPr>
                <w:p w14:paraId="44AAB65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4L</w:t>
                  </w:r>
                </w:p>
              </w:tc>
              <w:tc>
                <w:tcPr>
                  <w:tcW w:w="705" w:type="pct"/>
                  <w:vAlign w:val="center"/>
                </w:tcPr>
                <w:p w14:paraId="6422DD4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4</w:t>
                  </w:r>
                </w:p>
              </w:tc>
              <w:tc>
                <w:tcPr>
                  <w:tcW w:w="679" w:type="pct"/>
                  <w:vAlign w:val="center"/>
                </w:tcPr>
                <w:p w14:paraId="289008A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4</w:t>
                  </w:r>
                </w:p>
              </w:tc>
              <w:tc>
                <w:tcPr>
                  <w:tcW w:w="457" w:type="pct"/>
                  <w:vAlign w:val="center"/>
                </w:tcPr>
                <w:p w14:paraId="38A87497">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20</w:t>
                  </w:r>
                </w:p>
              </w:tc>
              <w:tc>
                <w:tcPr>
                  <w:tcW w:w="781" w:type="pct"/>
                  <w:vAlign w:val="center"/>
                </w:tcPr>
                <w:p w14:paraId="318D85BF">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65F27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6579B9C3">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09D85DD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BOD</w:t>
                  </w:r>
                  <w:r>
                    <w:rPr>
                      <w:rFonts w:hint="default" w:ascii="Times New Roman" w:hAnsi="Times New Roman" w:cs="Times New Roman"/>
                      <w:kern w:val="0"/>
                      <w:vertAlign w:val="subscript"/>
                    </w:rPr>
                    <w:t>5</w:t>
                  </w:r>
                </w:p>
              </w:tc>
              <w:tc>
                <w:tcPr>
                  <w:tcW w:w="722" w:type="pct"/>
                  <w:vAlign w:val="center"/>
                </w:tcPr>
                <w:p w14:paraId="1FCCBA2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0.7</w:t>
                  </w:r>
                </w:p>
              </w:tc>
              <w:tc>
                <w:tcPr>
                  <w:tcW w:w="705" w:type="pct"/>
                  <w:vAlign w:val="center"/>
                </w:tcPr>
                <w:p w14:paraId="0C0D4E0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 xml:space="preserve">1.0 </w:t>
                  </w:r>
                </w:p>
              </w:tc>
              <w:tc>
                <w:tcPr>
                  <w:tcW w:w="679" w:type="pct"/>
                  <w:vAlign w:val="center"/>
                </w:tcPr>
                <w:p w14:paraId="7576DAF9">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 xml:space="preserve">1.0 </w:t>
                  </w:r>
                </w:p>
              </w:tc>
              <w:tc>
                <w:tcPr>
                  <w:tcW w:w="457" w:type="pct"/>
                  <w:vAlign w:val="center"/>
                </w:tcPr>
                <w:p w14:paraId="6BBB756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4</w:t>
                  </w:r>
                </w:p>
              </w:tc>
              <w:tc>
                <w:tcPr>
                  <w:tcW w:w="781" w:type="pct"/>
                  <w:vAlign w:val="center"/>
                </w:tcPr>
                <w:p w14:paraId="1193961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71571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0709857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135205C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高锰酸盐指数</w:t>
                  </w:r>
                </w:p>
              </w:tc>
              <w:tc>
                <w:tcPr>
                  <w:tcW w:w="722" w:type="pct"/>
                  <w:vAlign w:val="center"/>
                </w:tcPr>
                <w:p w14:paraId="2F9954B3">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1.5 </w:t>
                  </w:r>
                </w:p>
              </w:tc>
              <w:tc>
                <w:tcPr>
                  <w:tcW w:w="705" w:type="pct"/>
                  <w:vAlign w:val="center"/>
                </w:tcPr>
                <w:p w14:paraId="28531B5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1.5 </w:t>
                  </w:r>
                </w:p>
              </w:tc>
              <w:tc>
                <w:tcPr>
                  <w:tcW w:w="679" w:type="pct"/>
                  <w:vAlign w:val="center"/>
                </w:tcPr>
                <w:p w14:paraId="174D8B7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1.6 </w:t>
                  </w:r>
                </w:p>
              </w:tc>
              <w:tc>
                <w:tcPr>
                  <w:tcW w:w="457" w:type="pct"/>
                  <w:vAlign w:val="center"/>
                </w:tcPr>
                <w:p w14:paraId="14EB1A90">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6</w:t>
                  </w:r>
                </w:p>
              </w:tc>
              <w:tc>
                <w:tcPr>
                  <w:tcW w:w="781" w:type="pct"/>
                  <w:vAlign w:val="center"/>
                </w:tcPr>
                <w:p w14:paraId="1A66B5BF">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52DB4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6D3A8D12">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7A42E66B">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氨氮</w:t>
                  </w:r>
                </w:p>
              </w:tc>
              <w:tc>
                <w:tcPr>
                  <w:tcW w:w="722" w:type="pct"/>
                  <w:vAlign w:val="center"/>
                </w:tcPr>
                <w:p w14:paraId="3FA58CE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2"/>
                      <w:szCs w:val="22"/>
                    </w:rPr>
                    <w:t xml:space="preserve">0.177 </w:t>
                  </w:r>
                </w:p>
              </w:tc>
              <w:tc>
                <w:tcPr>
                  <w:tcW w:w="705" w:type="pct"/>
                  <w:vAlign w:val="center"/>
                </w:tcPr>
                <w:p w14:paraId="4D1AE7D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2"/>
                      <w:szCs w:val="22"/>
                    </w:rPr>
                    <w:t xml:space="preserve">0.214 </w:t>
                  </w:r>
                </w:p>
              </w:tc>
              <w:tc>
                <w:tcPr>
                  <w:tcW w:w="679" w:type="pct"/>
                  <w:vAlign w:val="center"/>
                </w:tcPr>
                <w:p w14:paraId="1C3DC56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2"/>
                      <w:szCs w:val="22"/>
                    </w:rPr>
                    <w:t xml:space="preserve">0.177 </w:t>
                  </w:r>
                </w:p>
              </w:tc>
              <w:tc>
                <w:tcPr>
                  <w:tcW w:w="457" w:type="pct"/>
                  <w:vAlign w:val="center"/>
                </w:tcPr>
                <w:p w14:paraId="08C9E7A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1</w:t>
                  </w:r>
                </w:p>
              </w:tc>
              <w:tc>
                <w:tcPr>
                  <w:tcW w:w="781" w:type="pct"/>
                  <w:vAlign w:val="center"/>
                </w:tcPr>
                <w:p w14:paraId="44C84A6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50DD9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13FB0FA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2195049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TP</w:t>
                  </w:r>
                </w:p>
              </w:tc>
              <w:tc>
                <w:tcPr>
                  <w:tcW w:w="722" w:type="pct"/>
                  <w:vAlign w:val="center"/>
                </w:tcPr>
                <w:p w14:paraId="70E2839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0.05 </w:t>
                  </w:r>
                </w:p>
              </w:tc>
              <w:tc>
                <w:tcPr>
                  <w:tcW w:w="705" w:type="pct"/>
                  <w:vAlign w:val="center"/>
                </w:tcPr>
                <w:p w14:paraId="3CDEBC47">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0.10 </w:t>
                  </w:r>
                </w:p>
              </w:tc>
              <w:tc>
                <w:tcPr>
                  <w:tcW w:w="679" w:type="pct"/>
                  <w:vAlign w:val="center"/>
                </w:tcPr>
                <w:p w14:paraId="47E9BED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sz w:val="20"/>
                    </w:rPr>
                    <w:t xml:space="preserve">0.04 </w:t>
                  </w:r>
                </w:p>
              </w:tc>
              <w:tc>
                <w:tcPr>
                  <w:tcW w:w="457" w:type="pct"/>
                  <w:vAlign w:val="center"/>
                </w:tcPr>
                <w:p w14:paraId="6D4B302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0.2</w:t>
                  </w:r>
                </w:p>
              </w:tc>
              <w:tc>
                <w:tcPr>
                  <w:tcW w:w="781" w:type="pct"/>
                  <w:vAlign w:val="center"/>
                </w:tcPr>
                <w:p w14:paraId="7882E6CF">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7E46B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131996C0">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57B8F02E">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石油类</w:t>
                  </w:r>
                </w:p>
              </w:tc>
              <w:tc>
                <w:tcPr>
                  <w:tcW w:w="722" w:type="pct"/>
                  <w:vAlign w:val="center"/>
                </w:tcPr>
                <w:p w14:paraId="5CFF99B0">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0.01L</w:t>
                  </w:r>
                </w:p>
              </w:tc>
              <w:tc>
                <w:tcPr>
                  <w:tcW w:w="705" w:type="pct"/>
                  <w:vAlign w:val="center"/>
                </w:tcPr>
                <w:p w14:paraId="54B7ECBF">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0.01L</w:t>
                  </w:r>
                </w:p>
              </w:tc>
              <w:tc>
                <w:tcPr>
                  <w:tcW w:w="679" w:type="pct"/>
                  <w:vAlign w:val="center"/>
                </w:tcPr>
                <w:p w14:paraId="2F02463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0.01L</w:t>
                  </w:r>
                </w:p>
              </w:tc>
              <w:tc>
                <w:tcPr>
                  <w:tcW w:w="457" w:type="pct"/>
                  <w:vAlign w:val="center"/>
                </w:tcPr>
                <w:p w14:paraId="054D466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0.05</w:t>
                  </w:r>
                </w:p>
              </w:tc>
              <w:tc>
                <w:tcPr>
                  <w:tcW w:w="781" w:type="pct"/>
                  <w:vAlign w:val="center"/>
                </w:tcPr>
                <w:p w14:paraId="00920E99">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228C1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0AC76293">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1E1D509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 xml:space="preserve">SS </w:t>
                  </w:r>
                </w:p>
              </w:tc>
              <w:tc>
                <w:tcPr>
                  <w:tcW w:w="722" w:type="pct"/>
                  <w:vAlign w:val="center"/>
                </w:tcPr>
                <w:p w14:paraId="4DB7BAC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8</w:t>
                  </w:r>
                </w:p>
              </w:tc>
              <w:tc>
                <w:tcPr>
                  <w:tcW w:w="705" w:type="pct"/>
                  <w:vAlign w:val="center"/>
                </w:tcPr>
                <w:p w14:paraId="1C84D07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9</w:t>
                  </w:r>
                </w:p>
              </w:tc>
              <w:tc>
                <w:tcPr>
                  <w:tcW w:w="679" w:type="pct"/>
                  <w:vAlign w:val="center"/>
                </w:tcPr>
                <w:p w14:paraId="2E3D2D5C">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11</w:t>
                  </w:r>
                </w:p>
              </w:tc>
              <w:tc>
                <w:tcPr>
                  <w:tcW w:w="457" w:type="pct"/>
                  <w:vAlign w:val="center"/>
                </w:tcPr>
                <w:p w14:paraId="7C01DFA3">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w:t>
                  </w:r>
                </w:p>
              </w:tc>
              <w:tc>
                <w:tcPr>
                  <w:tcW w:w="781" w:type="pct"/>
                  <w:vAlign w:val="center"/>
                </w:tcPr>
                <w:p w14:paraId="6EED5969">
                  <w:pPr>
                    <w:pStyle w:val="105"/>
                    <w:keepNext w:val="0"/>
                    <w:keepLines w:val="0"/>
                    <w:suppressLineNumbers w:val="0"/>
                    <w:spacing w:before="0" w:beforeAutospacing="0" w:after="0" w:afterAutospacing="0"/>
                    <w:ind w:left="0" w:right="0"/>
                    <w:rPr>
                      <w:rFonts w:hint="eastAsia" w:ascii="Times New Roman" w:hAnsi="Times New Roman" w:eastAsia="宋体" w:cs="Times New Roman"/>
                      <w:kern w:val="0"/>
                      <w:lang w:val="en-US" w:eastAsia="zh-CN"/>
                    </w:rPr>
                  </w:pPr>
                  <w:r>
                    <w:rPr>
                      <w:rFonts w:hint="eastAsia" w:ascii="Times New Roman" w:hAnsi="Times New Roman" w:cs="Times New Roman"/>
                      <w:kern w:val="0"/>
                      <w:lang w:val="en-US" w:eastAsia="zh-CN"/>
                    </w:rPr>
                    <w:t>/</w:t>
                  </w:r>
                </w:p>
              </w:tc>
            </w:tr>
            <w:tr w14:paraId="6A9E5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pct"/>
                  <w:vMerge w:val="continue"/>
                  <w:vAlign w:val="center"/>
                </w:tcPr>
                <w:p w14:paraId="5048D4EE">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990" w:type="pct"/>
                  <w:vAlign w:val="center"/>
                </w:tcPr>
                <w:p w14:paraId="151D9DF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粪大肠菌群</w:t>
                  </w:r>
                  <w:r>
                    <w:rPr>
                      <w:rFonts w:hint="eastAsia" w:ascii="Times New Roman" w:hAnsi="Times New Roman" w:cs="Times New Roman"/>
                      <w:kern w:val="0"/>
                      <w:lang w:eastAsia="zh-CN"/>
                    </w:rPr>
                    <w:t>（</w:t>
                  </w:r>
                  <w:r>
                    <w:rPr>
                      <w:rFonts w:hint="default" w:ascii="Times New Roman" w:hAnsi="Times New Roman" w:cs="Times New Roman"/>
                      <w:kern w:val="0"/>
                    </w:rPr>
                    <w:t>MPN/L</w:t>
                  </w:r>
                  <w:r>
                    <w:rPr>
                      <w:rFonts w:hint="eastAsia" w:ascii="Times New Roman" w:hAnsi="Times New Roman" w:cs="Times New Roman"/>
                      <w:kern w:val="0"/>
                      <w:lang w:eastAsia="zh-CN"/>
                    </w:rPr>
                    <w:t>）</w:t>
                  </w:r>
                </w:p>
              </w:tc>
              <w:tc>
                <w:tcPr>
                  <w:tcW w:w="722" w:type="pct"/>
                  <w:vAlign w:val="center"/>
                </w:tcPr>
                <w:p w14:paraId="6795F4BB">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1100</w:t>
                  </w:r>
                </w:p>
              </w:tc>
              <w:tc>
                <w:tcPr>
                  <w:tcW w:w="705" w:type="pct"/>
                  <w:vAlign w:val="center"/>
                </w:tcPr>
                <w:p w14:paraId="7EDA97B3">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800</w:t>
                  </w:r>
                </w:p>
              </w:tc>
              <w:tc>
                <w:tcPr>
                  <w:tcW w:w="679" w:type="pct"/>
                  <w:vAlign w:val="center"/>
                </w:tcPr>
                <w:p w14:paraId="22FAB23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eastAsia="等线" w:cs="Times New Roman"/>
                      <w:kern w:val="0"/>
                    </w:rPr>
                    <w:t>2500</w:t>
                  </w:r>
                </w:p>
              </w:tc>
              <w:tc>
                <w:tcPr>
                  <w:tcW w:w="457" w:type="pct"/>
                  <w:vAlign w:val="center"/>
                </w:tcPr>
                <w:p w14:paraId="0693384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10000</w:t>
                  </w:r>
                </w:p>
              </w:tc>
              <w:tc>
                <w:tcPr>
                  <w:tcW w:w="781" w:type="pct"/>
                  <w:vAlign w:val="center"/>
                </w:tcPr>
                <w:p w14:paraId="58E1D467">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bl>
          <w:p w14:paraId="637BF858">
            <w:pPr>
              <w:keepNext w:val="0"/>
              <w:keepLines w:val="0"/>
              <w:suppressLineNumbers w:val="0"/>
              <w:spacing w:before="0" w:beforeAutospacing="0" w:after="0" w:afterAutospacing="0" w:line="240" w:lineRule="auto"/>
              <w:ind w:left="0" w:right="0"/>
              <w:rPr>
                <w:rFonts w:hint="default" w:cs="Times New Roman"/>
                <w:color w:val="auto"/>
                <w:highlight w:val="yellow"/>
              </w:rPr>
            </w:pPr>
          </w:p>
          <w:p w14:paraId="70C97604">
            <w:pPr>
              <w:pStyle w:val="103"/>
              <w:keepNext w:val="0"/>
              <w:keepLines w:val="0"/>
              <w:suppressLineNumbers w:val="0"/>
              <w:spacing w:before="0" w:beforeAutospacing="0" w:after="0" w:afterAutospacing="0"/>
              <w:ind w:left="0" w:right="0"/>
              <w:rPr>
                <w:rFonts w:hint="default" w:eastAsia="宋体"/>
                <w:lang w:val="en-US" w:eastAsia="zh-CN"/>
              </w:rPr>
            </w:pPr>
            <w:r>
              <w:rPr>
                <w:rFonts w:hint="eastAsia"/>
              </w:rPr>
              <w:t>表</w:t>
            </w:r>
            <w:r>
              <w:rPr>
                <w:rFonts w:hint="eastAsia"/>
                <w:lang w:val="en-US" w:eastAsia="zh-CN"/>
              </w:rPr>
              <w:t>3.1-5（2）</w:t>
            </w:r>
            <w:r>
              <w:rPr>
                <w:rFonts w:hint="default"/>
              </w:rPr>
              <w:t xml:space="preserve"> </w:t>
            </w:r>
            <w:r>
              <w:rPr>
                <w:rFonts w:hint="eastAsia"/>
                <w:lang w:val="en-US" w:eastAsia="zh-CN"/>
              </w:rPr>
              <w:t>补充的</w:t>
            </w:r>
            <w:r>
              <w:rPr>
                <w:rFonts w:hint="default"/>
              </w:rPr>
              <w:t>地表水现状监测结果</w:t>
            </w:r>
            <w:r>
              <w:rPr>
                <w:rFonts w:hint="eastAsia"/>
                <w:lang w:val="en-US" w:eastAsia="zh-CN"/>
              </w:rPr>
              <w:t xml:space="preserve">   单位：mg/L</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37"/>
              <w:gridCol w:w="994"/>
              <w:gridCol w:w="979"/>
              <w:gridCol w:w="1129"/>
              <w:gridCol w:w="1070"/>
              <w:gridCol w:w="758"/>
              <w:gridCol w:w="764"/>
            </w:tblGrid>
            <w:tr w14:paraId="069A9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1498" w:type="pct"/>
                  <w:vMerge w:val="restart"/>
                  <w:vAlign w:val="center"/>
                </w:tcPr>
                <w:p w14:paraId="4A958969">
                  <w:pPr>
                    <w:pStyle w:val="105"/>
                    <w:keepNext w:val="0"/>
                    <w:keepLines w:val="0"/>
                    <w:suppressLineNumbers w:val="0"/>
                    <w:spacing w:before="0" w:beforeAutospacing="0" w:after="0" w:afterAutospacing="0"/>
                    <w:ind w:left="0" w:right="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监测点位</w:t>
                  </w:r>
                </w:p>
              </w:tc>
              <w:tc>
                <w:tcPr>
                  <w:tcW w:w="611" w:type="pct"/>
                  <w:vMerge w:val="restart"/>
                  <w:vAlign w:val="center"/>
                </w:tcPr>
                <w:p w14:paraId="01EDDA48">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监测因子</w:t>
                  </w:r>
                </w:p>
              </w:tc>
              <w:tc>
                <w:tcPr>
                  <w:tcW w:w="1954" w:type="pct"/>
                  <w:gridSpan w:val="3"/>
                  <w:vAlign w:val="center"/>
                </w:tcPr>
                <w:p w14:paraId="18A644D2">
                  <w:pPr>
                    <w:pStyle w:val="105"/>
                    <w:keepNext w:val="0"/>
                    <w:keepLines w:val="0"/>
                    <w:suppressLineNumbers w:val="0"/>
                    <w:spacing w:before="0" w:beforeAutospacing="0" w:after="0" w:afterAutospacing="0"/>
                    <w:ind w:left="0" w:right="0"/>
                    <w:rPr>
                      <w:rFonts w:hint="default" w:ascii="Times New Roman" w:hAnsi="Times New Roman" w:eastAsia="等线" w:cs="Times New Roman"/>
                      <w:kern w:val="0"/>
                    </w:rPr>
                  </w:pPr>
                  <w:r>
                    <w:rPr>
                      <w:rFonts w:hint="default" w:ascii="Times New Roman" w:hAnsi="Times New Roman" w:cs="Times New Roman"/>
                      <w:kern w:val="0"/>
                    </w:rPr>
                    <w:t>监测结果</w:t>
                  </w:r>
                </w:p>
              </w:tc>
              <w:tc>
                <w:tcPr>
                  <w:tcW w:w="466" w:type="pct"/>
                  <w:vMerge w:val="restart"/>
                  <w:vAlign w:val="center"/>
                </w:tcPr>
                <w:p w14:paraId="2DABBE28">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标准限值</w:t>
                  </w:r>
                </w:p>
              </w:tc>
              <w:tc>
                <w:tcPr>
                  <w:tcW w:w="469" w:type="pct"/>
                  <w:vMerge w:val="restart"/>
                  <w:vAlign w:val="center"/>
                </w:tcPr>
                <w:p w14:paraId="7E98F54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达标情况</w:t>
                  </w:r>
                </w:p>
              </w:tc>
            </w:tr>
            <w:tr w14:paraId="366A2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1498" w:type="pct"/>
                  <w:vMerge w:val="continue"/>
                  <w:vAlign w:val="center"/>
                </w:tcPr>
                <w:p w14:paraId="0B490490">
                  <w:pPr>
                    <w:pStyle w:val="105"/>
                    <w:keepNext w:val="0"/>
                    <w:keepLines w:val="0"/>
                    <w:suppressLineNumbers w:val="0"/>
                    <w:spacing w:before="0" w:beforeAutospacing="0" w:after="0" w:afterAutospacing="0"/>
                    <w:ind w:left="0" w:right="0"/>
                    <w:rPr>
                      <w:rFonts w:hint="default"/>
                    </w:rPr>
                  </w:pPr>
                </w:p>
              </w:tc>
              <w:tc>
                <w:tcPr>
                  <w:tcW w:w="611" w:type="pct"/>
                  <w:vMerge w:val="continue"/>
                  <w:vAlign w:val="center"/>
                </w:tcPr>
                <w:p w14:paraId="6283246B">
                  <w:pPr>
                    <w:pStyle w:val="105"/>
                    <w:keepNext w:val="0"/>
                    <w:keepLines w:val="0"/>
                    <w:suppressLineNumbers w:val="0"/>
                    <w:spacing w:before="0" w:beforeAutospacing="0" w:after="0" w:afterAutospacing="0"/>
                    <w:ind w:left="0" w:right="0"/>
                    <w:rPr>
                      <w:rFonts w:hint="default"/>
                    </w:rPr>
                  </w:pPr>
                </w:p>
              </w:tc>
              <w:tc>
                <w:tcPr>
                  <w:tcW w:w="602" w:type="pct"/>
                  <w:vAlign w:val="center"/>
                </w:tcPr>
                <w:p w14:paraId="66DBF779">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2025.7.9</w:t>
                  </w:r>
                </w:p>
              </w:tc>
              <w:tc>
                <w:tcPr>
                  <w:tcW w:w="694" w:type="pct"/>
                  <w:vAlign w:val="center"/>
                </w:tcPr>
                <w:p w14:paraId="145A85BA">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2025.7.10</w:t>
                  </w:r>
                </w:p>
              </w:tc>
              <w:tc>
                <w:tcPr>
                  <w:tcW w:w="657" w:type="pct"/>
                  <w:vAlign w:val="center"/>
                </w:tcPr>
                <w:p w14:paraId="364CBEDF">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2025.7.11</w:t>
                  </w:r>
                </w:p>
              </w:tc>
              <w:tc>
                <w:tcPr>
                  <w:tcW w:w="466" w:type="pct"/>
                  <w:vMerge w:val="continue"/>
                  <w:vAlign w:val="center"/>
                </w:tcPr>
                <w:p w14:paraId="0E320643">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469" w:type="pct"/>
                  <w:vMerge w:val="continue"/>
                  <w:vAlign w:val="center"/>
                </w:tcPr>
                <w:p w14:paraId="2FEF674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r>
            <w:tr w14:paraId="1D9B7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1498" w:type="pct"/>
                  <w:vMerge w:val="restart"/>
                  <w:vAlign w:val="center"/>
                </w:tcPr>
                <w:p w14:paraId="138E3E6D">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bCs/>
                      <w:kern w:val="0"/>
                      <w:szCs w:val="24"/>
                      <w:lang w:val="en-US" w:eastAsia="zh-CN"/>
                    </w:rPr>
                    <w:t>S1</w:t>
                  </w:r>
                  <w:r>
                    <w:rPr>
                      <w:rFonts w:hint="default" w:ascii="Times New Roman" w:hAnsi="Times New Roman" w:cs="Times New Roman"/>
                      <w:color w:val="auto"/>
                      <w:highlight w:val="none"/>
                      <w:lang w:val="en-US" w:eastAsia="zh-CN"/>
                    </w:rPr>
                    <w:t>官家嘴镇污水处理工程</w:t>
                  </w:r>
                  <w:r>
                    <w:rPr>
                      <w:rFonts w:hint="default" w:ascii="Times New Roman" w:hAnsi="Times New Roman" w:cs="Times New Roman"/>
                      <w:color w:val="auto"/>
                      <w:sz w:val="22"/>
                      <w:szCs w:val="20"/>
                      <w:lang w:val="en-US" w:eastAsia="zh-CN"/>
                    </w:rPr>
                    <w:t>入河排污口上游500m</w:t>
                  </w:r>
                  <w:r>
                    <w:rPr>
                      <w:rFonts w:hint="default" w:ascii="Times New Roman" w:hAnsi="Times New Roman" w:cs="Times New Roman"/>
                      <w:color w:val="auto"/>
                      <w:lang w:val="en-US" w:eastAsia="zh-CN"/>
                    </w:rPr>
                    <w:t>（黄狮江）</w:t>
                  </w:r>
                </w:p>
              </w:tc>
              <w:tc>
                <w:tcPr>
                  <w:tcW w:w="611" w:type="pct"/>
                  <w:vAlign w:val="center"/>
                </w:tcPr>
                <w:p w14:paraId="4A6D7A79">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硫酸盐</w:t>
                  </w:r>
                  <w:r>
                    <w:rPr>
                      <w:rFonts w:hint="eastAsia" w:cs="Times New Roman"/>
                      <w:kern w:val="0"/>
                      <w:lang w:val="en-US" w:eastAsia="zh-CN"/>
                    </w:rPr>
                    <w:t>*</w:t>
                  </w:r>
                </w:p>
              </w:tc>
              <w:tc>
                <w:tcPr>
                  <w:tcW w:w="602" w:type="pct"/>
                  <w:vAlign w:val="center"/>
                </w:tcPr>
                <w:p w14:paraId="1F247ACC">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50.8</w:t>
                  </w:r>
                </w:p>
              </w:tc>
              <w:tc>
                <w:tcPr>
                  <w:tcW w:w="694" w:type="pct"/>
                  <w:vAlign w:val="center"/>
                </w:tcPr>
                <w:p w14:paraId="62EE3BE2">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50.1</w:t>
                  </w:r>
                </w:p>
              </w:tc>
              <w:tc>
                <w:tcPr>
                  <w:tcW w:w="657" w:type="pct"/>
                  <w:vAlign w:val="center"/>
                </w:tcPr>
                <w:p w14:paraId="138974F8">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48.8</w:t>
                  </w:r>
                </w:p>
              </w:tc>
              <w:tc>
                <w:tcPr>
                  <w:tcW w:w="466" w:type="pct"/>
                  <w:vAlign w:val="center"/>
                </w:tcPr>
                <w:p w14:paraId="4ABED90D">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ascii="Times New Roman" w:hAnsi="Times New Roman" w:cs="Times New Roman"/>
                      <w:kern w:val="0"/>
                      <w:lang w:val="en-US" w:eastAsia="zh-CN"/>
                    </w:rPr>
                    <w:t>250</w:t>
                  </w:r>
                </w:p>
              </w:tc>
              <w:tc>
                <w:tcPr>
                  <w:tcW w:w="469" w:type="pct"/>
                  <w:vAlign w:val="center"/>
                </w:tcPr>
                <w:p w14:paraId="4B5981D0">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08BF5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8" w:type="pct"/>
                  <w:vMerge w:val="continue"/>
                  <w:vAlign w:val="center"/>
                </w:tcPr>
                <w:p w14:paraId="250AE551">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611" w:type="pct"/>
                  <w:vAlign w:val="center"/>
                </w:tcPr>
                <w:p w14:paraId="26D2FE75">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eastAsia" w:ascii="Times New Roman" w:hAnsi="Times New Roman" w:cs="Times New Roman"/>
                      <w:kern w:val="0"/>
                      <w:lang w:val="en-US" w:eastAsia="zh-CN"/>
                    </w:rPr>
                    <w:t>全盐量</w:t>
                  </w:r>
                  <w:r>
                    <w:rPr>
                      <w:rFonts w:hint="default" w:ascii="Times New Roman" w:hAnsi="Times New Roman" w:cs="Times New Roman"/>
                      <w:kern w:val="0"/>
                    </w:rPr>
                    <w:t xml:space="preserve"> </w:t>
                  </w:r>
                </w:p>
              </w:tc>
              <w:tc>
                <w:tcPr>
                  <w:tcW w:w="602" w:type="pct"/>
                  <w:vAlign w:val="center"/>
                </w:tcPr>
                <w:p w14:paraId="3EEE2208">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274</w:t>
                  </w:r>
                </w:p>
              </w:tc>
              <w:tc>
                <w:tcPr>
                  <w:tcW w:w="694" w:type="pct"/>
                  <w:vAlign w:val="center"/>
                </w:tcPr>
                <w:p w14:paraId="71CAE8C1">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262</w:t>
                  </w:r>
                </w:p>
              </w:tc>
              <w:tc>
                <w:tcPr>
                  <w:tcW w:w="657" w:type="pct"/>
                  <w:vAlign w:val="center"/>
                </w:tcPr>
                <w:p w14:paraId="4A1487F4">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279</w:t>
                  </w:r>
                </w:p>
              </w:tc>
              <w:tc>
                <w:tcPr>
                  <w:tcW w:w="466" w:type="pct"/>
                  <w:vAlign w:val="center"/>
                </w:tcPr>
                <w:p w14:paraId="57947B22">
                  <w:pPr>
                    <w:pStyle w:val="105"/>
                    <w:keepNext w:val="0"/>
                    <w:keepLines w:val="0"/>
                    <w:suppressLineNumbers w:val="0"/>
                    <w:spacing w:before="0" w:beforeAutospacing="0" w:after="0" w:afterAutospacing="0"/>
                    <w:ind w:left="0" w:right="0"/>
                    <w:rPr>
                      <w:rFonts w:hint="eastAsia" w:ascii="Times New Roman" w:hAnsi="Times New Roman" w:eastAsia="宋体" w:cs="Times New Roman"/>
                      <w:kern w:val="0"/>
                      <w:lang w:val="en-US" w:eastAsia="zh-CN"/>
                    </w:rPr>
                  </w:pPr>
                  <w:r>
                    <w:rPr>
                      <w:rFonts w:hint="eastAsia" w:ascii="Times New Roman" w:hAnsi="Times New Roman" w:cs="Times New Roman"/>
                      <w:kern w:val="0"/>
                      <w:lang w:val="en-US" w:eastAsia="zh-CN"/>
                    </w:rPr>
                    <w:t>/</w:t>
                  </w:r>
                </w:p>
              </w:tc>
              <w:tc>
                <w:tcPr>
                  <w:tcW w:w="469" w:type="pct"/>
                  <w:vAlign w:val="center"/>
                </w:tcPr>
                <w:p w14:paraId="6067EDE4">
                  <w:pPr>
                    <w:pStyle w:val="105"/>
                    <w:keepNext w:val="0"/>
                    <w:keepLines w:val="0"/>
                    <w:suppressLineNumbers w:val="0"/>
                    <w:spacing w:before="0" w:beforeAutospacing="0" w:after="0" w:afterAutospacing="0"/>
                    <w:ind w:left="0" w:right="0"/>
                    <w:rPr>
                      <w:rFonts w:hint="eastAsia" w:ascii="Times New Roman" w:hAnsi="Times New Roman" w:eastAsia="宋体" w:cs="Times New Roman"/>
                      <w:kern w:val="0"/>
                      <w:lang w:eastAsia="zh-CN"/>
                    </w:rPr>
                  </w:pPr>
                  <w:r>
                    <w:rPr>
                      <w:rFonts w:hint="eastAsia" w:ascii="Times New Roman" w:hAnsi="Times New Roman" w:cs="Times New Roman"/>
                      <w:kern w:val="0"/>
                      <w:lang w:val="en-US" w:eastAsia="zh-CN"/>
                    </w:rPr>
                    <w:t>/</w:t>
                  </w:r>
                </w:p>
              </w:tc>
            </w:tr>
            <w:tr w14:paraId="7D64F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1498" w:type="pct"/>
                  <w:vMerge w:val="restart"/>
                  <w:vAlign w:val="center"/>
                </w:tcPr>
                <w:p w14:paraId="2C15FD0E">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bCs/>
                      <w:kern w:val="0"/>
                      <w:szCs w:val="24"/>
                      <w:lang w:val="en-US" w:eastAsia="zh-CN"/>
                    </w:rPr>
                    <w:t>S2</w:t>
                  </w:r>
                  <w:r>
                    <w:rPr>
                      <w:rFonts w:hint="default" w:ascii="Times New Roman" w:hAnsi="Times New Roman" w:cs="Times New Roman"/>
                      <w:color w:val="auto"/>
                      <w:highlight w:val="none"/>
                      <w:lang w:val="en-US" w:eastAsia="zh-CN"/>
                    </w:rPr>
                    <w:t>官家嘴镇污水处理工程</w:t>
                  </w:r>
                  <w:r>
                    <w:rPr>
                      <w:rFonts w:hint="default" w:ascii="Times New Roman" w:hAnsi="Times New Roman" w:cs="Times New Roman"/>
                      <w:color w:val="auto"/>
                      <w:sz w:val="22"/>
                      <w:szCs w:val="20"/>
                      <w:lang w:val="en-US" w:eastAsia="zh-CN"/>
                    </w:rPr>
                    <w:t>入河排污口</w:t>
                  </w:r>
                  <w:r>
                    <w:rPr>
                      <w:rFonts w:hint="default" w:ascii="Times New Roman" w:hAnsi="Times New Roman" w:cs="Times New Roman"/>
                      <w:color w:val="auto"/>
                      <w:lang w:val="en-US" w:eastAsia="zh-CN"/>
                    </w:rPr>
                    <w:t>下游1000m（黄狮江）</w:t>
                  </w:r>
                </w:p>
              </w:tc>
              <w:tc>
                <w:tcPr>
                  <w:tcW w:w="611" w:type="pct"/>
                  <w:vAlign w:val="center"/>
                </w:tcPr>
                <w:p w14:paraId="6207FD14">
                  <w:pPr>
                    <w:pStyle w:val="105"/>
                    <w:keepNext w:val="0"/>
                    <w:keepLines w:val="0"/>
                    <w:suppressLineNumbers w:val="0"/>
                    <w:spacing w:before="0" w:beforeAutospacing="0" w:after="0" w:afterAutospacing="0"/>
                    <w:ind w:left="0" w:right="0" w:firstLine="0" w:firstLineChars="0"/>
                    <w:rPr>
                      <w:rFonts w:hint="default" w:ascii="Times New Roman" w:hAnsi="Times New Roman" w:cs="Times New Roman"/>
                      <w:kern w:val="0"/>
                    </w:rPr>
                  </w:pPr>
                  <w:r>
                    <w:rPr>
                      <w:rFonts w:hint="eastAsia" w:ascii="Times New Roman" w:hAnsi="Times New Roman" w:cs="Times New Roman"/>
                      <w:kern w:val="0"/>
                      <w:lang w:val="en-US" w:eastAsia="zh-CN"/>
                    </w:rPr>
                    <w:t>硫酸盐</w:t>
                  </w:r>
                  <w:r>
                    <w:rPr>
                      <w:rFonts w:hint="eastAsia" w:cs="Times New Roman"/>
                      <w:kern w:val="0"/>
                      <w:lang w:val="en-US" w:eastAsia="zh-CN"/>
                    </w:rPr>
                    <w:t>*</w:t>
                  </w:r>
                </w:p>
              </w:tc>
              <w:tc>
                <w:tcPr>
                  <w:tcW w:w="602" w:type="pct"/>
                  <w:vAlign w:val="center"/>
                </w:tcPr>
                <w:p w14:paraId="547AC15C">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60</w:t>
                  </w:r>
                </w:p>
              </w:tc>
              <w:tc>
                <w:tcPr>
                  <w:tcW w:w="694" w:type="pct"/>
                  <w:vAlign w:val="center"/>
                </w:tcPr>
                <w:p w14:paraId="1AC0B45E">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74.4</w:t>
                  </w:r>
                </w:p>
              </w:tc>
              <w:tc>
                <w:tcPr>
                  <w:tcW w:w="657" w:type="pct"/>
                  <w:vAlign w:val="center"/>
                </w:tcPr>
                <w:p w14:paraId="293AAC33">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50.7</w:t>
                  </w:r>
                </w:p>
              </w:tc>
              <w:tc>
                <w:tcPr>
                  <w:tcW w:w="466" w:type="pct"/>
                  <w:vAlign w:val="center"/>
                </w:tcPr>
                <w:p w14:paraId="232E2B23">
                  <w:pPr>
                    <w:pStyle w:val="105"/>
                    <w:keepNext w:val="0"/>
                    <w:keepLines w:val="0"/>
                    <w:suppressLineNumbers w:val="0"/>
                    <w:spacing w:before="0" w:beforeAutospacing="0" w:after="0" w:afterAutospacing="0"/>
                    <w:ind w:left="0" w:right="0" w:firstLine="0" w:firstLineChars="0"/>
                    <w:rPr>
                      <w:rFonts w:hint="default" w:ascii="Times New Roman" w:hAnsi="Times New Roman" w:cs="Times New Roman"/>
                      <w:kern w:val="0"/>
                    </w:rPr>
                  </w:pPr>
                  <w:r>
                    <w:rPr>
                      <w:rFonts w:hint="eastAsia" w:ascii="Times New Roman" w:hAnsi="Times New Roman" w:cs="Times New Roman"/>
                      <w:kern w:val="0"/>
                      <w:lang w:val="en-US" w:eastAsia="zh-CN"/>
                    </w:rPr>
                    <w:t>250</w:t>
                  </w:r>
                </w:p>
              </w:tc>
              <w:tc>
                <w:tcPr>
                  <w:tcW w:w="469" w:type="pct"/>
                  <w:vAlign w:val="center"/>
                </w:tcPr>
                <w:p w14:paraId="48A1ACA9">
                  <w:pPr>
                    <w:pStyle w:val="105"/>
                    <w:keepNext w:val="0"/>
                    <w:keepLines w:val="0"/>
                    <w:suppressLineNumbers w:val="0"/>
                    <w:spacing w:before="0" w:beforeAutospacing="0" w:after="0" w:afterAutospacing="0"/>
                    <w:ind w:left="0" w:right="0"/>
                    <w:rPr>
                      <w:rFonts w:hint="default" w:ascii="Times New Roman" w:hAnsi="Times New Roman" w:cs="Times New Roman"/>
                      <w:kern w:val="0"/>
                    </w:rPr>
                  </w:pPr>
                  <w:r>
                    <w:rPr>
                      <w:rFonts w:hint="default" w:ascii="Times New Roman" w:hAnsi="Times New Roman" w:cs="Times New Roman"/>
                      <w:kern w:val="0"/>
                    </w:rPr>
                    <w:t>达标</w:t>
                  </w:r>
                </w:p>
              </w:tc>
            </w:tr>
            <w:tr w14:paraId="5BA1D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8" w:type="pct"/>
                  <w:vMerge w:val="continue"/>
                  <w:vAlign w:val="center"/>
                </w:tcPr>
                <w:p w14:paraId="04BD69D4">
                  <w:pPr>
                    <w:pStyle w:val="105"/>
                    <w:keepNext w:val="0"/>
                    <w:keepLines w:val="0"/>
                    <w:suppressLineNumbers w:val="0"/>
                    <w:spacing w:before="0" w:beforeAutospacing="0" w:after="0" w:afterAutospacing="0"/>
                    <w:ind w:left="0" w:right="0"/>
                    <w:rPr>
                      <w:rFonts w:hint="default" w:ascii="Times New Roman" w:hAnsi="Times New Roman" w:cs="Times New Roman"/>
                      <w:kern w:val="0"/>
                    </w:rPr>
                  </w:pPr>
                </w:p>
              </w:tc>
              <w:tc>
                <w:tcPr>
                  <w:tcW w:w="611" w:type="pct"/>
                  <w:vAlign w:val="center"/>
                </w:tcPr>
                <w:p w14:paraId="2D60780B">
                  <w:pPr>
                    <w:pStyle w:val="105"/>
                    <w:keepNext w:val="0"/>
                    <w:keepLines w:val="0"/>
                    <w:suppressLineNumbers w:val="0"/>
                    <w:spacing w:before="0" w:beforeAutospacing="0" w:after="0" w:afterAutospacing="0"/>
                    <w:ind w:left="0" w:right="0" w:firstLine="0" w:firstLineChars="0"/>
                    <w:rPr>
                      <w:rFonts w:hint="default" w:ascii="Times New Roman" w:hAnsi="Times New Roman" w:cs="Times New Roman"/>
                      <w:kern w:val="0"/>
                    </w:rPr>
                  </w:pPr>
                  <w:r>
                    <w:rPr>
                      <w:rFonts w:hint="eastAsia" w:ascii="Times New Roman" w:hAnsi="Times New Roman" w:cs="Times New Roman"/>
                      <w:kern w:val="0"/>
                      <w:lang w:val="en-US" w:eastAsia="zh-CN"/>
                    </w:rPr>
                    <w:t>全盐量</w:t>
                  </w:r>
                  <w:r>
                    <w:rPr>
                      <w:rFonts w:hint="default" w:ascii="Times New Roman" w:hAnsi="Times New Roman" w:cs="Times New Roman"/>
                      <w:kern w:val="0"/>
                    </w:rPr>
                    <w:t xml:space="preserve"> </w:t>
                  </w:r>
                </w:p>
              </w:tc>
              <w:tc>
                <w:tcPr>
                  <w:tcW w:w="602" w:type="pct"/>
                  <w:vAlign w:val="center"/>
                </w:tcPr>
                <w:p w14:paraId="42DEE48D">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299</w:t>
                  </w:r>
                </w:p>
              </w:tc>
              <w:tc>
                <w:tcPr>
                  <w:tcW w:w="694" w:type="pct"/>
                  <w:vAlign w:val="center"/>
                </w:tcPr>
                <w:p w14:paraId="69A3235B">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280</w:t>
                  </w:r>
                </w:p>
              </w:tc>
              <w:tc>
                <w:tcPr>
                  <w:tcW w:w="657" w:type="pct"/>
                  <w:vAlign w:val="center"/>
                </w:tcPr>
                <w:p w14:paraId="69A50156">
                  <w:pPr>
                    <w:pStyle w:val="105"/>
                    <w:keepNext w:val="0"/>
                    <w:keepLines w:val="0"/>
                    <w:suppressLineNumbers w:val="0"/>
                    <w:spacing w:before="0" w:beforeAutospacing="0" w:after="0" w:afterAutospacing="0"/>
                    <w:ind w:left="0" w:right="0"/>
                    <w:rPr>
                      <w:rFonts w:hint="default" w:ascii="Times New Roman" w:hAnsi="Times New Roman" w:eastAsia="宋体" w:cs="Times New Roman"/>
                      <w:kern w:val="0"/>
                      <w:lang w:val="en-US" w:eastAsia="zh-CN"/>
                    </w:rPr>
                  </w:pPr>
                  <w:r>
                    <w:rPr>
                      <w:rFonts w:hint="eastAsia" w:cs="Times New Roman"/>
                      <w:kern w:val="0"/>
                      <w:lang w:val="en-US" w:eastAsia="zh-CN"/>
                    </w:rPr>
                    <w:t>305</w:t>
                  </w:r>
                </w:p>
              </w:tc>
              <w:tc>
                <w:tcPr>
                  <w:tcW w:w="466" w:type="pct"/>
                  <w:vAlign w:val="center"/>
                </w:tcPr>
                <w:p w14:paraId="1EF5E3CF">
                  <w:pPr>
                    <w:pStyle w:val="105"/>
                    <w:keepNext w:val="0"/>
                    <w:keepLines w:val="0"/>
                    <w:suppressLineNumbers w:val="0"/>
                    <w:spacing w:before="0" w:beforeAutospacing="0" w:after="0" w:afterAutospacing="0"/>
                    <w:ind w:left="0" w:right="0" w:firstLine="0" w:firstLineChars="0"/>
                    <w:rPr>
                      <w:rFonts w:hint="default" w:ascii="Times New Roman" w:hAnsi="Times New Roman" w:cs="Times New Roman"/>
                      <w:kern w:val="0"/>
                    </w:rPr>
                  </w:pPr>
                  <w:r>
                    <w:rPr>
                      <w:rFonts w:hint="eastAsia" w:ascii="Times New Roman" w:hAnsi="Times New Roman" w:cs="Times New Roman"/>
                      <w:kern w:val="0"/>
                      <w:lang w:val="en-US" w:eastAsia="zh-CN"/>
                    </w:rPr>
                    <w:t>/</w:t>
                  </w:r>
                </w:p>
              </w:tc>
              <w:tc>
                <w:tcPr>
                  <w:tcW w:w="469" w:type="pct"/>
                  <w:vAlign w:val="center"/>
                </w:tcPr>
                <w:p w14:paraId="78A5AA20">
                  <w:pPr>
                    <w:pStyle w:val="105"/>
                    <w:keepNext w:val="0"/>
                    <w:keepLines w:val="0"/>
                    <w:suppressLineNumbers w:val="0"/>
                    <w:spacing w:before="0" w:beforeAutospacing="0" w:after="0" w:afterAutospacing="0"/>
                    <w:ind w:left="0" w:right="0"/>
                    <w:rPr>
                      <w:rFonts w:hint="eastAsia" w:ascii="Times New Roman" w:hAnsi="Times New Roman" w:eastAsia="宋体" w:cs="Times New Roman"/>
                      <w:kern w:val="0"/>
                      <w:lang w:eastAsia="zh-CN"/>
                    </w:rPr>
                  </w:pPr>
                  <w:r>
                    <w:rPr>
                      <w:rFonts w:hint="eastAsia" w:ascii="Times New Roman" w:hAnsi="Times New Roman" w:cs="Times New Roman"/>
                      <w:kern w:val="0"/>
                      <w:lang w:val="en-US" w:eastAsia="zh-CN"/>
                    </w:rPr>
                    <w:t>/</w:t>
                  </w:r>
                </w:p>
              </w:tc>
            </w:tr>
            <w:tr w14:paraId="7C6C8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vAlign w:val="center"/>
                </w:tcPr>
                <w:p w14:paraId="415E7D58">
                  <w:pPr>
                    <w:pStyle w:val="105"/>
                    <w:keepNext w:val="0"/>
                    <w:keepLines w:val="0"/>
                    <w:suppressLineNumbers w:val="0"/>
                    <w:spacing w:before="0" w:beforeAutospacing="0" w:after="0" w:afterAutospacing="0"/>
                    <w:ind w:left="0" w:right="0"/>
                    <w:jc w:val="both"/>
                    <w:rPr>
                      <w:rFonts w:hint="default" w:ascii="Times New Roman" w:hAnsi="Times New Roman" w:cs="Times New Roman"/>
                      <w:kern w:val="0"/>
                      <w:lang w:val="en-US" w:eastAsia="zh-CN"/>
                    </w:rPr>
                  </w:pPr>
                  <w:r>
                    <w:rPr>
                      <w:rFonts w:hint="eastAsia" w:cs="Times New Roman"/>
                      <w:kern w:val="0"/>
                      <w:lang w:val="en-US" w:eastAsia="zh-CN"/>
                    </w:rPr>
                    <w:t>注：“*”表示该因子参照集中式生活饮用水地表水源地补充项目标准限值。</w:t>
                  </w:r>
                </w:p>
              </w:tc>
            </w:tr>
          </w:tbl>
          <w:p w14:paraId="58D8DDE5">
            <w:pPr>
              <w:keepNext w:val="0"/>
              <w:keepLines w:val="0"/>
              <w:suppressLineNumbers w:val="0"/>
              <w:spacing w:before="0" w:beforeAutospacing="0" w:after="0" w:afterAutospacing="0"/>
              <w:ind w:left="0" w:right="0" w:firstLine="480"/>
              <w:rPr>
                <w:rFonts w:hint="default" w:cs="Times New Roman"/>
                <w:color w:val="auto"/>
                <w:highlight w:val="none"/>
              </w:rPr>
            </w:pPr>
            <w:r>
              <w:rPr>
                <w:rFonts w:hint="eastAsia" w:cs="Times New Roman"/>
                <w:color w:val="auto"/>
                <w:highlight w:val="none"/>
                <w:lang w:val="en-US" w:eastAsia="zh-CN"/>
              </w:rPr>
              <w:t>根据表3.1-5监测结果，各监测点位的各监测因子均满足</w:t>
            </w:r>
            <w:r>
              <w:rPr>
                <w:rFonts w:hint="default" w:cs="Times New Roman"/>
                <w:color w:val="auto"/>
                <w:highlight w:val="none"/>
              </w:rPr>
              <w:t>《地表水环境质量标准》（</w:t>
            </w:r>
            <w:r>
              <w:rPr>
                <w:rFonts w:hint="default" w:ascii="Times New Roman" w:hAnsi="Times New Roman" w:cs="Times New Roman"/>
                <w:color w:val="auto"/>
                <w:highlight w:val="none"/>
              </w:rPr>
              <w:t>GB3838</w:t>
            </w:r>
            <w:r>
              <w:rPr>
                <w:rFonts w:hint="default" w:cs="Times New Roman"/>
                <w:color w:val="auto"/>
                <w:highlight w:val="none"/>
              </w:rPr>
              <w:t>-</w:t>
            </w:r>
            <w:r>
              <w:rPr>
                <w:rFonts w:hint="default" w:ascii="Times New Roman" w:hAnsi="Times New Roman" w:cs="Times New Roman"/>
                <w:color w:val="auto"/>
                <w:highlight w:val="none"/>
              </w:rPr>
              <w:t>2002</w:t>
            </w:r>
            <w:r>
              <w:rPr>
                <w:rFonts w:hint="default" w:cs="Times New Roman"/>
                <w:color w:val="auto"/>
                <w:highlight w:val="none"/>
              </w:rPr>
              <w:t>）</w:t>
            </w:r>
            <w:r>
              <w:rPr>
                <w:rFonts w:hint="default" w:ascii="Times New Roman" w:hAnsi="Times New Roman" w:cs="Times New Roman"/>
                <w:color w:val="auto"/>
                <w:highlight w:val="none"/>
              </w:rPr>
              <w:t>III</w:t>
            </w:r>
            <w:r>
              <w:rPr>
                <w:rFonts w:hint="default" w:cs="Times New Roman"/>
                <w:color w:val="auto"/>
                <w:highlight w:val="none"/>
              </w:rPr>
              <w:t>类要求。</w:t>
            </w:r>
            <w:r>
              <w:rPr>
                <w:rFonts w:hint="eastAsia" w:cs="Times New Roman"/>
                <w:color w:val="auto"/>
                <w:highlight w:val="none"/>
              </w:rPr>
              <w:t>因此</w:t>
            </w:r>
            <w:r>
              <w:rPr>
                <w:rFonts w:hint="default" w:cs="Times New Roman"/>
                <w:color w:val="auto"/>
                <w:highlight w:val="none"/>
              </w:rPr>
              <w:t>，项目所在区域水环境控制单元</w:t>
            </w:r>
            <w:r>
              <w:rPr>
                <w:rFonts w:hint="eastAsia" w:cs="Times New Roman"/>
                <w:color w:val="auto"/>
                <w:highlight w:val="none"/>
              </w:rPr>
              <w:t>为</w:t>
            </w:r>
            <w:r>
              <w:rPr>
                <w:rFonts w:hint="default" w:cs="Times New Roman"/>
                <w:color w:val="auto"/>
                <w:highlight w:val="none"/>
              </w:rPr>
              <w:t>水质达标</w:t>
            </w:r>
            <w:r>
              <w:rPr>
                <w:rFonts w:hint="eastAsia" w:cs="Times New Roman"/>
                <w:color w:val="auto"/>
                <w:highlight w:val="none"/>
              </w:rPr>
              <w:t>区</w:t>
            </w:r>
            <w:r>
              <w:rPr>
                <w:rFonts w:hint="default" w:cs="Times New Roman"/>
                <w:color w:val="auto"/>
                <w:highlight w:val="none"/>
              </w:rPr>
              <w:t>，区域水段</w:t>
            </w:r>
            <w:r>
              <w:rPr>
                <w:rFonts w:hint="eastAsia" w:cs="Times New Roman"/>
                <w:color w:val="auto"/>
                <w:highlight w:val="none"/>
              </w:rPr>
              <w:t>水质情况良好</w:t>
            </w:r>
            <w:r>
              <w:rPr>
                <w:rFonts w:hint="default" w:cs="Times New Roman"/>
                <w:color w:val="auto"/>
                <w:highlight w:val="none"/>
              </w:rPr>
              <w:t>。</w:t>
            </w:r>
          </w:p>
          <w:p w14:paraId="5C1ECD2E">
            <w:pPr>
              <w:pStyle w:val="2"/>
              <w:keepLines w:val="0"/>
              <w:numPr>
                <w:ilvl w:val="0"/>
                <w:numId w:val="0"/>
              </w:numPr>
              <w:suppressLineNumbers w:val="0"/>
              <w:tabs>
                <w:tab w:val="left" w:pos="0"/>
              </w:tabs>
              <w:bidi w:val="0"/>
              <w:spacing w:before="0" w:beforeAutospacing="0" w:after="0" w:afterAutospacing="0"/>
              <w:ind w:leftChars="0" w:right="0"/>
              <w:rPr>
                <w:rFonts w:hint="eastAsia" w:cs="Times New Roman"/>
                <w:color w:val="auto"/>
                <w:highlight w:val="none"/>
                <w:lang w:val="en-US" w:eastAsia="zh-CN"/>
              </w:rPr>
            </w:pPr>
            <w:bookmarkStart w:id="19" w:name="_Toc17638"/>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声环境</w:t>
            </w:r>
            <w:bookmarkEnd w:id="19"/>
          </w:p>
          <w:p w14:paraId="239DB397">
            <w:pPr>
              <w:keepNext w:val="0"/>
              <w:keepLines w:val="0"/>
              <w:suppressLineNumbers w:val="0"/>
              <w:spacing w:before="0" w:beforeAutospacing="0" w:after="0" w:afterAutospacing="0"/>
              <w:ind w:left="0" w:right="0" w:firstLine="480" w:firstLineChars="200"/>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本项目位于祁东县官家嘴镇官家嘴村，</w:t>
            </w:r>
            <w:r>
              <w:rPr>
                <w:rFonts w:hint="eastAsia" w:ascii="Times New Roman" w:hAnsi="Times New Roman" w:eastAsia="宋体" w:cs="Times New Roman"/>
                <w:color w:val="auto"/>
                <w:highlight w:val="none"/>
                <w:lang w:val="en-US" w:eastAsia="zh-CN"/>
              </w:rPr>
              <w:t>项目所在地声环境质量执行《声环境质量标准》（</w:t>
            </w:r>
            <w:r>
              <w:rPr>
                <w:rFonts w:hint="default" w:ascii="Times New Roman" w:hAnsi="Times New Roman" w:eastAsia="宋体" w:cs="Times New Roman"/>
                <w:color w:val="auto"/>
                <w:highlight w:val="none"/>
                <w:lang w:val="en-US" w:eastAsia="zh-CN"/>
              </w:rPr>
              <w:t>GB3096</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2008</w:t>
            </w:r>
            <w:r>
              <w:rPr>
                <w:rFonts w:hint="eastAsia" w:ascii="Times New Roman" w:hAnsi="Times New Roman" w:eastAsia="宋体" w:cs="Times New Roman"/>
                <w:color w:val="auto"/>
                <w:highlight w:val="none"/>
                <w:lang w:val="en-US" w:eastAsia="zh-CN"/>
              </w:rPr>
              <w:t>）中</w:t>
            </w:r>
            <w:r>
              <w:rPr>
                <w:rFonts w:hint="eastAsia" w:cs="Times New Roman"/>
                <w:color w:val="auto"/>
                <w:highlight w:val="none"/>
                <w:lang w:val="en-US" w:eastAsia="zh-CN"/>
              </w:rPr>
              <w:t>2</w:t>
            </w:r>
            <w:r>
              <w:rPr>
                <w:rFonts w:hint="eastAsia" w:ascii="Times New Roman" w:hAnsi="Times New Roman" w:eastAsia="宋体" w:cs="Times New Roman"/>
                <w:color w:val="auto"/>
                <w:highlight w:val="none"/>
                <w:lang w:val="en-US" w:eastAsia="zh-CN"/>
              </w:rPr>
              <w:t>类标准要求。</w:t>
            </w:r>
          </w:p>
          <w:p w14:paraId="2716E830">
            <w:pPr>
              <w:keepNext w:val="0"/>
              <w:keepLines w:val="0"/>
              <w:suppressLineNumbers w:val="0"/>
              <w:spacing w:before="0" w:beforeAutospacing="0" w:after="0" w:afterAutospacing="0"/>
              <w:ind w:left="0" w:right="0" w:firstLine="480" w:firstLineChars="20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根据《建设项目环境影响报告表编制技术指南（污染影响类）（试行）》：厂界外周边</w:t>
            </w:r>
            <w:r>
              <w:rPr>
                <w:rFonts w:hint="default" w:ascii="Times New Roman" w:hAnsi="Times New Roman" w:eastAsia="宋体" w:cs="Times New Roman"/>
                <w:color w:val="auto"/>
                <w:highlight w:val="none"/>
                <w:lang w:val="en-US" w:eastAsia="zh-CN"/>
              </w:rPr>
              <w:t>50</w:t>
            </w:r>
            <w:r>
              <w:rPr>
                <w:rFonts w:hint="eastAsia" w:ascii="Times New Roman" w:hAnsi="Times New Roman" w:eastAsia="宋体" w:cs="Times New Roman"/>
                <w:color w:val="auto"/>
                <w:highlight w:val="none"/>
                <w:lang w:val="en-US" w:eastAsia="zh-CN"/>
              </w:rPr>
              <w:t>米范围内存在声环境保护目标的建设项目，应监测保护目标声环境质量现状并评价达标情况。经调查，本项目厂界四周</w:t>
            </w:r>
            <w:r>
              <w:rPr>
                <w:rFonts w:hint="default" w:ascii="Times New Roman" w:hAnsi="Times New Roman" w:eastAsia="宋体" w:cs="Times New Roman"/>
                <w:color w:val="auto"/>
                <w:highlight w:val="none"/>
                <w:lang w:val="en-US" w:eastAsia="zh-CN"/>
              </w:rPr>
              <w:t>50m</w:t>
            </w:r>
            <w:r>
              <w:rPr>
                <w:rFonts w:hint="eastAsia" w:ascii="Times New Roman" w:hAnsi="Times New Roman" w:eastAsia="宋体" w:cs="Times New Roman"/>
                <w:color w:val="auto"/>
                <w:highlight w:val="none"/>
                <w:lang w:val="en-US" w:eastAsia="zh-CN"/>
              </w:rPr>
              <w:t>范围内</w:t>
            </w:r>
            <w:r>
              <w:rPr>
                <w:rFonts w:hint="eastAsia" w:cs="Times New Roman"/>
                <w:color w:val="auto"/>
                <w:highlight w:val="none"/>
                <w:lang w:val="en-US" w:eastAsia="zh-CN"/>
              </w:rPr>
              <w:t>有</w:t>
            </w:r>
            <w:r>
              <w:rPr>
                <w:rFonts w:hint="eastAsia" w:ascii="Times New Roman" w:hAnsi="Times New Roman" w:eastAsia="宋体" w:cs="Times New Roman"/>
                <w:color w:val="auto"/>
                <w:highlight w:val="none"/>
                <w:lang w:val="en-US" w:eastAsia="zh-CN"/>
              </w:rPr>
              <w:t>声环境保护目标。</w:t>
            </w:r>
          </w:p>
          <w:p w14:paraId="09E823C9">
            <w:pPr>
              <w:keepNext w:val="0"/>
              <w:keepLines w:val="0"/>
              <w:suppressLineNumbers w:val="0"/>
              <w:shd w:val="clear" w:color="auto" w:fill="auto"/>
              <w:spacing w:before="0" w:beforeAutospacing="0" w:after="0" w:afterAutospacing="0"/>
              <w:ind w:left="0" w:right="0" w:firstLine="480" w:firstLineChars="200"/>
              <w:rPr>
                <w:rFonts w:hint="default" w:cs="Times New Roman"/>
                <w:color w:val="auto"/>
                <w:highlight w:val="none"/>
                <w:lang w:val="en-US" w:eastAsia="zh-CN"/>
              </w:rPr>
            </w:pPr>
            <w:r>
              <w:rPr>
                <w:rFonts w:hint="eastAsia" w:ascii="Times New Roman" w:hAnsi="Times New Roman" w:eastAsia="宋体" w:cs="Times New Roman"/>
                <w:color w:val="auto"/>
                <w:highlight w:val="none"/>
                <w:lang w:val="en-US" w:eastAsia="zh-CN"/>
              </w:rPr>
              <w:t>为了解</w:t>
            </w:r>
            <w:r>
              <w:rPr>
                <w:rFonts w:hint="eastAsia" w:cs="Times New Roman"/>
                <w:color w:val="auto"/>
                <w:highlight w:val="none"/>
                <w:lang w:val="en-US" w:eastAsia="zh-CN"/>
              </w:rPr>
              <w:t>项目厂界及周边敏感目标</w:t>
            </w:r>
            <w:r>
              <w:rPr>
                <w:rFonts w:hint="eastAsia" w:ascii="Times New Roman" w:hAnsi="Times New Roman" w:eastAsia="宋体" w:cs="Times New Roman"/>
                <w:color w:val="auto"/>
                <w:highlight w:val="none"/>
                <w:lang w:val="en-US" w:eastAsia="zh-CN"/>
              </w:rPr>
              <w:t>声环境质量现状</w:t>
            </w:r>
            <w:r>
              <w:rPr>
                <w:rFonts w:hint="eastAsia" w:cs="Times New Roman"/>
                <w:color w:val="auto"/>
                <w:highlight w:val="none"/>
                <w:lang w:val="en-US" w:eastAsia="zh-CN"/>
              </w:rPr>
              <w:t>，本次评价委托湖南中雁环保科技有限公司</w:t>
            </w:r>
            <w:r>
              <w:rPr>
                <w:rFonts w:hint="default" w:cs="Times New Roman"/>
                <w:color w:val="auto"/>
                <w:highlight w:val="none"/>
                <w:lang w:val="en-US" w:eastAsia="zh-CN"/>
              </w:rPr>
              <w:t>于</w:t>
            </w:r>
            <w:r>
              <w:rPr>
                <w:rFonts w:hint="default" w:ascii="Times New Roman" w:hAnsi="Times New Roman" w:cs="Times New Roman"/>
                <w:color w:val="auto"/>
                <w:highlight w:val="none"/>
                <w:lang w:val="en-US" w:eastAsia="zh-CN"/>
              </w:rPr>
              <w:t>202</w:t>
            </w:r>
            <w:r>
              <w:rPr>
                <w:rFonts w:hint="eastAsia" w:cs="Times New Roman"/>
                <w:color w:val="auto"/>
                <w:highlight w:val="none"/>
                <w:lang w:val="en-US" w:eastAsia="zh-CN"/>
              </w:rPr>
              <w:t>5</w:t>
            </w:r>
            <w:r>
              <w:rPr>
                <w:rFonts w:hint="default" w:cs="Times New Roman"/>
                <w:color w:val="auto"/>
                <w:highlight w:val="none"/>
                <w:lang w:val="en-US" w:eastAsia="zh-CN"/>
              </w:rPr>
              <w:t>年</w:t>
            </w:r>
            <w:r>
              <w:rPr>
                <w:rFonts w:hint="eastAsia" w:cs="Times New Roman"/>
                <w:color w:val="auto"/>
                <w:highlight w:val="none"/>
                <w:lang w:val="en-US" w:eastAsia="zh-CN"/>
              </w:rPr>
              <w:t>7</w:t>
            </w:r>
            <w:r>
              <w:rPr>
                <w:rFonts w:hint="default" w:cs="Times New Roman"/>
                <w:color w:val="auto"/>
                <w:highlight w:val="none"/>
                <w:lang w:val="en-US" w:eastAsia="zh-CN"/>
              </w:rPr>
              <w:t>月</w:t>
            </w:r>
            <w:r>
              <w:rPr>
                <w:rFonts w:hint="eastAsia" w:cs="Times New Roman"/>
                <w:color w:val="auto"/>
                <w:highlight w:val="none"/>
                <w:lang w:val="en-US" w:eastAsia="zh-CN"/>
              </w:rPr>
              <w:t>9日进行噪声现状监测，监测结果具体见下表。</w:t>
            </w:r>
          </w:p>
          <w:p w14:paraId="10476993">
            <w:pPr>
              <w:pStyle w:val="36"/>
              <w:keepLines w:val="0"/>
              <w:numPr>
                <w:ilvl w:val="0"/>
                <w:numId w:val="0"/>
              </w:numPr>
              <w:suppressLineNumbers w:val="0"/>
              <w:bidi w:val="0"/>
              <w:spacing w:before="0" w:beforeAutospacing="0" w:after="0" w:afterAutospacing="0"/>
              <w:ind w:left="0" w:leftChars="0" w:right="0" w:firstLine="0" w:firstLineChars="0"/>
              <w:rPr>
                <w:rFonts w:hint="default" w:cs="Times New Roman"/>
                <w:color w:val="auto"/>
                <w:highlight w:val="none"/>
                <w:lang w:val="en-US" w:eastAsia="zh-CN"/>
              </w:rPr>
            </w:pPr>
            <w:r>
              <w:rPr>
                <w:rFonts w:hint="default" w:ascii="Times New Roman" w:hAnsi="Times New Roman" w:eastAsia="宋体" w:cs="Times New Roman"/>
                <w:b/>
                <w:bCs/>
                <w:color w:val="auto"/>
                <w:kern w:val="2"/>
                <w:sz w:val="21"/>
                <w:szCs w:val="21"/>
                <w:highlight w:val="none"/>
                <w:lang w:val="en-US" w:eastAsia="zh-CN" w:bidi="ar-SA"/>
              </w:rPr>
              <w:t>表</w:t>
            </w:r>
            <w:r>
              <w:rPr>
                <w:rFonts w:hint="default" w:ascii="Times New Roman" w:hAnsi="Times New Roman" w:cs="Times New Roman"/>
                <w:b/>
                <w:bCs/>
                <w:color w:val="auto"/>
                <w:kern w:val="2"/>
                <w:sz w:val="21"/>
                <w:szCs w:val="21"/>
                <w:highlight w:val="none"/>
                <w:lang w:val="en-US" w:eastAsia="zh-CN" w:bidi="ar-SA"/>
              </w:rPr>
              <w:t>3</w:t>
            </w:r>
            <w:r>
              <w:rPr>
                <w:rFonts w:hint="eastAsia" w:cs="Times New Roman"/>
                <w:b/>
                <w:bCs/>
                <w:color w:val="auto"/>
                <w:kern w:val="2"/>
                <w:sz w:val="21"/>
                <w:szCs w:val="21"/>
                <w:highlight w:val="none"/>
                <w:lang w:val="en-US" w:eastAsia="zh-CN" w:bidi="ar-SA"/>
              </w:rPr>
              <w:t>.1-6 声环境现状</w:t>
            </w:r>
            <w:r>
              <w:rPr>
                <w:rFonts w:hint="eastAsia" w:cs="Times New Roman"/>
                <w:color w:val="auto"/>
                <w:highlight w:val="none"/>
                <w:lang w:val="en-US" w:eastAsia="zh-CN"/>
              </w:rPr>
              <w:t>监测数据</w:t>
            </w:r>
          </w:p>
          <w:tbl>
            <w:tblPr>
              <w:tblStyle w:val="28"/>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94"/>
              <w:gridCol w:w="2274"/>
              <w:gridCol w:w="1264"/>
            </w:tblGrid>
            <w:tr w14:paraId="0ECC7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trPr>
              <w:tc>
                <w:tcPr>
                  <w:tcW w:w="2824" w:type="pct"/>
                  <w:vMerge w:val="restart"/>
                  <w:noWrap w:val="0"/>
                  <w:vAlign w:val="center"/>
                </w:tcPr>
                <w:p w14:paraId="66DBB151">
                  <w:pPr>
                    <w:pStyle w:val="37"/>
                    <w:keepNext w:val="0"/>
                    <w:keepLines w:val="0"/>
                    <w:suppressLineNumbers w:val="0"/>
                    <w:bidi w:val="0"/>
                    <w:spacing w:before="0" w:beforeAutospacing="0" w:after="0" w:afterAutospacing="0"/>
                    <w:ind w:left="0" w:right="0"/>
                    <w:rPr>
                      <w:rFonts w:hint="default"/>
                      <w:b/>
                      <w:bCs/>
                      <w:highlight w:val="none"/>
                      <w:lang w:val="en-US"/>
                    </w:rPr>
                  </w:pPr>
                  <w:r>
                    <w:rPr>
                      <w:rFonts w:hint="eastAsia"/>
                      <w:b/>
                      <w:bCs/>
                      <w:highlight w:val="none"/>
                      <w:lang w:val="en-US" w:eastAsia="zh-CN"/>
                    </w:rPr>
                    <w:t>监测点位</w:t>
                  </w:r>
                </w:p>
              </w:tc>
              <w:tc>
                <w:tcPr>
                  <w:tcW w:w="2175" w:type="pct"/>
                  <w:gridSpan w:val="2"/>
                  <w:noWrap w:val="0"/>
                  <w:vAlign w:val="center"/>
                </w:tcPr>
                <w:p w14:paraId="20BC87A5">
                  <w:pPr>
                    <w:pStyle w:val="37"/>
                    <w:keepNext w:val="0"/>
                    <w:keepLines w:val="0"/>
                    <w:suppressLineNumbers w:val="0"/>
                    <w:bidi w:val="0"/>
                    <w:spacing w:before="0" w:beforeAutospacing="0" w:after="0" w:afterAutospacing="0"/>
                    <w:ind w:left="0" w:right="0"/>
                    <w:rPr>
                      <w:rFonts w:hint="eastAsia"/>
                      <w:b/>
                      <w:bCs/>
                      <w:highlight w:val="none"/>
                      <w:lang w:val="en-US" w:eastAsia="zh-CN"/>
                    </w:rPr>
                  </w:pPr>
                  <w:r>
                    <w:rPr>
                      <w:rFonts w:hint="eastAsia"/>
                      <w:b/>
                      <w:bCs/>
                      <w:highlight w:val="none"/>
                      <w:lang w:val="en-US" w:eastAsia="zh-CN"/>
                    </w:rPr>
                    <w:t>监测结果</w:t>
                  </w:r>
                  <w:r>
                    <w:rPr>
                      <w:rFonts w:hint="default"/>
                      <w:b/>
                      <w:bCs/>
                      <w:highlight w:val="none"/>
                      <w:lang w:val="en-US" w:eastAsia="zh-CN"/>
                    </w:rPr>
                    <w:t>dB</w:t>
                  </w:r>
                  <w:r>
                    <w:rPr>
                      <w:rFonts w:hint="eastAsia"/>
                      <w:b/>
                      <w:bCs/>
                      <w:highlight w:val="none"/>
                      <w:lang w:val="en-US" w:eastAsia="zh-CN"/>
                    </w:rPr>
                    <w:t>（</w:t>
                  </w:r>
                  <w:r>
                    <w:rPr>
                      <w:rFonts w:hint="default"/>
                      <w:b/>
                      <w:bCs/>
                      <w:highlight w:val="none"/>
                      <w:lang w:val="en-US" w:eastAsia="zh-CN"/>
                    </w:rPr>
                    <w:t>A</w:t>
                  </w:r>
                  <w:r>
                    <w:rPr>
                      <w:rFonts w:hint="eastAsia"/>
                      <w:b/>
                      <w:bCs/>
                      <w:highlight w:val="none"/>
                      <w:lang w:val="en-US" w:eastAsia="zh-CN"/>
                    </w:rPr>
                    <w:t>）</w:t>
                  </w:r>
                </w:p>
              </w:tc>
            </w:tr>
            <w:tr w14:paraId="174BB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blHeader/>
              </w:trPr>
              <w:tc>
                <w:tcPr>
                  <w:tcW w:w="2824" w:type="pct"/>
                  <w:vMerge w:val="continue"/>
                  <w:noWrap w:val="0"/>
                  <w:vAlign w:val="center"/>
                </w:tcPr>
                <w:p w14:paraId="66D3F852">
                  <w:pPr>
                    <w:pStyle w:val="37"/>
                    <w:keepNext w:val="0"/>
                    <w:keepLines w:val="0"/>
                    <w:suppressLineNumbers w:val="0"/>
                    <w:bidi w:val="0"/>
                    <w:spacing w:before="0" w:beforeAutospacing="0" w:after="0" w:afterAutospacing="0"/>
                    <w:ind w:left="0" w:right="0"/>
                    <w:rPr>
                      <w:rFonts w:hint="eastAsia"/>
                      <w:b/>
                      <w:bCs/>
                      <w:highlight w:val="none"/>
                      <w:lang w:val="en-US" w:eastAsia="zh-CN"/>
                    </w:rPr>
                  </w:pPr>
                </w:p>
              </w:tc>
              <w:tc>
                <w:tcPr>
                  <w:tcW w:w="2175" w:type="pct"/>
                  <w:gridSpan w:val="2"/>
                  <w:noWrap w:val="0"/>
                  <w:vAlign w:val="center"/>
                </w:tcPr>
                <w:p w14:paraId="19F7C671">
                  <w:pPr>
                    <w:pStyle w:val="37"/>
                    <w:keepNext w:val="0"/>
                    <w:keepLines w:val="0"/>
                    <w:suppressLineNumbers w:val="0"/>
                    <w:bidi w:val="0"/>
                    <w:spacing w:before="0" w:beforeAutospacing="0" w:after="0" w:afterAutospacing="0"/>
                    <w:ind w:left="0" w:right="0"/>
                    <w:rPr>
                      <w:rFonts w:hint="eastAsia"/>
                      <w:b/>
                      <w:bCs/>
                      <w:highlight w:val="none"/>
                      <w:lang w:val="en-US" w:eastAsia="zh-CN"/>
                    </w:rPr>
                  </w:pPr>
                  <w:r>
                    <w:rPr>
                      <w:rFonts w:hint="eastAsia"/>
                      <w:b/>
                      <w:bCs/>
                      <w:highlight w:val="none"/>
                      <w:lang w:val="en-US" w:eastAsia="zh-CN"/>
                    </w:rPr>
                    <w:t>7月9日</w:t>
                  </w:r>
                </w:p>
              </w:tc>
            </w:tr>
            <w:tr w14:paraId="6CFB7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trPr>
              <w:tc>
                <w:tcPr>
                  <w:tcW w:w="2824" w:type="pct"/>
                  <w:vMerge w:val="continue"/>
                  <w:noWrap w:val="0"/>
                  <w:vAlign w:val="center"/>
                </w:tcPr>
                <w:p w14:paraId="05D80328">
                  <w:pPr>
                    <w:pStyle w:val="37"/>
                    <w:keepNext w:val="0"/>
                    <w:keepLines w:val="0"/>
                    <w:suppressLineNumbers w:val="0"/>
                    <w:bidi w:val="0"/>
                    <w:spacing w:before="0" w:beforeAutospacing="0" w:after="0" w:afterAutospacing="0"/>
                    <w:ind w:left="0" w:right="0"/>
                    <w:rPr>
                      <w:rFonts w:hint="eastAsia"/>
                      <w:b/>
                      <w:bCs/>
                      <w:highlight w:val="none"/>
                      <w:lang w:val="en-US" w:eastAsia="zh-CN"/>
                    </w:rPr>
                  </w:pPr>
                </w:p>
              </w:tc>
              <w:tc>
                <w:tcPr>
                  <w:tcW w:w="1398" w:type="pct"/>
                  <w:noWrap w:val="0"/>
                  <w:vAlign w:val="center"/>
                </w:tcPr>
                <w:p w14:paraId="6C3AD53A">
                  <w:pPr>
                    <w:pStyle w:val="37"/>
                    <w:keepNext w:val="0"/>
                    <w:keepLines w:val="0"/>
                    <w:suppressLineNumbers w:val="0"/>
                    <w:bidi w:val="0"/>
                    <w:spacing w:before="0" w:beforeAutospacing="0" w:after="0" w:afterAutospacing="0"/>
                    <w:ind w:left="0" w:right="0"/>
                    <w:rPr>
                      <w:rFonts w:hint="default"/>
                      <w:b/>
                      <w:bCs/>
                      <w:highlight w:val="none"/>
                      <w:lang w:val="en-US" w:eastAsia="zh-CN"/>
                    </w:rPr>
                  </w:pPr>
                  <w:r>
                    <w:rPr>
                      <w:rFonts w:hint="eastAsia"/>
                      <w:b/>
                      <w:bCs/>
                      <w:highlight w:val="none"/>
                      <w:lang w:val="en-US" w:eastAsia="zh-CN"/>
                    </w:rPr>
                    <w:t>昼间</w:t>
                  </w:r>
                </w:p>
              </w:tc>
              <w:tc>
                <w:tcPr>
                  <w:tcW w:w="777" w:type="pct"/>
                  <w:noWrap w:val="0"/>
                  <w:vAlign w:val="center"/>
                </w:tcPr>
                <w:p w14:paraId="29A2EA1F">
                  <w:pPr>
                    <w:pStyle w:val="37"/>
                    <w:keepNext w:val="0"/>
                    <w:keepLines w:val="0"/>
                    <w:suppressLineNumbers w:val="0"/>
                    <w:bidi w:val="0"/>
                    <w:spacing w:before="0" w:beforeAutospacing="0" w:after="0" w:afterAutospacing="0"/>
                    <w:ind w:left="0" w:right="0"/>
                    <w:rPr>
                      <w:rFonts w:hint="default"/>
                      <w:b/>
                      <w:bCs/>
                      <w:highlight w:val="none"/>
                      <w:lang w:val="en-US" w:eastAsia="zh-CN"/>
                    </w:rPr>
                  </w:pPr>
                  <w:r>
                    <w:rPr>
                      <w:rFonts w:hint="eastAsia"/>
                      <w:b/>
                      <w:bCs/>
                      <w:highlight w:val="none"/>
                      <w:lang w:val="en-US" w:eastAsia="zh-CN"/>
                    </w:rPr>
                    <w:t>夜间</w:t>
                  </w:r>
                </w:p>
              </w:tc>
            </w:tr>
            <w:tr w14:paraId="5A125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24" w:type="pct"/>
                  <w:noWrap w:val="0"/>
                  <w:vAlign w:val="center"/>
                </w:tcPr>
                <w:p w14:paraId="27A8F33F">
                  <w:pPr>
                    <w:pStyle w:val="37"/>
                    <w:keepNext w:val="0"/>
                    <w:keepLines w:val="0"/>
                    <w:suppressLineNumbers w:val="0"/>
                    <w:bidi w:val="0"/>
                    <w:spacing w:before="0" w:beforeAutospacing="0" w:after="0" w:afterAutospacing="0"/>
                    <w:ind w:left="0" w:right="0"/>
                    <w:rPr>
                      <w:rFonts w:hint="default"/>
                      <w:highlight w:val="none"/>
                      <w:lang w:val="en-US"/>
                    </w:rPr>
                  </w:pPr>
                  <w:r>
                    <w:rPr>
                      <w:rFonts w:hint="eastAsia"/>
                      <w:highlight w:val="none"/>
                      <w:lang w:val="en-US" w:eastAsia="zh-CN"/>
                    </w:rPr>
                    <w:t>项目厂区</w:t>
                  </w:r>
                  <w:r>
                    <w:rPr>
                      <w:rFonts w:hint="eastAsia"/>
                      <w:highlight w:val="none"/>
                    </w:rPr>
                    <w:t>东边界1米处N1</w:t>
                  </w:r>
                </w:p>
              </w:tc>
              <w:tc>
                <w:tcPr>
                  <w:tcW w:w="1398" w:type="pct"/>
                  <w:noWrap w:val="0"/>
                  <w:vAlign w:val="center"/>
                </w:tcPr>
                <w:p w14:paraId="1932E8A4">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53</w:t>
                  </w:r>
                </w:p>
              </w:tc>
              <w:tc>
                <w:tcPr>
                  <w:tcW w:w="777" w:type="pct"/>
                  <w:noWrap w:val="0"/>
                  <w:vAlign w:val="center"/>
                </w:tcPr>
                <w:p w14:paraId="7D9D1E4E">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45</w:t>
                  </w:r>
                </w:p>
              </w:tc>
            </w:tr>
            <w:tr w14:paraId="44F75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24" w:type="pct"/>
                  <w:noWrap w:val="0"/>
                  <w:vAlign w:val="center"/>
                </w:tcPr>
                <w:p w14:paraId="61B70462">
                  <w:pPr>
                    <w:pStyle w:val="37"/>
                    <w:keepNext w:val="0"/>
                    <w:keepLines w:val="0"/>
                    <w:suppressLineNumbers w:val="0"/>
                    <w:bidi w:val="0"/>
                    <w:spacing w:before="0" w:beforeAutospacing="0" w:after="0" w:afterAutospacing="0"/>
                    <w:ind w:left="0" w:right="0"/>
                    <w:rPr>
                      <w:rFonts w:hint="default"/>
                      <w:highlight w:val="none"/>
                    </w:rPr>
                  </w:pPr>
                  <w:r>
                    <w:rPr>
                      <w:rFonts w:hint="eastAsia"/>
                      <w:highlight w:val="none"/>
                      <w:lang w:val="en-US" w:eastAsia="zh-CN"/>
                    </w:rPr>
                    <w:t>项目厂区</w:t>
                  </w:r>
                  <w:r>
                    <w:rPr>
                      <w:rFonts w:hint="eastAsia"/>
                      <w:highlight w:val="none"/>
                    </w:rPr>
                    <w:t>南边界1米处N2</w:t>
                  </w:r>
                </w:p>
              </w:tc>
              <w:tc>
                <w:tcPr>
                  <w:tcW w:w="1398" w:type="pct"/>
                  <w:noWrap w:val="0"/>
                  <w:vAlign w:val="center"/>
                </w:tcPr>
                <w:p w14:paraId="2BD68178">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57</w:t>
                  </w:r>
                </w:p>
              </w:tc>
              <w:tc>
                <w:tcPr>
                  <w:tcW w:w="777" w:type="pct"/>
                  <w:noWrap w:val="0"/>
                  <w:vAlign w:val="center"/>
                </w:tcPr>
                <w:p w14:paraId="0CCA4C70">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47</w:t>
                  </w:r>
                </w:p>
              </w:tc>
            </w:tr>
            <w:tr w14:paraId="1A080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24" w:type="pct"/>
                  <w:noWrap w:val="0"/>
                  <w:vAlign w:val="center"/>
                </w:tcPr>
                <w:p w14:paraId="5B6B73A4">
                  <w:pPr>
                    <w:pStyle w:val="37"/>
                    <w:keepNext w:val="0"/>
                    <w:keepLines w:val="0"/>
                    <w:suppressLineNumbers w:val="0"/>
                    <w:bidi w:val="0"/>
                    <w:spacing w:before="0" w:beforeAutospacing="0" w:after="0" w:afterAutospacing="0"/>
                    <w:ind w:left="0" w:right="0"/>
                    <w:rPr>
                      <w:rFonts w:hint="eastAsia"/>
                      <w:highlight w:val="none"/>
                      <w:lang w:val="en-US" w:eastAsia="zh-CN"/>
                    </w:rPr>
                  </w:pPr>
                  <w:r>
                    <w:rPr>
                      <w:rFonts w:hint="eastAsia"/>
                      <w:highlight w:val="none"/>
                      <w:lang w:val="en-US" w:eastAsia="zh-CN"/>
                    </w:rPr>
                    <w:t>项目厂区</w:t>
                  </w:r>
                  <w:r>
                    <w:rPr>
                      <w:rFonts w:hint="eastAsia"/>
                      <w:highlight w:val="none"/>
                    </w:rPr>
                    <w:t>西边界1米处N3</w:t>
                  </w:r>
                </w:p>
              </w:tc>
              <w:tc>
                <w:tcPr>
                  <w:tcW w:w="1398" w:type="pct"/>
                  <w:noWrap w:val="0"/>
                  <w:vAlign w:val="center"/>
                </w:tcPr>
                <w:p w14:paraId="398EF815">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52</w:t>
                  </w:r>
                </w:p>
              </w:tc>
              <w:tc>
                <w:tcPr>
                  <w:tcW w:w="777" w:type="pct"/>
                  <w:noWrap w:val="0"/>
                  <w:vAlign w:val="center"/>
                </w:tcPr>
                <w:p w14:paraId="5503A320">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46</w:t>
                  </w:r>
                </w:p>
              </w:tc>
            </w:tr>
            <w:tr w14:paraId="1FFE7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24" w:type="pct"/>
                  <w:noWrap w:val="0"/>
                  <w:vAlign w:val="center"/>
                </w:tcPr>
                <w:p w14:paraId="7F097EC3">
                  <w:pPr>
                    <w:pStyle w:val="37"/>
                    <w:keepNext w:val="0"/>
                    <w:keepLines w:val="0"/>
                    <w:suppressLineNumbers w:val="0"/>
                    <w:bidi w:val="0"/>
                    <w:spacing w:before="0" w:beforeAutospacing="0" w:after="0" w:afterAutospacing="0"/>
                    <w:ind w:left="0" w:right="0"/>
                    <w:rPr>
                      <w:rFonts w:hint="eastAsia"/>
                      <w:highlight w:val="none"/>
                      <w:lang w:val="en-US" w:eastAsia="zh-CN"/>
                    </w:rPr>
                  </w:pPr>
                  <w:r>
                    <w:rPr>
                      <w:rFonts w:hint="eastAsia"/>
                      <w:highlight w:val="none"/>
                      <w:lang w:val="en-US" w:eastAsia="zh-CN"/>
                    </w:rPr>
                    <w:t>项目厂区</w:t>
                  </w:r>
                  <w:r>
                    <w:rPr>
                      <w:rFonts w:hint="eastAsia"/>
                      <w:highlight w:val="none"/>
                    </w:rPr>
                    <w:t>北边界1米处N4</w:t>
                  </w:r>
                </w:p>
              </w:tc>
              <w:tc>
                <w:tcPr>
                  <w:tcW w:w="1398" w:type="pct"/>
                  <w:noWrap w:val="0"/>
                  <w:vAlign w:val="center"/>
                </w:tcPr>
                <w:p w14:paraId="4520EC29">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54</w:t>
                  </w:r>
                </w:p>
              </w:tc>
              <w:tc>
                <w:tcPr>
                  <w:tcW w:w="777" w:type="pct"/>
                  <w:noWrap w:val="0"/>
                  <w:vAlign w:val="center"/>
                </w:tcPr>
                <w:p w14:paraId="6B083824">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46</w:t>
                  </w:r>
                </w:p>
              </w:tc>
            </w:tr>
            <w:tr w14:paraId="154B1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24" w:type="pct"/>
                  <w:noWrap w:val="0"/>
                  <w:vAlign w:val="center"/>
                </w:tcPr>
                <w:p w14:paraId="110C43EC">
                  <w:pPr>
                    <w:pStyle w:val="37"/>
                    <w:keepNext w:val="0"/>
                    <w:keepLines w:val="0"/>
                    <w:suppressLineNumbers w:val="0"/>
                    <w:bidi w:val="0"/>
                    <w:spacing w:before="0" w:beforeAutospacing="0" w:after="0" w:afterAutospacing="0"/>
                    <w:ind w:left="0" w:right="0"/>
                    <w:rPr>
                      <w:rFonts w:hint="eastAsia"/>
                      <w:highlight w:val="none"/>
                      <w:lang w:val="en-US" w:eastAsia="zh-CN"/>
                    </w:rPr>
                  </w:pPr>
                  <w:r>
                    <w:rPr>
                      <w:rFonts w:hint="eastAsia"/>
                      <w:color w:val="auto"/>
                      <w:highlight w:val="none"/>
                      <w:lang w:val="en-US" w:eastAsia="zh-CN"/>
                    </w:rPr>
                    <w:t>厂区北面管家嘴村居民</w:t>
                  </w:r>
                </w:p>
              </w:tc>
              <w:tc>
                <w:tcPr>
                  <w:tcW w:w="1398" w:type="pct"/>
                  <w:noWrap w:val="0"/>
                  <w:vAlign w:val="center"/>
                </w:tcPr>
                <w:p w14:paraId="24F4FB8A">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53</w:t>
                  </w:r>
                </w:p>
              </w:tc>
              <w:tc>
                <w:tcPr>
                  <w:tcW w:w="777" w:type="pct"/>
                  <w:noWrap w:val="0"/>
                  <w:vAlign w:val="center"/>
                </w:tcPr>
                <w:p w14:paraId="15690130">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44</w:t>
                  </w:r>
                </w:p>
              </w:tc>
            </w:tr>
            <w:tr w14:paraId="214A7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24" w:type="pct"/>
                  <w:noWrap w:val="0"/>
                  <w:vAlign w:val="center"/>
                </w:tcPr>
                <w:p w14:paraId="5609D961">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2类标准</w:t>
                  </w:r>
                </w:p>
              </w:tc>
              <w:tc>
                <w:tcPr>
                  <w:tcW w:w="1398" w:type="pct"/>
                  <w:noWrap w:val="0"/>
                  <w:vAlign w:val="center"/>
                </w:tcPr>
                <w:p w14:paraId="0011AC2B">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60</w:t>
                  </w:r>
                </w:p>
              </w:tc>
              <w:tc>
                <w:tcPr>
                  <w:tcW w:w="777" w:type="pct"/>
                  <w:noWrap w:val="0"/>
                  <w:vAlign w:val="center"/>
                </w:tcPr>
                <w:p w14:paraId="44DF8DEE">
                  <w:pPr>
                    <w:pStyle w:val="37"/>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val="en-US" w:eastAsia="zh-CN"/>
                    </w:rPr>
                    <w:t>50</w:t>
                  </w:r>
                </w:p>
              </w:tc>
            </w:tr>
          </w:tbl>
          <w:p w14:paraId="34E8910A">
            <w:pPr>
              <w:keepNext w:val="0"/>
              <w:keepLines w:val="0"/>
              <w:suppressLineNumbers w:val="0"/>
              <w:spacing w:before="0" w:beforeAutospacing="0" w:after="0" w:afterAutospacing="0" w:line="240" w:lineRule="auto"/>
              <w:ind w:left="0" w:right="0"/>
              <w:rPr>
                <w:rFonts w:hint="default" w:cs="Times New Roman"/>
                <w:color w:val="auto"/>
                <w:highlight w:val="yellow"/>
                <w:lang w:val="en-US" w:eastAsia="zh-CN"/>
              </w:rPr>
            </w:pPr>
          </w:p>
          <w:p w14:paraId="625404F0">
            <w:pPr>
              <w:keepNext w:val="0"/>
              <w:keepLines w:val="0"/>
              <w:suppressLineNumbers w:val="0"/>
              <w:spacing w:before="0" w:beforeAutospacing="0" w:after="0" w:afterAutospacing="0"/>
              <w:ind w:left="0" w:right="0" w:firstLine="480" w:firstLineChars="20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根据</w:t>
            </w:r>
            <w:r>
              <w:rPr>
                <w:rFonts w:hint="eastAsia" w:cs="Times New Roman"/>
                <w:color w:val="auto"/>
                <w:highlight w:val="none"/>
                <w:lang w:val="en-US" w:eastAsia="zh-CN"/>
              </w:rPr>
              <w:t>现状</w:t>
            </w:r>
            <w:r>
              <w:rPr>
                <w:rFonts w:hint="eastAsia" w:ascii="Times New Roman" w:hAnsi="Times New Roman" w:eastAsia="宋体" w:cs="Times New Roman"/>
                <w:color w:val="auto"/>
                <w:highlight w:val="none"/>
                <w:lang w:val="en-US" w:eastAsia="zh-CN"/>
              </w:rPr>
              <w:t>监测结果可知，各监测点位昼夜间声环境质量均满足《声环境质量标准》（</w:t>
            </w:r>
            <w:r>
              <w:rPr>
                <w:rFonts w:hint="default" w:ascii="Times New Roman" w:hAnsi="Times New Roman" w:eastAsia="宋体" w:cs="Times New Roman"/>
                <w:color w:val="auto"/>
                <w:highlight w:val="none"/>
                <w:lang w:val="en-US" w:eastAsia="zh-CN"/>
              </w:rPr>
              <w:t>GB3096</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2008</w:t>
            </w:r>
            <w:r>
              <w:rPr>
                <w:rFonts w:hint="eastAsia" w:ascii="Times New Roman" w:hAnsi="Times New Roman" w:eastAsia="宋体" w:cs="Times New Roman"/>
                <w:color w:val="auto"/>
                <w:highlight w:val="none"/>
                <w:lang w:val="en-US" w:eastAsia="zh-CN"/>
              </w:rPr>
              <w:t>）中</w:t>
            </w:r>
            <w:r>
              <w:rPr>
                <w:rFonts w:hint="eastAsia" w:cs="Times New Roman"/>
                <w:color w:val="auto"/>
                <w:highlight w:val="none"/>
                <w:lang w:val="en-US" w:eastAsia="zh-CN"/>
              </w:rPr>
              <w:t>2</w:t>
            </w:r>
            <w:r>
              <w:rPr>
                <w:rFonts w:hint="eastAsia" w:ascii="Times New Roman" w:hAnsi="Times New Roman" w:eastAsia="宋体" w:cs="Times New Roman"/>
                <w:color w:val="auto"/>
                <w:highlight w:val="none"/>
                <w:lang w:val="en-US" w:eastAsia="zh-CN"/>
              </w:rPr>
              <w:t>类标准要求，区域声环境质量良好。</w:t>
            </w:r>
          </w:p>
          <w:p w14:paraId="10ABCF62">
            <w:pPr>
              <w:pStyle w:val="2"/>
              <w:keepLines w:val="0"/>
              <w:numPr>
                <w:ilvl w:val="0"/>
                <w:numId w:val="0"/>
              </w:numPr>
              <w:suppressLineNumbers w:val="0"/>
              <w:tabs>
                <w:tab w:val="left" w:pos="0"/>
              </w:tabs>
              <w:bidi w:val="0"/>
              <w:spacing w:before="0" w:beforeAutospacing="0" w:after="0" w:afterAutospacing="0"/>
              <w:ind w:leftChars="0" w:right="0"/>
              <w:rPr>
                <w:rFonts w:hint="eastAsia" w:cs="Times New Roman"/>
                <w:color w:val="auto"/>
                <w:highlight w:val="none"/>
                <w:lang w:val="en-US" w:eastAsia="zh-CN"/>
              </w:rPr>
            </w:pPr>
            <w:bookmarkStart w:id="20" w:name="_Toc22949"/>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4</w:t>
            </w:r>
            <w:r>
              <w:rPr>
                <w:rFonts w:hint="eastAsia" w:cs="Times New Roman"/>
                <w:color w:val="auto"/>
                <w:highlight w:val="none"/>
                <w:lang w:val="en-US" w:eastAsia="zh-CN"/>
              </w:rPr>
              <w:t>生态环境</w:t>
            </w:r>
            <w:bookmarkEnd w:id="20"/>
          </w:p>
          <w:p w14:paraId="6AEEDE4F">
            <w:pPr>
              <w:keepNext w:val="0"/>
              <w:keepLines w:val="0"/>
              <w:suppressLineNumbers w:val="0"/>
              <w:spacing w:before="0" w:beforeAutospacing="0" w:after="0" w:afterAutospacing="0"/>
              <w:ind w:left="0" w:right="0" w:firstLine="480" w:firstLineChars="200"/>
              <w:rPr>
                <w:rFonts w:hint="eastAsia" w:ascii="Times New Roman" w:hAnsi="Times New Roman" w:eastAsia="宋体" w:cs="Times New Roman"/>
                <w:color w:val="auto"/>
                <w:highlight w:val="none"/>
                <w:lang w:val="en-US" w:eastAsia="zh-CN"/>
              </w:rPr>
            </w:pPr>
            <w:bookmarkStart w:id="21" w:name="_Toc12834"/>
            <w:r>
              <w:rPr>
                <w:rFonts w:hint="eastAsia" w:cs="Times New Roman"/>
                <w:color w:val="auto"/>
                <w:highlight w:val="none"/>
                <w:lang w:val="en-US" w:eastAsia="zh-CN"/>
              </w:rPr>
              <w:t>本项目位于祁东县官家嘴镇官家嘴村，根据</w:t>
            </w:r>
            <w:r>
              <w:rPr>
                <w:rFonts w:hint="eastAsia" w:ascii="Times New Roman" w:hAnsi="Times New Roman" w:eastAsia="宋体" w:cs="Times New Roman"/>
                <w:color w:val="auto"/>
                <w:highlight w:val="none"/>
                <w:lang w:val="en-US" w:eastAsia="zh-CN"/>
              </w:rPr>
              <w:t>现场踏勘，</w:t>
            </w:r>
            <w:r>
              <w:rPr>
                <w:rFonts w:hint="eastAsia"/>
                <w:color w:val="auto"/>
                <w:highlight w:val="none"/>
                <w:vertAlign w:val="baseline"/>
                <w:lang w:val="en-US" w:eastAsia="zh-CN"/>
              </w:rPr>
              <w:t>项目地周边植被以灌木、草丛和农田为主，现主要野生动物是田鼠、青蛙、山雀等常见物种。</w:t>
            </w:r>
            <w:r>
              <w:rPr>
                <w:rFonts w:hint="eastAsia" w:ascii="Times New Roman" w:hAnsi="Times New Roman" w:eastAsia="宋体" w:cs="Times New Roman"/>
                <w:color w:val="auto"/>
                <w:highlight w:val="none"/>
                <w:lang w:val="en-US" w:eastAsia="zh-CN"/>
              </w:rPr>
              <w:t>项目所在评价范围内无风景名胜区、自然保护区及文化遗产等特殊保护目标，生态环境不属于敏感区</w:t>
            </w:r>
            <w:r>
              <w:rPr>
                <w:rFonts w:hint="eastAsia" w:cs="Times New Roman"/>
                <w:color w:val="auto"/>
                <w:highlight w:val="none"/>
                <w:lang w:val="en-US" w:eastAsia="zh-CN"/>
              </w:rPr>
              <w:t>，</w:t>
            </w:r>
            <w:r>
              <w:rPr>
                <w:rFonts w:hint="eastAsia"/>
                <w:color w:val="auto"/>
                <w:highlight w:val="none"/>
                <w:vertAlign w:val="baseline"/>
                <w:lang w:val="en-US" w:eastAsia="zh-CN"/>
              </w:rPr>
              <w:t>本项目在该地建设对当地生态环境现状影响较小，故不开展生态现状调查</w:t>
            </w:r>
            <w:r>
              <w:rPr>
                <w:rFonts w:hint="eastAsia" w:ascii="Times New Roman" w:hAnsi="Times New Roman" w:eastAsia="宋体" w:cs="Times New Roman"/>
                <w:color w:val="auto"/>
                <w:highlight w:val="none"/>
                <w:lang w:val="en-US" w:eastAsia="zh-CN"/>
              </w:rPr>
              <w:t>。</w:t>
            </w:r>
          </w:p>
          <w:p w14:paraId="6115D912">
            <w:pPr>
              <w:pStyle w:val="2"/>
              <w:keepLines w:val="0"/>
              <w:numPr>
                <w:ilvl w:val="0"/>
                <w:numId w:val="0"/>
              </w:numPr>
              <w:suppressLineNumbers w:val="0"/>
              <w:tabs>
                <w:tab w:val="left" w:pos="0"/>
              </w:tabs>
              <w:bidi w:val="0"/>
              <w:spacing w:before="0" w:beforeAutospacing="0" w:after="0" w:afterAutospacing="0"/>
              <w:ind w:leftChars="0" w:right="0"/>
              <w:rPr>
                <w:rFonts w:hint="eastAsia" w:cs="Times New Roman"/>
                <w:color w:val="auto"/>
                <w:highlight w:val="none"/>
                <w:lang w:val="en-US" w:eastAsia="zh-CN"/>
              </w:rPr>
            </w:pP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5</w:t>
            </w:r>
            <w:r>
              <w:rPr>
                <w:rFonts w:hint="eastAsia" w:cs="Times New Roman"/>
                <w:color w:val="auto"/>
                <w:highlight w:val="none"/>
                <w:lang w:val="en-US" w:eastAsia="zh-CN"/>
              </w:rPr>
              <w:t>电磁辐射</w:t>
            </w:r>
            <w:bookmarkEnd w:id="21"/>
          </w:p>
          <w:p w14:paraId="490F143E">
            <w:pPr>
              <w:keepNext w:val="0"/>
              <w:keepLines w:val="0"/>
              <w:suppressLineNumbers w:val="0"/>
              <w:spacing w:before="0" w:beforeAutospacing="0" w:after="0" w:afterAutospacing="0"/>
              <w:ind w:left="0" w:right="0" w:firstLine="480" w:firstLineChars="200"/>
              <w:rPr>
                <w:rFonts w:hint="eastAsia" w:cs="Times New Roman"/>
                <w:color w:val="auto"/>
                <w:highlight w:val="none"/>
                <w:lang w:val="en-US" w:eastAsia="zh-CN"/>
              </w:rPr>
            </w:pPr>
            <w:r>
              <w:rPr>
                <w:rFonts w:hint="eastAsia" w:cs="Times New Roman"/>
                <w:color w:val="auto"/>
                <w:highlight w:val="none"/>
                <w:lang w:val="en-US" w:eastAsia="zh-CN"/>
              </w:rPr>
              <w:t>本项目不属于新建或改建、扩建广播电台、差转台、电视塔台、卫星地球上行站、雷达等电磁辐射类项目，不开展电磁辐射现状监测与评价。</w:t>
            </w:r>
          </w:p>
          <w:p w14:paraId="55D0B8A6">
            <w:pPr>
              <w:pStyle w:val="2"/>
              <w:keepLines w:val="0"/>
              <w:numPr>
                <w:ilvl w:val="0"/>
                <w:numId w:val="0"/>
              </w:numPr>
              <w:suppressLineNumbers w:val="0"/>
              <w:tabs>
                <w:tab w:val="left" w:pos="0"/>
              </w:tabs>
              <w:bidi w:val="0"/>
              <w:spacing w:before="0" w:beforeAutospacing="0" w:after="0" w:afterAutospacing="0"/>
              <w:ind w:leftChars="0" w:right="0"/>
              <w:rPr>
                <w:rFonts w:hint="default" w:cs="Times New Roman"/>
                <w:color w:val="auto"/>
                <w:highlight w:val="none"/>
                <w:lang w:val="en-US" w:eastAsia="zh-CN"/>
              </w:rPr>
            </w:pPr>
            <w:bookmarkStart w:id="22" w:name="_Toc10864"/>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6</w:t>
            </w:r>
            <w:r>
              <w:rPr>
                <w:rFonts w:hint="eastAsia" w:cs="Times New Roman"/>
                <w:color w:val="auto"/>
                <w:highlight w:val="none"/>
                <w:lang w:val="en-US" w:eastAsia="zh-CN"/>
              </w:rPr>
              <w:t>地下水、土壤</w:t>
            </w:r>
            <w:bookmarkEnd w:id="22"/>
          </w:p>
          <w:p w14:paraId="38AE819E">
            <w:pPr>
              <w:keepNext w:val="0"/>
              <w:keepLines w:val="0"/>
              <w:suppressLineNumbers w:val="0"/>
              <w:spacing w:before="0" w:beforeAutospacing="0" w:after="0" w:afterAutospacing="0"/>
              <w:ind w:left="0" w:right="0" w:firstLine="480" w:firstLineChars="200"/>
              <w:rPr>
                <w:rFonts w:hint="default" w:cs="Times New Roman"/>
                <w:color w:val="auto"/>
                <w:highlight w:val="yellow"/>
                <w:lang w:val="en-US" w:eastAsia="zh-CN"/>
              </w:rPr>
            </w:pPr>
            <w:r>
              <w:rPr>
                <w:rFonts w:hint="eastAsia" w:cs="Times New Roman"/>
                <w:color w:val="auto"/>
                <w:highlight w:val="none"/>
                <w:lang w:val="en-US" w:eastAsia="zh-CN"/>
              </w:rPr>
              <w:t>本项目将采取满足土壤和地下水保护要求的防腐防渗措施，根据《建设项目环境影响报告表编制技术指南（污染影响类）（试行）》要求，原则上可不开展地下水、土壤环境质量现状调查。</w:t>
            </w:r>
          </w:p>
        </w:tc>
      </w:tr>
      <w:tr w14:paraId="4C0437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339" w:hRule="atLeast"/>
          <w:jc w:val="center"/>
        </w:trPr>
        <w:tc>
          <w:tcPr>
            <w:tcW w:w="701" w:type="dxa"/>
            <w:noWrap w:val="0"/>
            <w:vAlign w:val="center"/>
          </w:tcPr>
          <w:p w14:paraId="4451F185">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环境</w:t>
            </w:r>
          </w:p>
          <w:p w14:paraId="2CD6D3FB">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保护</w:t>
            </w:r>
          </w:p>
          <w:p w14:paraId="11A3E23A">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目标</w:t>
            </w:r>
          </w:p>
        </w:tc>
        <w:tc>
          <w:tcPr>
            <w:tcW w:w="8360" w:type="dxa"/>
            <w:noWrap w:val="0"/>
            <w:vAlign w:val="center"/>
          </w:tcPr>
          <w:p w14:paraId="3073E883">
            <w:pPr>
              <w:keepNext w:val="0"/>
              <w:keepLines w:val="0"/>
              <w:suppressLineNumbers w:val="0"/>
              <w:adjustRightInd w:val="0"/>
              <w:snapToGrid w:val="0"/>
              <w:spacing w:before="0" w:beforeAutospacing="0" w:after="0" w:afterAutospacing="0"/>
              <w:ind w:left="0" w:right="0"/>
              <w:jc w:val="both"/>
              <w:rPr>
                <w:rFonts w:hint="eastAsia" w:cs="Times New Roman"/>
                <w:b/>
                <w:bCs/>
                <w:color w:val="auto"/>
                <w:highlight w:val="none"/>
                <w:lang w:val="en-US" w:eastAsia="zh-CN"/>
              </w:rPr>
            </w:pPr>
            <w:r>
              <w:rPr>
                <w:rFonts w:hint="default" w:ascii="Times New Roman" w:hAnsi="Times New Roman" w:cs="Times New Roman"/>
                <w:b/>
                <w:bCs/>
                <w:color w:val="auto"/>
                <w:highlight w:val="none"/>
                <w:lang w:val="en-US" w:eastAsia="zh-CN"/>
              </w:rPr>
              <w:t>3</w:t>
            </w:r>
            <w:r>
              <w:rPr>
                <w:rFonts w:hint="eastAsia" w:cs="Times New Roman"/>
                <w:b/>
                <w:bCs/>
                <w:color w:val="auto"/>
                <w:highlight w:val="none"/>
                <w:lang w:val="en-US" w:eastAsia="zh-CN"/>
              </w:rPr>
              <w:t>.</w:t>
            </w:r>
            <w:r>
              <w:rPr>
                <w:rFonts w:hint="default" w:ascii="Times New Roman" w:hAnsi="Times New Roman" w:cs="Times New Roman"/>
                <w:b/>
                <w:bCs/>
                <w:color w:val="auto"/>
                <w:highlight w:val="none"/>
                <w:lang w:val="en-US" w:eastAsia="zh-CN"/>
              </w:rPr>
              <w:t>2</w:t>
            </w:r>
            <w:r>
              <w:rPr>
                <w:rFonts w:hint="eastAsia" w:cs="Times New Roman"/>
                <w:b/>
                <w:bCs/>
                <w:color w:val="auto"/>
                <w:highlight w:val="none"/>
                <w:lang w:val="en-US" w:eastAsia="zh-CN"/>
              </w:rPr>
              <w:t>主要环境保护目标</w:t>
            </w:r>
          </w:p>
          <w:p w14:paraId="0EE28196">
            <w:pPr>
              <w:keepNext w:val="0"/>
              <w:keepLines w:val="0"/>
              <w:suppressLineNumbers w:val="0"/>
              <w:adjustRightInd w:val="0"/>
              <w:snapToGrid w:val="0"/>
              <w:spacing w:before="0" w:beforeAutospacing="0" w:after="0" w:afterAutospacing="0"/>
              <w:ind w:left="0" w:right="0" w:firstLine="480" w:firstLineChars="200"/>
              <w:jc w:val="both"/>
              <w:rPr>
                <w:rFonts w:hint="default" w:cs="Times New Roman"/>
                <w:color w:val="auto"/>
                <w:highlight w:val="none"/>
                <w:lang w:val="en-US" w:eastAsia="zh-CN"/>
              </w:rPr>
            </w:pPr>
            <w:r>
              <w:rPr>
                <w:rFonts w:hint="default" w:cs="Times New Roman"/>
                <w:color w:val="auto"/>
                <w:highlight w:val="none"/>
                <w:lang w:val="en-US" w:eastAsia="zh-CN"/>
              </w:rPr>
              <w:t>环境保护目标主要是评价范围内可能受影响的附近居民居住区及河流。项目附近主要环境</w:t>
            </w:r>
            <w:r>
              <w:rPr>
                <w:rFonts w:hint="eastAsia" w:cs="Times New Roman"/>
                <w:color w:val="auto"/>
                <w:highlight w:val="none"/>
                <w:lang w:val="en-US" w:eastAsia="zh-CN"/>
              </w:rPr>
              <w:t>保护目标</w:t>
            </w:r>
            <w:r>
              <w:rPr>
                <w:rFonts w:hint="default" w:cs="Times New Roman"/>
                <w:color w:val="auto"/>
                <w:highlight w:val="none"/>
                <w:lang w:val="en-US" w:eastAsia="zh-CN"/>
              </w:rPr>
              <w:t>详见下表：</w:t>
            </w:r>
          </w:p>
          <w:p w14:paraId="37CEDCC4">
            <w:pPr>
              <w:pStyle w:val="36"/>
              <w:keepLines w:val="0"/>
              <w:numPr>
                <w:ilvl w:val="3"/>
                <w:numId w:val="0"/>
              </w:numPr>
              <w:suppressLineNumbers w:val="0"/>
              <w:tabs>
                <w:tab w:val="left" w:pos="0"/>
              </w:tabs>
              <w:bidi w:val="0"/>
              <w:spacing w:before="0" w:beforeAutospacing="0" w:after="0" w:afterAutospacing="0"/>
              <w:ind w:left="0" w:leftChars="0" w:right="0" w:firstLine="0" w:firstLineChars="0"/>
              <w:rPr>
                <w:rFonts w:hint="default" w:cs="Times New Roman"/>
                <w:color w:val="auto"/>
                <w:highlight w:val="none"/>
                <w:u w:val="none"/>
                <w:lang w:val="en-US" w:eastAsia="zh-CN"/>
              </w:rPr>
            </w:pPr>
            <w:r>
              <w:rPr>
                <w:rFonts w:hint="default" w:ascii="Times New Roman" w:hAnsi="Times New Roman" w:eastAsia="宋体" w:cs="Times New Roman"/>
                <w:b/>
                <w:bCs/>
                <w:color w:val="auto"/>
                <w:kern w:val="2"/>
                <w:sz w:val="21"/>
                <w:szCs w:val="21"/>
                <w:highlight w:val="none"/>
                <w:u w:val="none"/>
                <w:lang w:val="en-US" w:eastAsia="zh-CN" w:bidi="ar-SA"/>
              </w:rPr>
              <w:t>表</w:t>
            </w:r>
            <w:r>
              <w:rPr>
                <w:rFonts w:hint="default" w:ascii="Times New Roman" w:hAnsi="Times New Roman" w:cs="Times New Roman"/>
                <w:b/>
                <w:bCs/>
                <w:color w:val="auto"/>
                <w:kern w:val="2"/>
                <w:sz w:val="21"/>
                <w:szCs w:val="21"/>
                <w:highlight w:val="none"/>
                <w:u w:val="none"/>
                <w:lang w:val="en-US" w:eastAsia="zh-CN" w:bidi="ar-SA"/>
              </w:rPr>
              <w:t>3</w:t>
            </w:r>
            <w:r>
              <w:rPr>
                <w:rFonts w:hint="eastAsia" w:cs="Times New Roman"/>
                <w:b/>
                <w:bCs/>
                <w:color w:val="auto"/>
                <w:kern w:val="2"/>
                <w:sz w:val="21"/>
                <w:szCs w:val="21"/>
                <w:highlight w:val="none"/>
                <w:u w:val="none"/>
                <w:lang w:val="en-US" w:eastAsia="zh-CN" w:bidi="ar-SA"/>
              </w:rPr>
              <w:t xml:space="preserve">.2-1  </w:t>
            </w:r>
            <w:r>
              <w:rPr>
                <w:rFonts w:hint="eastAsia" w:cs="Times New Roman"/>
                <w:color w:val="auto"/>
                <w:highlight w:val="none"/>
                <w:u w:val="none"/>
                <w:lang w:val="en-US" w:eastAsia="zh-CN"/>
              </w:rPr>
              <w:t>项目主要环境保护目标</w:t>
            </w:r>
          </w:p>
          <w:tbl>
            <w:tblPr>
              <w:tblStyle w:val="28"/>
              <w:tblW w:w="795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4"/>
              <w:gridCol w:w="1134"/>
              <w:gridCol w:w="1888"/>
              <w:gridCol w:w="1693"/>
              <w:gridCol w:w="2129"/>
            </w:tblGrid>
            <w:tr w14:paraId="39C5B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noWrap w:val="0"/>
                  <w:vAlign w:val="center"/>
                </w:tcPr>
                <w:p w14:paraId="60BFA588">
                  <w:pPr>
                    <w:pStyle w:val="37"/>
                    <w:keepNext w:val="0"/>
                    <w:keepLines w:val="0"/>
                    <w:suppressLineNumbers w:val="0"/>
                    <w:bidi w:val="0"/>
                    <w:spacing w:before="0" w:beforeAutospacing="0" w:after="0" w:afterAutospacing="0"/>
                    <w:ind w:left="0" w:right="0"/>
                    <w:rPr>
                      <w:rFonts w:hint="default" w:cs="Times New Roman"/>
                      <w:b/>
                      <w:bCs/>
                      <w:color w:val="auto"/>
                      <w:highlight w:val="none"/>
                      <w:u w:val="none"/>
                    </w:rPr>
                  </w:pPr>
                  <w:r>
                    <w:rPr>
                      <w:rFonts w:hint="default" w:cs="Times New Roman"/>
                      <w:b/>
                      <w:bCs/>
                      <w:color w:val="auto"/>
                      <w:highlight w:val="none"/>
                      <w:u w:val="none"/>
                    </w:rPr>
                    <w:t>类别</w:t>
                  </w:r>
                </w:p>
              </w:tc>
              <w:tc>
                <w:tcPr>
                  <w:tcW w:w="712" w:type="pct"/>
                  <w:noWrap w:val="0"/>
                  <w:vAlign w:val="center"/>
                </w:tcPr>
                <w:p w14:paraId="4CA5B336">
                  <w:pPr>
                    <w:pStyle w:val="37"/>
                    <w:keepNext w:val="0"/>
                    <w:keepLines w:val="0"/>
                    <w:suppressLineNumbers w:val="0"/>
                    <w:bidi w:val="0"/>
                    <w:spacing w:before="0" w:beforeAutospacing="0" w:after="0" w:afterAutospacing="0"/>
                    <w:ind w:left="0" w:right="0"/>
                    <w:rPr>
                      <w:rFonts w:hint="default" w:cs="Times New Roman"/>
                      <w:b/>
                      <w:bCs/>
                      <w:color w:val="auto"/>
                      <w:highlight w:val="none"/>
                      <w:u w:val="none"/>
                    </w:rPr>
                  </w:pPr>
                  <w:r>
                    <w:rPr>
                      <w:rFonts w:hint="default" w:cs="Times New Roman"/>
                      <w:b/>
                      <w:bCs/>
                      <w:color w:val="auto"/>
                      <w:highlight w:val="none"/>
                      <w:u w:val="none"/>
                    </w:rPr>
                    <w:t>环境保护目标</w:t>
                  </w:r>
                </w:p>
              </w:tc>
              <w:tc>
                <w:tcPr>
                  <w:tcW w:w="1186" w:type="pct"/>
                  <w:noWrap w:val="0"/>
                  <w:vAlign w:val="center"/>
                </w:tcPr>
                <w:p w14:paraId="4FE188FC">
                  <w:pPr>
                    <w:pStyle w:val="37"/>
                    <w:keepNext w:val="0"/>
                    <w:keepLines w:val="0"/>
                    <w:suppressLineNumbers w:val="0"/>
                    <w:bidi w:val="0"/>
                    <w:spacing w:before="0" w:beforeAutospacing="0" w:after="0" w:afterAutospacing="0"/>
                    <w:ind w:left="0" w:right="0"/>
                    <w:rPr>
                      <w:rFonts w:hint="default" w:cs="Times New Roman"/>
                      <w:b/>
                      <w:bCs/>
                      <w:color w:val="auto"/>
                      <w:highlight w:val="none"/>
                      <w:u w:val="none"/>
                    </w:rPr>
                  </w:pPr>
                  <w:r>
                    <w:rPr>
                      <w:rFonts w:hint="default" w:cs="Times New Roman"/>
                      <w:b/>
                      <w:bCs/>
                      <w:color w:val="auto"/>
                      <w:highlight w:val="none"/>
                      <w:u w:val="none"/>
                    </w:rPr>
                    <w:t>规模、功能</w:t>
                  </w:r>
                </w:p>
              </w:tc>
              <w:tc>
                <w:tcPr>
                  <w:tcW w:w="1063" w:type="pct"/>
                  <w:noWrap w:val="0"/>
                  <w:vAlign w:val="center"/>
                </w:tcPr>
                <w:p w14:paraId="5E6916B9">
                  <w:pPr>
                    <w:pStyle w:val="37"/>
                    <w:keepNext w:val="0"/>
                    <w:keepLines w:val="0"/>
                    <w:suppressLineNumbers w:val="0"/>
                    <w:bidi w:val="0"/>
                    <w:spacing w:before="0" w:beforeAutospacing="0" w:after="0" w:afterAutospacing="0"/>
                    <w:ind w:left="0" w:right="0"/>
                    <w:rPr>
                      <w:rFonts w:hint="default" w:cs="Times New Roman"/>
                      <w:b/>
                      <w:bCs/>
                      <w:color w:val="auto"/>
                      <w:highlight w:val="none"/>
                      <w:u w:val="none"/>
                    </w:rPr>
                  </w:pPr>
                  <w:r>
                    <w:rPr>
                      <w:rFonts w:hint="default" w:cs="Times New Roman"/>
                      <w:b/>
                      <w:bCs/>
                      <w:color w:val="auto"/>
                      <w:highlight w:val="none"/>
                      <w:u w:val="none"/>
                    </w:rPr>
                    <w:t>相对厂界方位及距离</w:t>
                  </w:r>
                </w:p>
              </w:tc>
              <w:tc>
                <w:tcPr>
                  <w:tcW w:w="1337" w:type="pct"/>
                  <w:noWrap w:val="0"/>
                  <w:vAlign w:val="center"/>
                </w:tcPr>
                <w:p w14:paraId="439B811A">
                  <w:pPr>
                    <w:pStyle w:val="37"/>
                    <w:keepNext w:val="0"/>
                    <w:keepLines w:val="0"/>
                    <w:suppressLineNumbers w:val="0"/>
                    <w:bidi w:val="0"/>
                    <w:spacing w:before="0" w:beforeAutospacing="0" w:after="0" w:afterAutospacing="0"/>
                    <w:ind w:left="0" w:right="0"/>
                    <w:rPr>
                      <w:rFonts w:hint="default" w:eastAsia="宋体" w:cs="Times New Roman"/>
                      <w:b/>
                      <w:bCs/>
                      <w:color w:val="auto"/>
                      <w:highlight w:val="none"/>
                      <w:u w:val="none"/>
                      <w:lang w:val="en-US" w:eastAsia="zh-CN"/>
                    </w:rPr>
                  </w:pPr>
                  <w:r>
                    <w:rPr>
                      <w:rFonts w:hint="eastAsia" w:cs="Times New Roman"/>
                      <w:b/>
                      <w:bCs/>
                      <w:color w:val="auto"/>
                      <w:highlight w:val="none"/>
                      <w:u w:val="none"/>
                      <w:lang w:val="en-US" w:eastAsia="zh-CN"/>
                    </w:rPr>
                    <w:t>保护级别</w:t>
                  </w:r>
                </w:p>
              </w:tc>
            </w:tr>
            <w:tr w14:paraId="456A5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vMerge w:val="restart"/>
                  <w:noWrap w:val="0"/>
                  <w:vAlign w:val="center"/>
                </w:tcPr>
                <w:p w14:paraId="1F7E5135">
                  <w:pPr>
                    <w:pStyle w:val="37"/>
                    <w:keepNext w:val="0"/>
                    <w:keepLines w:val="0"/>
                    <w:suppressLineNumbers w:val="0"/>
                    <w:bidi w:val="0"/>
                    <w:spacing w:before="0" w:beforeAutospacing="0" w:after="0" w:afterAutospacing="0"/>
                    <w:ind w:left="0" w:right="0"/>
                    <w:rPr>
                      <w:rFonts w:hint="default" w:cs="Times New Roman"/>
                      <w:color w:val="auto"/>
                      <w:highlight w:val="none"/>
                      <w:u w:val="none"/>
                    </w:rPr>
                  </w:pPr>
                  <w:r>
                    <w:rPr>
                      <w:rFonts w:hint="default" w:cs="Times New Roman"/>
                      <w:color w:val="auto"/>
                      <w:highlight w:val="none"/>
                      <w:u w:val="none"/>
                    </w:rPr>
                    <w:t>环境空气</w:t>
                  </w:r>
                </w:p>
                <w:p w14:paraId="5419FA5F">
                  <w:pPr>
                    <w:pStyle w:val="37"/>
                    <w:keepNext w:val="0"/>
                    <w:keepLines w:val="0"/>
                    <w:suppressLineNumbers w:val="0"/>
                    <w:bidi w:val="0"/>
                    <w:spacing w:before="0" w:beforeAutospacing="0" w:after="0" w:afterAutospacing="0"/>
                    <w:ind w:left="0" w:right="0"/>
                    <w:rPr>
                      <w:rFonts w:hint="eastAsia" w:eastAsia="宋体" w:cs="Times New Roman"/>
                      <w:color w:val="auto"/>
                      <w:highlight w:val="none"/>
                      <w:u w:val="none"/>
                      <w:lang w:eastAsia="zh-CN"/>
                    </w:rPr>
                  </w:pPr>
                  <w:r>
                    <w:rPr>
                      <w:rFonts w:hint="eastAsia" w:cs="Times New Roman"/>
                      <w:color w:val="auto"/>
                      <w:highlight w:val="none"/>
                      <w:u w:val="none"/>
                      <w:lang w:eastAsia="zh-CN"/>
                    </w:rPr>
                    <w:t>（</w:t>
                  </w:r>
                  <w:r>
                    <w:rPr>
                      <w:rFonts w:hint="default" w:ascii="Times New Roman" w:hAnsi="Times New Roman" w:cs="Times New Roman"/>
                      <w:color w:val="auto"/>
                      <w:highlight w:val="none"/>
                      <w:u w:val="none"/>
                      <w:lang w:val="en-US" w:eastAsia="zh-CN"/>
                    </w:rPr>
                    <w:t>500m</w:t>
                  </w:r>
                  <w:r>
                    <w:rPr>
                      <w:rFonts w:hint="eastAsia" w:cs="Times New Roman"/>
                      <w:color w:val="auto"/>
                      <w:highlight w:val="none"/>
                      <w:u w:val="none"/>
                      <w:lang w:eastAsia="zh-CN"/>
                    </w:rPr>
                    <w:t>）</w:t>
                  </w:r>
                </w:p>
              </w:tc>
              <w:tc>
                <w:tcPr>
                  <w:tcW w:w="712" w:type="pct"/>
                  <w:noWrap w:val="0"/>
                  <w:vAlign w:val="center"/>
                </w:tcPr>
                <w:p w14:paraId="5875A468">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官家嘴镇</w:t>
                  </w:r>
                </w:p>
              </w:tc>
              <w:tc>
                <w:tcPr>
                  <w:tcW w:w="1186" w:type="pct"/>
                  <w:noWrap w:val="0"/>
                  <w:vAlign w:val="center"/>
                </w:tcPr>
                <w:p w14:paraId="62D38AFC">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居住、约3000人</w:t>
                  </w:r>
                </w:p>
              </w:tc>
              <w:tc>
                <w:tcPr>
                  <w:tcW w:w="1063" w:type="pct"/>
                  <w:noWrap w:val="0"/>
                  <w:vAlign w:val="center"/>
                </w:tcPr>
                <w:p w14:paraId="0AF00798">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东面100~500m</w:t>
                  </w:r>
                </w:p>
              </w:tc>
              <w:tc>
                <w:tcPr>
                  <w:tcW w:w="1337" w:type="pct"/>
                  <w:vMerge w:val="restart"/>
                  <w:noWrap w:val="0"/>
                  <w:vAlign w:val="center"/>
                </w:tcPr>
                <w:p w14:paraId="713EABD9">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r>
                    <w:rPr>
                      <w:rFonts w:hint="eastAsia"/>
                      <w:color w:val="auto"/>
                      <w:lang w:val="en-US" w:eastAsia="zh-CN"/>
                    </w:rPr>
                    <w:t>《环境空气质量标准》（GB3095-2012）</w:t>
                  </w:r>
                  <w:r>
                    <w:rPr>
                      <w:rFonts w:hint="default"/>
                      <w:color w:val="auto"/>
                      <w:lang w:val="en-US" w:eastAsia="zh-CN"/>
                    </w:rPr>
                    <w:t>中二级标准</w:t>
                  </w:r>
                </w:p>
              </w:tc>
            </w:tr>
            <w:tr w14:paraId="7DA05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vMerge w:val="continue"/>
                  <w:noWrap w:val="0"/>
                  <w:vAlign w:val="center"/>
                </w:tcPr>
                <w:p w14:paraId="474421A6">
                  <w:pPr>
                    <w:pStyle w:val="37"/>
                    <w:keepNext w:val="0"/>
                    <w:keepLines w:val="0"/>
                    <w:suppressLineNumbers w:val="0"/>
                    <w:bidi w:val="0"/>
                    <w:spacing w:before="0" w:beforeAutospacing="0" w:after="0" w:afterAutospacing="0"/>
                    <w:ind w:left="0" w:right="0"/>
                    <w:rPr>
                      <w:rFonts w:hint="default" w:cs="Times New Roman"/>
                      <w:color w:val="auto"/>
                      <w:highlight w:val="none"/>
                      <w:u w:val="none"/>
                    </w:rPr>
                  </w:pPr>
                </w:p>
              </w:tc>
              <w:tc>
                <w:tcPr>
                  <w:tcW w:w="712" w:type="pct"/>
                  <w:noWrap w:val="0"/>
                  <w:vAlign w:val="center"/>
                </w:tcPr>
                <w:p w14:paraId="0265ABC7">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官家嘴村</w:t>
                  </w:r>
                </w:p>
              </w:tc>
              <w:tc>
                <w:tcPr>
                  <w:tcW w:w="1186" w:type="pct"/>
                  <w:noWrap w:val="0"/>
                  <w:vAlign w:val="center"/>
                </w:tcPr>
                <w:p w14:paraId="48747FF7">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居住、约170人</w:t>
                  </w:r>
                </w:p>
              </w:tc>
              <w:tc>
                <w:tcPr>
                  <w:tcW w:w="1063" w:type="pct"/>
                  <w:noWrap w:val="0"/>
                  <w:vAlign w:val="center"/>
                </w:tcPr>
                <w:p w14:paraId="23824B24">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北面5~500m</w:t>
                  </w:r>
                </w:p>
              </w:tc>
              <w:tc>
                <w:tcPr>
                  <w:tcW w:w="1337" w:type="pct"/>
                  <w:vMerge w:val="continue"/>
                  <w:noWrap w:val="0"/>
                  <w:vAlign w:val="center"/>
                </w:tcPr>
                <w:p w14:paraId="3E41B252">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r>
            <w:tr w14:paraId="1CC7B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vMerge w:val="continue"/>
                  <w:noWrap w:val="0"/>
                  <w:vAlign w:val="center"/>
                </w:tcPr>
                <w:p w14:paraId="5015EC1D">
                  <w:pPr>
                    <w:pStyle w:val="37"/>
                    <w:keepNext w:val="0"/>
                    <w:keepLines w:val="0"/>
                    <w:suppressLineNumbers w:val="0"/>
                    <w:bidi w:val="0"/>
                    <w:spacing w:before="0" w:beforeAutospacing="0" w:after="0" w:afterAutospacing="0"/>
                    <w:ind w:left="0" w:right="0"/>
                    <w:rPr>
                      <w:rFonts w:hint="default" w:cs="Times New Roman"/>
                      <w:color w:val="auto"/>
                      <w:highlight w:val="none"/>
                      <w:u w:val="none"/>
                    </w:rPr>
                  </w:pPr>
                </w:p>
              </w:tc>
              <w:tc>
                <w:tcPr>
                  <w:tcW w:w="712" w:type="pct"/>
                  <w:noWrap w:val="0"/>
                  <w:vAlign w:val="center"/>
                </w:tcPr>
                <w:p w14:paraId="70AE1CEA">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官家嘴村</w:t>
                  </w:r>
                </w:p>
              </w:tc>
              <w:tc>
                <w:tcPr>
                  <w:tcW w:w="1186" w:type="pct"/>
                  <w:noWrap w:val="0"/>
                  <w:vAlign w:val="center"/>
                </w:tcPr>
                <w:p w14:paraId="59FC5DC1">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居住、约210人</w:t>
                  </w:r>
                </w:p>
              </w:tc>
              <w:tc>
                <w:tcPr>
                  <w:tcW w:w="1063" w:type="pct"/>
                  <w:noWrap w:val="0"/>
                  <w:vAlign w:val="center"/>
                </w:tcPr>
                <w:p w14:paraId="53D8F88B">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西面57~500m</w:t>
                  </w:r>
                </w:p>
              </w:tc>
              <w:tc>
                <w:tcPr>
                  <w:tcW w:w="1337" w:type="pct"/>
                  <w:vMerge w:val="continue"/>
                  <w:noWrap w:val="0"/>
                  <w:vAlign w:val="center"/>
                </w:tcPr>
                <w:p w14:paraId="1D71CCE8">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r>
            <w:tr w14:paraId="17885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vMerge w:val="continue"/>
                  <w:noWrap w:val="0"/>
                  <w:vAlign w:val="center"/>
                </w:tcPr>
                <w:p w14:paraId="6E977B6B">
                  <w:pPr>
                    <w:pStyle w:val="37"/>
                    <w:keepNext w:val="0"/>
                    <w:keepLines w:val="0"/>
                    <w:suppressLineNumbers w:val="0"/>
                    <w:bidi w:val="0"/>
                    <w:spacing w:before="0" w:beforeAutospacing="0" w:after="0" w:afterAutospacing="0"/>
                    <w:ind w:left="0" w:right="0"/>
                    <w:rPr>
                      <w:rFonts w:hint="default" w:cs="Times New Roman"/>
                      <w:color w:val="auto"/>
                      <w:highlight w:val="none"/>
                      <w:u w:val="none"/>
                    </w:rPr>
                  </w:pPr>
                </w:p>
              </w:tc>
              <w:tc>
                <w:tcPr>
                  <w:tcW w:w="712" w:type="pct"/>
                  <w:noWrap w:val="0"/>
                  <w:vAlign w:val="center"/>
                </w:tcPr>
                <w:p w14:paraId="337C3454">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泉井村</w:t>
                  </w:r>
                </w:p>
              </w:tc>
              <w:tc>
                <w:tcPr>
                  <w:tcW w:w="1186" w:type="pct"/>
                  <w:noWrap w:val="0"/>
                  <w:vAlign w:val="center"/>
                </w:tcPr>
                <w:p w14:paraId="5E7B6DF5">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居住、约100人</w:t>
                  </w:r>
                </w:p>
              </w:tc>
              <w:tc>
                <w:tcPr>
                  <w:tcW w:w="1063" w:type="pct"/>
                  <w:noWrap w:val="0"/>
                  <w:vAlign w:val="center"/>
                </w:tcPr>
                <w:p w14:paraId="4236E0BD">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西南面260~500m</w:t>
                  </w:r>
                </w:p>
              </w:tc>
              <w:tc>
                <w:tcPr>
                  <w:tcW w:w="1337" w:type="pct"/>
                  <w:vMerge w:val="continue"/>
                  <w:noWrap w:val="0"/>
                  <w:vAlign w:val="center"/>
                </w:tcPr>
                <w:p w14:paraId="3BE827EA">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r>
            <w:tr w14:paraId="5FF79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noWrap w:val="0"/>
                  <w:vAlign w:val="center"/>
                </w:tcPr>
                <w:p w14:paraId="150209EF">
                  <w:pPr>
                    <w:pStyle w:val="37"/>
                    <w:keepNext w:val="0"/>
                    <w:keepLines w:val="0"/>
                    <w:suppressLineNumbers w:val="0"/>
                    <w:bidi w:val="0"/>
                    <w:spacing w:before="0" w:beforeAutospacing="0" w:after="0" w:afterAutospacing="0"/>
                    <w:ind w:left="0" w:right="0"/>
                    <w:rPr>
                      <w:rFonts w:hint="default" w:cs="Times New Roman"/>
                      <w:color w:val="auto"/>
                      <w:highlight w:val="none"/>
                      <w:u w:val="none"/>
                    </w:rPr>
                  </w:pPr>
                  <w:r>
                    <w:rPr>
                      <w:rFonts w:hint="default" w:cs="Times New Roman"/>
                      <w:color w:val="auto"/>
                      <w:highlight w:val="none"/>
                      <w:u w:val="none"/>
                    </w:rPr>
                    <w:t>地表水</w:t>
                  </w:r>
                </w:p>
              </w:tc>
              <w:tc>
                <w:tcPr>
                  <w:tcW w:w="712" w:type="pct"/>
                  <w:noWrap w:val="0"/>
                  <w:vAlign w:val="center"/>
                </w:tcPr>
                <w:p w14:paraId="4CAB960C">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黄狮江</w:t>
                  </w:r>
                </w:p>
              </w:tc>
              <w:tc>
                <w:tcPr>
                  <w:tcW w:w="1186" w:type="pct"/>
                  <w:noWrap w:val="0"/>
                  <w:vAlign w:val="center"/>
                </w:tcPr>
                <w:p w14:paraId="41CAED64">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小河</w:t>
                  </w:r>
                </w:p>
              </w:tc>
              <w:tc>
                <w:tcPr>
                  <w:tcW w:w="1063" w:type="pct"/>
                  <w:noWrap w:val="0"/>
                  <w:vAlign w:val="center"/>
                </w:tcPr>
                <w:p w14:paraId="2E3293CB">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s="Times New Roman"/>
                      <w:color w:val="auto"/>
                      <w:highlight w:val="none"/>
                      <w:u w:val="none"/>
                      <w:lang w:val="en-US" w:eastAsia="zh-CN"/>
                    </w:rPr>
                    <w:t>东南面75m</w:t>
                  </w:r>
                </w:p>
              </w:tc>
              <w:tc>
                <w:tcPr>
                  <w:tcW w:w="1337" w:type="pct"/>
                  <w:noWrap w:val="0"/>
                  <w:vAlign w:val="center"/>
                </w:tcPr>
                <w:p w14:paraId="6CA1028D">
                  <w:pPr>
                    <w:pStyle w:val="37"/>
                    <w:keepNext w:val="0"/>
                    <w:keepLines w:val="0"/>
                    <w:suppressLineNumbers w:val="0"/>
                    <w:bidi w:val="0"/>
                    <w:spacing w:before="0" w:beforeAutospacing="0" w:after="0" w:afterAutospacing="0"/>
                    <w:ind w:left="0" w:right="0"/>
                    <w:rPr>
                      <w:rFonts w:hint="default" w:eastAsia="宋体" w:cs="Times New Roman"/>
                      <w:color w:val="auto"/>
                      <w:highlight w:val="none"/>
                      <w:u w:val="none"/>
                      <w:lang w:val="en-US" w:eastAsia="zh-CN"/>
                    </w:rPr>
                  </w:pPr>
                  <w:r>
                    <w:rPr>
                      <w:rFonts w:hint="eastAsia"/>
                      <w:color w:val="auto"/>
                      <w:lang w:val="en-US" w:eastAsia="zh-CN"/>
                    </w:rPr>
                    <w:t>《地表水环境质量标准》（GB3838-2002）</w:t>
                  </w:r>
                  <w:r>
                    <w:rPr>
                      <w:rFonts w:hint="eastAsia"/>
                      <w:color w:val="auto"/>
                      <w:lang w:val="en-US" w:eastAsia="zh-CN"/>
                    </w:rPr>
                    <w:fldChar w:fldCharType="begin"/>
                  </w:r>
                  <w:r>
                    <w:rPr>
                      <w:rFonts w:hint="eastAsia"/>
                      <w:color w:val="auto"/>
                      <w:lang w:val="en-US" w:eastAsia="zh-CN"/>
                    </w:rPr>
                    <w:instrText xml:space="preserve"> = 3 \* ROMAN \* MERGEFORMAT </w:instrText>
                  </w:r>
                  <w:r>
                    <w:rPr>
                      <w:rFonts w:hint="eastAsia"/>
                      <w:color w:val="auto"/>
                      <w:lang w:val="en-US" w:eastAsia="zh-CN"/>
                    </w:rPr>
                    <w:fldChar w:fldCharType="separate"/>
                  </w:r>
                  <w:r>
                    <w:rPr>
                      <w:rFonts w:hint="default"/>
                      <w:color w:val="auto"/>
                    </w:rPr>
                    <w:t>III</w:t>
                  </w:r>
                  <w:r>
                    <w:rPr>
                      <w:rFonts w:hint="eastAsia"/>
                      <w:color w:val="auto"/>
                      <w:lang w:val="en-US" w:eastAsia="zh-CN"/>
                    </w:rPr>
                    <w:fldChar w:fldCharType="end"/>
                  </w:r>
                  <w:r>
                    <w:rPr>
                      <w:rFonts w:hint="eastAsia"/>
                      <w:color w:val="auto"/>
                      <w:lang w:val="en-US" w:eastAsia="zh-CN"/>
                    </w:rPr>
                    <w:t>类标准</w:t>
                  </w:r>
                </w:p>
              </w:tc>
            </w:tr>
            <w:tr w14:paraId="25513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noWrap w:val="0"/>
                  <w:vAlign w:val="center"/>
                </w:tcPr>
                <w:p w14:paraId="32CA0967">
                  <w:pPr>
                    <w:pStyle w:val="37"/>
                    <w:keepNext w:val="0"/>
                    <w:keepLines w:val="0"/>
                    <w:suppressLineNumbers w:val="0"/>
                    <w:bidi w:val="0"/>
                    <w:spacing w:before="0" w:beforeAutospacing="0" w:after="0" w:afterAutospacing="0"/>
                    <w:ind w:left="0" w:right="0"/>
                    <w:rPr>
                      <w:rFonts w:hint="default" w:cs="Times New Roman"/>
                      <w:color w:val="auto"/>
                      <w:highlight w:val="none"/>
                      <w:u w:val="none"/>
                    </w:rPr>
                  </w:pPr>
                  <w:r>
                    <w:rPr>
                      <w:rFonts w:hint="default" w:cs="Times New Roman"/>
                      <w:color w:val="auto"/>
                      <w:highlight w:val="none"/>
                      <w:u w:val="none"/>
                    </w:rPr>
                    <w:t>声环境</w:t>
                  </w:r>
                </w:p>
              </w:tc>
              <w:tc>
                <w:tcPr>
                  <w:tcW w:w="712" w:type="pct"/>
                  <w:noWrap w:val="0"/>
                  <w:vAlign w:val="center"/>
                </w:tcPr>
                <w:p w14:paraId="56368B18">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官家嘴村</w:t>
                  </w:r>
                </w:p>
              </w:tc>
              <w:tc>
                <w:tcPr>
                  <w:tcW w:w="1186" w:type="pct"/>
                  <w:noWrap w:val="0"/>
                  <w:vAlign w:val="center"/>
                </w:tcPr>
                <w:p w14:paraId="6B54D0CF">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居住、约50人</w:t>
                  </w:r>
                </w:p>
              </w:tc>
              <w:tc>
                <w:tcPr>
                  <w:tcW w:w="1063" w:type="pct"/>
                  <w:noWrap w:val="0"/>
                  <w:vAlign w:val="center"/>
                </w:tcPr>
                <w:p w14:paraId="6185F236">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北面5~50m</w:t>
                  </w:r>
                </w:p>
              </w:tc>
              <w:tc>
                <w:tcPr>
                  <w:tcW w:w="1337" w:type="pct"/>
                  <w:noWrap w:val="0"/>
                  <w:vAlign w:val="center"/>
                </w:tcPr>
                <w:p w14:paraId="30CC4911">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default"/>
                      <w:color w:val="auto"/>
                      <w:lang w:val="en-US" w:eastAsia="zh-CN"/>
                    </w:rPr>
                    <w:t>《声环境质量标准》（GB3096-2008）2类标准</w:t>
                  </w:r>
                </w:p>
              </w:tc>
            </w:tr>
            <w:tr w14:paraId="029D2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noWrap w:val="0"/>
                  <w:vAlign w:val="center"/>
                </w:tcPr>
                <w:p w14:paraId="1CE21217">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r>
                    <w:rPr>
                      <w:rFonts w:hint="eastAsia" w:cs="Times New Roman"/>
                      <w:color w:val="auto"/>
                      <w:highlight w:val="none"/>
                      <w:u w:val="none"/>
                      <w:lang w:val="en-US" w:eastAsia="zh-CN"/>
                    </w:rPr>
                    <w:t>地下水</w:t>
                  </w:r>
                </w:p>
              </w:tc>
              <w:tc>
                <w:tcPr>
                  <w:tcW w:w="2961" w:type="pct"/>
                  <w:gridSpan w:val="3"/>
                  <w:noWrap w:val="0"/>
                  <w:vAlign w:val="center"/>
                </w:tcPr>
                <w:p w14:paraId="51A7797A">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厂界外</w:t>
                  </w:r>
                  <w:r>
                    <w:rPr>
                      <w:rFonts w:hint="default" w:cs="Times New Roman"/>
                      <w:color w:val="auto"/>
                      <w:highlight w:val="none"/>
                      <w:u w:val="none"/>
                      <w:lang w:val="en-US" w:eastAsia="zh-CN"/>
                    </w:rPr>
                    <w:t>500</w:t>
                  </w:r>
                  <w:r>
                    <w:rPr>
                      <w:rFonts w:hint="eastAsia" w:cs="Times New Roman"/>
                      <w:color w:val="auto"/>
                      <w:highlight w:val="none"/>
                      <w:u w:val="none"/>
                      <w:lang w:val="en-US" w:eastAsia="zh-CN"/>
                    </w:rPr>
                    <w:t>米范围内无地下水集中式饮用水水源和热水、矿泉水、温泉等特殊地下水资源</w:t>
                  </w:r>
                </w:p>
              </w:tc>
              <w:tc>
                <w:tcPr>
                  <w:tcW w:w="1337" w:type="pct"/>
                  <w:noWrap w:val="0"/>
                  <w:vAlign w:val="center"/>
                </w:tcPr>
                <w:p w14:paraId="65910A65">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r>
                    <w:rPr>
                      <w:rFonts w:hint="eastAsia" w:cs="Times New Roman"/>
                      <w:color w:val="auto"/>
                      <w:highlight w:val="none"/>
                      <w:u w:val="none"/>
                      <w:lang w:val="en-US" w:eastAsia="zh-CN"/>
                    </w:rPr>
                    <w:t>《地下水质量标准》（GB/T14848-2017）</w:t>
                  </w:r>
                  <w:r>
                    <w:rPr>
                      <w:rFonts w:hint="eastAsia"/>
                      <w:color w:val="auto"/>
                      <w:lang w:val="en-US" w:eastAsia="zh-CN"/>
                    </w:rPr>
                    <w:fldChar w:fldCharType="begin"/>
                  </w:r>
                  <w:r>
                    <w:rPr>
                      <w:rFonts w:hint="eastAsia"/>
                      <w:color w:val="auto"/>
                      <w:lang w:val="en-US" w:eastAsia="zh-CN"/>
                    </w:rPr>
                    <w:instrText xml:space="preserve"> = 3 \* ROMAN \* MERGEFORMAT </w:instrText>
                  </w:r>
                  <w:r>
                    <w:rPr>
                      <w:rFonts w:hint="eastAsia"/>
                      <w:color w:val="auto"/>
                      <w:lang w:val="en-US" w:eastAsia="zh-CN"/>
                    </w:rPr>
                    <w:fldChar w:fldCharType="separate"/>
                  </w:r>
                  <w:r>
                    <w:rPr>
                      <w:rFonts w:hint="default"/>
                      <w:color w:val="auto"/>
                    </w:rPr>
                    <w:t>III</w:t>
                  </w:r>
                  <w:r>
                    <w:rPr>
                      <w:rFonts w:hint="eastAsia"/>
                      <w:color w:val="auto"/>
                      <w:lang w:val="en-US" w:eastAsia="zh-CN"/>
                    </w:rPr>
                    <w:fldChar w:fldCharType="end"/>
                  </w:r>
                  <w:r>
                    <w:rPr>
                      <w:rFonts w:hint="eastAsia"/>
                      <w:color w:val="auto"/>
                      <w:lang w:val="en-US" w:eastAsia="zh-CN"/>
                    </w:rPr>
                    <w:t>类标准</w:t>
                  </w:r>
                </w:p>
              </w:tc>
            </w:tr>
            <w:tr w14:paraId="3B773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noWrap w:val="0"/>
                  <w:vAlign w:val="center"/>
                </w:tcPr>
                <w:p w14:paraId="27FBF34E">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土壤</w:t>
                  </w:r>
                </w:p>
              </w:tc>
              <w:tc>
                <w:tcPr>
                  <w:tcW w:w="2961" w:type="pct"/>
                  <w:gridSpan w:val="3"/>
                  <w:noWrap w:val="0"/>
                  <w:vAlign w:val="center"/>
                </w:tcPr>
                <w:p w14:paraId="0B4B4468">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周边农田</w:t>
                  </w:r>
                </w:p>
              </w:tc>
              <w:tc>
                <w:tcPr>
                  <w:tcW w:w="1337" w:type="pct"/>
                  <w:noWrap w:val="0"/>
                  <w:vAlign w:val="center"/>
                </w:tcPr>
                <w:p w14:paraId="017795CF">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r>
                    <w:rPr>
                      <w:rFonts w:hint="eastAsia" w:cs="Times New Roman"/>
                      <w:color w:val="auto"/>
                      <w:highlight w:val="none"/>
                      <w:u w:val="none"/>
                      <w:lang w:val="en-US" w:eastAsia="zh-CN"/>
                    </w:rPr>
                    <w:t>《土壤环境质量 农用地土壤污染风险管控标准（试行）》（GB15618-2018）</w:t>
                  </w:r>
                </w:p>
              </w:tc>
            </w:tr>
            <w:tr w14:paraId="37C62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0" w:type="pct"/>
                  <w:noWrap w:val="0"/>
                  <w:vAlign w:val="center"/>
                </w:tcPr>
                <w:p w14:paraId="61380320">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r>
                    <w:rPr>
                      <w:rFonts w:hint="eastAsia" w:cs="Times New Roman"/>
                      <w:color w:val="auto"/>
                      <w:highlight w:val="none"/>
                      <w:u w:val="none"/>
                      <w:lang w:val="en-US" w:eastAsia="zh-CN"/>
                    </w:rPr>
                    <w:t>生态环境</w:t>
                  </w:r>
                </w:p>
              </w:tc>
              <w:tc>
                <w:tcPr>
                  <w:tcW w:w="2961" w:type="pct"/>
                  <w:gridSpan w:val="3"/>
                  <w:noWrap w:val="0"/>
                  <w:vAlign w:val="center"/>
                </w:tcPr>
                <w:p w14:paraId="5ACDD0D6">
                  <w:pPr>
                    <w:pStyle w:val="37"/>
                    <w:keepNext w:val="0"/>
                    <w:keepLines w:val="0"/>
                    <w:suppressLineNumbers w:val="0"/>
                    <w:bidi w:val="0"/>
                    <w:spacing w:before="0" w:beforeAutospacing="0" w:after="0" w:afterAutospacing="0"/>
                    <w:ind w:left="0" w:right="0"/>
                    <w:rPr>
                      <w:rFonts w:hint="default" w:cs="Times New Roman"/>
                      <w:color w:val="auto"/>
                      <w:highlight w:val="none"/>
                      <w:u w:val="single"/>
                      <w:lang w:val="en-US" w:eastAsia="zh-CN"/>
                    </w:rPr>
                  </w:pPr>
                  <w:r>
                    <w:rPr>
                      <w:rFonts w:hint="eastAsia" w:cs="Times New Roman"/>
                      <w:color w:val="auto"/>
                      <w:highlight w:val="none"/>
                      <w:u w:val="none"/>
                      <w:lang w:val="en-US" w:eastAsia="zh-CN"/>
                    </w:rPr>
                    <w:t>评价区域内无生态环境保护目标</w:t>
                  </w:r>
                </w:p>
              </w:tc>
              <w:tc>
                <w:tcPr>
                  <w:tcW w:w="1337" w:type="pct"/>
                  <w:noWrap w:val="0"/>
                  <w:vAlign w:val="center"/>
                </w:tcPr>
                <w:p w14:paraId="7B317CC0">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w:t>
                  </w:r>
                </w:p>
              </w:tc>
            </w:tr>
          </w:tbl>
          <w:p w14:paraId="4F35757A">
            <w:pPr>
              <w:keepNext w:val="0"/>
              <w:keepLines w:val="0"/>
              <w:suppressLineNumbers w:val="0"/>
              <w:spacing w:before="0" w:beforeAutospacing="0" w:after="0" w:afterAutospacing="0"/>
              <w:ind w:left="0" w:right="0"/>
              <w:rPr>
                <w:rFonts w:hint="default" w:cs="Times New Roman"/>
                <w:color w:val="auto"/>
                <w:highlight w:val="none"/>
                <w:lang w:val="en-US" w:eastAsia="zh-CN"/>
              </w:rPr>
            </w:pPr>
          </w:p>
        </w:tc>
      </w:tr>
      <w:tr w14:paraId="46EEC9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097" w:hRule="atLeast"/>
          <w:jc w:val="center"/>
        </w:trPr>
        <w:tc>
          <w:tcPr>
            <w:tcW w:w="701" w:type="dxa"/>
            <w:noWrap w:val="0"/>
            <w:tcMar>
              <w:left w:w="28" w:type="dxa"/>
              <w:right w:w="28" w:type="dxa"/>
            </w:tcMar>
            <w:vAlign w:val="center"/>
          </w:tcPr>
          <w:p w14:paraId="039B2BA2">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污染</w:t>
            </w:r>
          </w:p>
          <w:p w14:paraId="1CDAA11E">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物排</w:t>
            </w:r>
          </w:p>
          <w:p w14:paraId="1FC4B261">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放控</w:t>
            </w:r>
          </w:p>
          <w:p w14:paraId="794D34BF">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制标</w:t>
            </w:r>
          </w:p>
          <w:p w14:paraId="4CD8BFC5">
            <w:pPr>
              <w:keepNext w:val="0"/>
              <w:keepLines w:val="0"/>
              <w:suppressLineNumbers w:val="0"/>
              <w:adjustRightInd w:val="0"/>
              <w:snapToGrid w:val="0"/>
              <w:spacing w:before="0" w:beforeAutospacing="0" w:after="0" w:afterAutospacing="0"/>
              <w:ind w:left="0" w:right="0"/>
              <w:jc w:val="center"/>
              <w:rPr>
                <w:rFonts w:hint="default" w:ascii="宋体" w:hAnsi="宋体" w:cs="宋体"/>
                <w:color w:val="auto"/>
                <w:kern w:val="0"/>
                <w:szCs w:val="21"/>
                <w:highlight w:val="yellow"/>
              </w:rPr>
            </w:pPr>
            <w:r>
              <w:rPr>
                <w:rFonts w:hint="eastAsia" w:ascii="宋体" w:hAnsi="宋体" w:cs="宋体"/>
                <w:color w:val="auto"/>
                <w:kern w:val="0"/>
                <w:szCs w:val="21"/>
                <w:highlight w:val="none"/>
              </w:rPr>
              <w:t>准</w:t>
            </w:r>
          </w:p>
        </w:tc>
        <w:tc>
          <w:tcPr>
            <w:tcW w:w="8360" w:type="dxa"/>
            <w:noWrap w:val="0"/>
            <w:vAlign w:val="center"/>
          </w:tcPr>
          <w:p w14:paraId="36BD2FD4">
            <w:pPr>
              <w:pStyle w:val="2"/>
              <w:keepLines w:val="0"/>
              <w:numPr>
                <w:ilvl w:val="0"/>
                <w:numId w:val="0"/>
              </w:numPr>
              <w:suppressLineNumbers w:val="0"/>
              <w:tabs>
                <w:tab w:val="left" w:pos="0"/>
              </w:tabs>
              <w:spacing w:before="0" w:beforeAutospacing="0" w:after="0" w:afterAutospacing="0"/>
              <w:ind w:leftChars="0" w:right="0"/>
              <w:rPr>
                <w:rFonts w:hint="eastAsia" w:cs="Times New Roman"/>
                <w:color w:val="auto"/>
                <w:highlight w:val="none"/>
                <w:lang w:val="en-US" w:eastAsia="zh-CN"/>
              </w:rPr>
            </w:pPr>
            <w:bookmarkStart w:id="23" w:name="_Toc10853"/>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污染物排放控制标准</w:t>
            </w:r>
          </w:p>
          <w:p w14:paraId="680F8B77">
            <w:pPr>
              <w:pStyle w:val="2"/>
              <w:keepLines w:val="0"/>
              <w:numPr>
                <w:ilvl w:val="0"/>
                <w:numId w:val="0"/>
              </w:numPr>
              <w:suppressLineNumbers w:val="0"/>
              <w:tabs>
                <w:tab w:val="left" w:pos="0"/>
              </w:tabs>
              <w:spacing w:before="0" w:beforeAutospacing="0" w:after="0" w:afterAutospacing="0"/>
              <w:ind w:leftChars="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1</w:t>
            </w:r>
            <w:r>
              <w:rPr>
                <w:rFonts w:hint="eastAsia" w:cs="Times New Roman"/>
                <w:color w:val="auto"/>
                <w:highlight w:val="none"/>
                <w:lang w:val="en-US" w:eastAsia="zh-CN"/>
              </w:rPr>
              <w:t>废气</w:t>
            </w:r>
            <w:bookmarkEnd w:id="23"/>
            <w:r>
              <w:rPr>
                <w:rFonts w:hint="eastAsia" w:cs="Times New Roman"/>
                <w:color w:val="auto"/>
                <w:highlight w:val="none"/>
                <w:lang w:val="en-US" w:eastAsia="zh-CN"/>
              </w:rPr>
              <w:t>排放标准</w:t>
            </w:r>
          </w:p>
          <w:p w14:paraId="66DC1F5B">
            <w:pPr>
              <w:keepNext w:val="0"/>
              <w:keepLines w:val="0"/>
              <w:suppressLineNumbers w:val="0"/>
              <w:spacing w:before="0" w:beforeAutospacing="0" w:after="0" w:afterAutospacing="0"/>
              <w:ind w:left="0" w:right="0" w:firstLine="480" w:firstLineChars="200"/>
              <w:rPr>
                <w:rFonts w:hint="default" w:cs="Times New Roman"/>
                <w:color w:val="auto"/>
                <w:highlight w:val="none"/>
                <w:u w:val="none"/>
                <w:lang w:val="en-US" w:eastAsia="zh-CN"/>
              </w:rPr>
            </w:pPr>
            <w:r>
              <w:rPr>
                <w:rFonts w:hint="eastAsia" w:cs="Times New Roman"/>
                <w:color w:val="auto"/>
                <w:highlight w:val="none"/>
                <w:u w:val="none"/>
                <w:lang w:val="en-US" w:eastAsia="zh-CN"/>
              </w:rPr>
              <w:t>项目生物质锅炉废气</w:t>
            </w:r>
            <w:r>
              <w:rPr>
                <w:rFonts w:hint="default" w:ascii="Times New Roman" w:hAnsi="Times New Roman" w:eastAsia="宋体" w:cs="Times New Roman"/>
                <w:color w:val="000000" w:themeColor="text1"/>
                <w:sz w:val="24"/>
                <w:highlight w:val="none"/>
                <w:u w:val="none"/>
                <w:lang w:val="en-US" w:eastAsia="zh-CN"/>
                <w14:textFill>
                  <w14:solidFill>
                    <w14:schemeClr w14:val="tx1"/>
                  </w14:solidFill>
                </w14:textFill>
              </w:rPr>
              <w:t>参照</w:t>
            </w:r>
            <w:r>
              <w:rPr>
                <w:rFonts w:hint="default" w:ascii="Times New Roman" w:hAnsi="Times New Roman" w:eastAsia="宋体" w:cs="Times New Roman"/>
                <w:color w:val="000000" w:themeColor="text1"/>
                <w:sz w:val="24"/>
                <w:highlight w:val="none"/>
                <w:u w:val="none"/>
                <w14:textFill>
                  <w14:solidFill>
                    <w14:schemeClr w14:val="tx1"/>
                  </w14:solidFill>
                </w14:textFill>
              </w:rPr>
              <w:t>执行《锅炉大气污染物排放标准》（GB13271-2014）中表2燃煤锅炉标准；</w:t>
            </w:r>
            <w:r>
              <w:rPr>
                <w:rFonts w:hint="eastAsia" w:ascii="Times New Roman" w:hAnsi="Times New Roman" w:eastAsia="宋体" w:cs="Times New Roman"/>
                <w:color w:val="000000" w:themeColor="text1"/>
                <w:sz w:val="24"/>
                <w:highlight w:val="none"/>
                <w:u w:val="none"/>
                <w:lang w:val="en-US" w:eastAsia="zh-CN"/>
                <w14:textFill>
                  <w14:solidFill>
                    <w14:schemeClr w14:val="tx1"/>
                  </w14:solidFill>
                </w14:textFill>
              </w:rPr>
              <w:t>厂界无组织氨、硫化氢、臭气浓度</w:t>
            </w:r>
            <w:r>
              <w:rPr>
                <w:rFonts w:hint="default" w:ascii="Times New Roman" w:hAnsi="Times New Roman" w:eastAsia="宋体" w:cs="Times New Roman"/>
                <w:color w:val="000000" w:themeColor="text1"/>
                <w:sz w:val="24"/>
                <w:highlight w:val="none"/>
                <w:u w:val="none"/>
                <w14:textFill>
                  <w14:solidFill>
                    <w14:schemeClr w14:val="tx1"/>
                  </w14:solidFill>
                </w14:textFill>
              </w:rPr>
              <w:t>执行《恶臭污染物排放标准》（GB14554-1993）</w:t>
            </w:r>
            <w:r>
              <w:rPr>
                <w:rFonts w:hint="eastAsia" w:ascii="Times New Roman" w:hAnsi="Times New Roman" w:eastAsia="宋体" w:cs="Times New Roman"/>
                <w:color w:val="000000" w:themeColor="text1"/>
                <w:sz w:val="24"/>
                <w:highlight w:val="none"/>
                <w:u w:val="none"/>
                <w:lang w:val="en-US" w:eastAsia="zh-CN"/>
                <w14:textFill>
                  <w14:solidFill>
                    <w14:schemeClr w14:val="tx1"/>
                  </w14:solidFill>
                </w14:textFill>
              </w:rPr>
              <w:t>表1</w:t>
            </w:r>
            <w:r>
              <w:rPr>
                <w:rFonts w:hint="default" w:ascii="Times New Roman" w:hAnsi="Times New Roman" w:eastAsia="宋体" w:cs="Times New Roman"/>
                <w:color w:val="000000" w:themeColor="text1"/>
                <w:sz w:val="24"/>
                <w:highlight w:val="none"/>
                <w:u w:val="none"/>
                <w14:textFill>
                  <w14:solidFill>
                    <w14:schemeClr w14:val="tx1"/>
                  </w14:solidFill>
                </w14:textFill>
              </w:rPr>
              <w:t>二级新扩改建标准</w:t>
            </w:r>
            <w:r>
              <w:rPr>
                <w:rFonts w:hint="eastAsia" w:cs="Times New Roman"/>
                <w:color w:val="auto"/>
                <w:highlight w:val="none"/>
                <w:u w:val="none"/>
                <w:lang w:val="en-US" w:eastAsia="zh-CN"/>
              </w:rPr>
              <w:t>。</w:t>
            </w:r>
          </w:p>
          <w:p w14:paraId="05BABDA9">
            <w:pPr>
              <w:pStyle w:val="36"/>
              <w:keepLines w:val="0"/>
              <w:numPr>
                <w:ilvl w:val="0"/>
                <w:numId w:val="0"/>
              </w:numPr>
              <w:suppressLineNumbers w:val="0"/>
              <w:tabs>
                <w:tab w:val="left" w:pos="0"/>
              </w:tabs>
              <w:bidi w:val="0"/>
              <w:spacing w:before="0" w:beforeAutospacing="0" w:after="0" w:afterAutospacing="0"/>
              <w:ind w:left="0" w:leftChars="0" w:right="0" w:firstLine="0" w:firstLineChars="0"/>
              <w:rPr>
                <w:rFonts w:hint="eastAsia" w:cs="Times New Roman"/>
                <w:color w:val="auto"/>
                <w:highlight w:val="none"/>
                <w:u w:val="none"/>
                <w:lang w:val="en-US" w:eastAsia="zh-CN"/>
              </w:rPr>
            </w:pPr>
            <w:r>
              <w:rPr>
                <w:rFonts w:hint="default" w:ascii="Times New Roman" w:hAnsi="Times New Roman" w:eastAsia="宋体" w:cs="Times New Roman"/>
                <w:b/>
                <w:bCs/>
                <w:color w:val="auto"/>
                <w:kern w:val="2"/>
                <w:sz w:val="21"/>
                <w:szCs w:val="21"/>
                <w:highlight w:val="none"/>
                <w:u w:val="none"/>
                <w:lang w:val="en-US" w:eastAsia="zh-CN" w:bidi="ar-SA"/>
              </w:rPr>
              <w:t>表3</w:t>
            </w:r>
            <w:r>
              <w:rPr>
                <w:rFonts w:hint="eastAsia" w:cs="Times New Roman"/>
                <w:b/>
                <w:bCs/>
                <w:color w:val="auto"/>
                <w:kern w:val="2"/>
                <w:sz w:val="21"/>
                <w:szCs w:val="21"/>
                <w:highlight w:val="none"/>
                <w:u w:val="none"/>
                <w:lang w:val="en-US" w:eastAsia="zh-CN" w:bidi="ar-SA"/>
              </w:rPr>
              <w:t xml:space="preserve">.3-1 </w:t>
            </w:r>
            <w:r>
              <w:rPr>
                <w:rFonts w:hint="eastAsia" w:cs="Times New Roman"/>
                <w:color w:val="auto"/>
                <w:highlight w:val="none"/>
                <w:u w:val="none"/>
                <w:lang w:val="en-US" w:eastAsia="zh-CN"/>
              </w:rPr>
              <w:t>废气排放标准</w:t>
            </w:r>
          </w:p>
          <w:tbl>
            <w:tblPr>
              <w:tblStyle w:val="28"/>
              <w:tblW w:w="81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8"/>
              <w:gridCol w:w="928"/>
              <w:gridCol w:w="1434"/>
              <w:gridCol w:w="2309"/>
              <w:gridCol w:w="2535"/>
            </w:tblGrid>
            <w:tr w14:paraId="58019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2" w:hRule="atLeast"/>
                <w:jc w:val="center"/>
              </w:trPr>
              <w:tc>
                <w:tcPr>
                  <w:tcW w:w="1856" w:type="dxa"/>
                  <w:gridSpan w:val="2"/>
                  <w:shd w:val="clear" w:color="auto" w:fill="auto"/>
                  <w:noWrap w:val="0"/>
                  <w:vAlign w:val="center"/>
                </w:tcPr>
                <w:p w14:paraId="201B2632">
                  <w:pPr>
                    <w:pStyle w:val="37"/>
                    <w:keepNext w:val="0"/>
                    <w:keepLines w:val="0"/>
                    <w:suppressLineNumbers w:val="0"/>
                    <w:bidi w:val="0"/>
                    <w:spacing w:before="0" w:beforeAutospacing="0" w:after="0" w:afterAutospacing="0"/>
                    <w:ind w:left="0" w:right="0"/>
                    <w:rPr>
                      <w:rFonts w:hint="default" w:eastAsia="宋体" w:cs="Times New Roman"/>
                      <w:b/>
                      <w:bCs/>
                      <w:color w:val="auto"/>
                      <w:highlight w:val="none"/>
                      <w:u w:val="none"/>
                      <w:lang w:val="en-US" w:eastAsia="zh-CN"/>
                    </w:rPr>
                  </w:pPr>
                  <w:r>
                    <w:rPr>
                      <w:rFonts w:hint="eastAsia" w:cs="Times New Roman"/>
                      <w:b/>
                      <w:bCs/>
                      <w:color w:val="auto"/>
                      <w:highlight w:val="none"/>
                      <w:u w:val="none"/>
                      <w:lang w:val="en-US" w:eastAsia="zh-CN"/>
                    </w:rPr>
                    <w:t>废气类别</w:t>
                  </w:r>
                </w:p>
              </w:tc>
              <w:tc>
                <w:tcPr>
                  <w:tcW w:w="1434" w:type="dxa"/>
                  <w:noWrap w:val="0"/>
                  <w:vAlign w:val="center"/>
                </w:tcPr>
                <w:p w14:paraId="3B8DB0FC">
                  <w:pPr>
                    <w:pStyle w:val="37"/>
                    <w:keepNext w:val="0"/>
                    <w:keepLines w:val="0"/>
                    <w:suppressLineNumbers w:val="0"/>
                    <w:bidi w:val="0"/>
                    <w:spacing w:before="0" w:beforeAutospacing="0" w:after="0" w:afterAutospacing="0"/>
                    <w:ind w:left="0" w:right="0"/>
                    <w:rPr>
                      <w:rFonts w:hint="eastAsia" w:eastAsia="宋体" w:cs="Times New Roman"/>
                      <w:b/>
                      <w:bCs/>
                      <w:color w:val="auto"/>
                      <w:highlight w:val="none"/>
                      <w:u w:val="none"/>
                      <w:lang w:val="en-US" w:eastAsia="zh-CN"/>
                    </w:rPr>
                  </w:pPr>
                  <w:r>
                    <w:rPr>
                      <w:rFonts w:hint="default" w:cs="Times New Roman"/>
                      <w:b/>
                      <w:bCs/>
                      <w:color w:val="auto"/>
                      <w:highlight w:val="none"/>
                      <w:u w:val="none"/>
                    </w:rPr>
                    <w:t>污染物</w:t>
                  </w:r>
                  <w:r>
                    <w:rPr>
                      <w:rFonts w:hint="eastAsia" w:cs="Times New Roman"/>
                      <w:b/>
                      <w:bCs/>
                      <w:color w:val="auto"/>
                      <w:highlight w:val="none"/>
                      <w:u w:val="none"/>
                      <w:lang w:val="en-US" w:eastAsia="zh-CN"/>
                    </w:rPr>
                    <w:t>项目</w:t>
                  </w:r>
                </w:p>
              </w:tc>
              <w:tc>
                <w:tcPr>
                  <w:tcW w:w="2309" w:type="dxa"/>
                  <w:noWrap w:val="0"/>
                  <w:vAlign w:val="center"/>
                </w:tcPr>
                <w:p w14:paraId="14625FA3">
                  <w:pPr>
                    <w:pStyle w:val="37"/>
                    <w:keepNext w:val="0"/>
                    <w:keepLines w:val="0"/>
                    <w:suppressLineNumbers w:val="0"/>
                    <w:bidi w:val="0"/>
                    <w:spacing w:before="0" w:beforeAutospacing="0" w:after="0" w:afterAutospacing="0"/>
                    <w:ind w:left="0" w:right="0"/>
                    <w:rPr>
                      <w:rFonts w:hint="eastAsia" w:cs="Times New Roman"/>
                      <w:b/>
                      <w:bCs/>
                      <w:color w:val="auto"/>
                      <w:highlight w:val="none"/>
                      <w:u w:val="none"/>
                      <w:lang w:eastAsia="zh-CN"/>
                    </w:rPr>
                  </w:pPr>
                  <w:r>
                    <w:rPr>
                      <w:rFonts w:hint="eastAsia" w:cs="Times New Roman"/>
                      <w:b/>
                      <w:bCs/>
                      <w:color w:val="auto"/>
                      <w:highlight w:val="none"/>
                      <w:u w:val="none"/>
                      <w:lang w:val="en-US" w:eastAsia="zh-CN"/>
                    </w:rPr>
                    <w:t>排放限值</w:t>
                  </w:r>
                  <w:r>
                    <w:rPr>
                      <w:rFonts w:hint="default" w:ascii="Times New Roman" w:hAnsi="Times New Roman" w:cs="Times New Roman"/>
                      <w:b/>
                      <w:bCs/>
                      <w:color w:val="auto"/>
                      <w:highlight w:val="none"/>
                      <w:u w:val="none"/>
                      <w:lang w:val="en-US" w:eastAsia="zh-CN"/>
                    </w:rPr>
                    <w:t>mg</w:t>
                  </w:r>
                  <w:r>
                    <w:rPr>
                      <w:rFonts w:hint="default" w:cs="Times New Roman"/>
                      <w:b/>
                      <w:bCs/>
                      <w:color w:val="auto"/>
                      <w:highlight w:val="none"/>
                      <w:u w:val="none"/>
                      <w:lang w:val="en-US" w:eastAsia="zh-CN"/>
                    </w:rPr>
                    <w:t>/</w:t>
                  </w:r>
                  <w:r>
                    <w:rPr>
                      <w:rFonts w:hint="default" w:ascii="Times New Roman" w:hAnsi="Times New Roman" w:cs="Times New Roman"/>
                      <w:b/>
                      <w:bCs/>
                      <w:color w:val="auto"/>
                      <w:highlight w:val="none"/>
                      <w:u w:val="none"/>
                      <w:lang w:val="en-US" w:eastAsia="zh-CN"/>
                    </w:rPr>
                    <w:t>m</w:t>
                  </w:r>
                  <w:r>
                    <w:rPr>
                      <w:rFonts w:hint="default" w:ascii="Times New Roman" w:hAnsi="Times New Roman" w:cs="Times New Roman"/>
                      <w:b/>
                      <w:bCs/>
                      <w:color w:val="auto"/>
                      <w:highlight w:val="none"/>
                      <w:u w:val="none"/>
                      <w:vertAlign w:val="superscript"/>
                      <w:lang w:val="en-US" w:eastAsia="zh-CN"/>
                    </w:rPr>
                    <w:t>3</w:t>
                  </w:r>
                </w:p>
              </w:tc>
              <w:tc>
                <w:tcPr>
                  <w:tcW w:w="2535" w:type="dxa"/>
                  <w:noWrap w:val="0"/>
                  <w:vAlign w:val="center"/>
                </w:tcPr>
                <w:p w14:paraId="3EB7B6D8">
                  <w:pPr>
                    <w:pStyle w:val="37"/>
                    <w:keepNext w:val="0"/>
                    <w:keepLines w:val="0"/>
                    <w:suppressLineNumbers w:val="0"/>
                    <w:bidi w:val="0"/>
                    <w:spacing w:before="0" w:beforeAutospacing="0" w:after="0" w:afterAutospacing="0"/>
                    <w:ind w:left="0" w:right="0"/>
                    <w:rPr>
                      <w:rFonts w:hint="eastAsia" w:cs="Times New Roman"/>
                      <w:b/>
                      <w:bCs/>
                      <w:color w:val="auto"/>
                      <w:highlight w:val="none"/>
                      <w:u w:val="none"/>
                      <w:lang w:val="en-US" w:eastAsia="zh-CN"/>
                    </w:rPr>
                  </w:pPr>
                  <w:r>
                    <w:rPr>
                      <w:rFonts w:hint="eastAsia" w:cs="Times New Roman"/>
                      <w:b/>
                      <w:bCs/>
                      <w:color w:val="auto"/>
                      <w:highlight w:val="none"/>
                      <w:u w:val="none"/>
                      <w:lang w:val="en-US" w:eastAsia="zh-CN"/>
                    </w:rPr>
                    <w:t>执行标准</w:t>
                  </w:r>
                </w:p>
              </w:tc>
            </w:tr>
            <w:tr w14:paraId="5DF7C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2" w:hRule="atLeast"/>
                <w:jc w:val="center"/>
              </w:trPr>
              <w:tc>
                <w:tcPr>
                  <w:tcW w:w="928" w:type="dxa"/>
                  <w:vMerge w:val="restart"/>
                  <w:shd w:val="clear" w:color="auto" w:fill="auto"/>
                  <w:noWrap w:val="0"/>
                  <w:vAlign w:val="center"/>
                </w:tcPr>
                <w:p w14:paraId="39ECAC93">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lang w:val="en-US" w:eastAsia="zh-CN" w:bidi="ar-SA"/>
                    </w:rPr>
                  </w:pPr>
                  <w:r>
                    <w:rPr>
                      <w:rFonts w:hint="eastAsia" w:cs="Times New Roman"/>
                      <w:color w:val="auto"/>
                      <w:highlight w:val="none"/>
                      <w:u w:val="none"/>
                      <w:lang w:val="en-US" w:eastAsia="zh-CN"/>
                    </w:rPr>
                    <w:t>生物质锅炉废气</w:t>
                  </w:r>
                </w:p>
              </w:tc>
              <w:tc>
                <w:tcPr>
                  <w:tcW w:w="928" w:type="dxa"/>
                  <w:vMerge w:val="restart"/>
                  <w:noWrap w:val="0"/>
                  <w:vAlign w:val="center"/>
                </w:tcPr>
                <w:p w14:paraId="7F28858E">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DA001</w:t>
                  </w:r>
                </w:p>
              </w:tc>
              <w:tc>
                <w:tcPr>
                  <w:tcW w:w="1434" w:type="dxa"/>
                  <w:noWrap w:val="0"/>
                  <w:vAlign w:val="center"/>
                </w:tcPr>
                <w:p w14:paraId="2F2DD3C4">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r>
                    <w:rPr>
                      <w:rFonts w:hint="eastAsia" w:cs="Times New Roman"/>
                      <w:color w:val="auto"/>
                      <w:highlight w:val="none"/>
                      <w:u w:val="none"/>
                      <w:lang w:val="en-US" w:eastAsia="zh-CN"/>
                    </w:rPr>
                    <w:t>颗粒物</w:t>
                  </w:r>
                </w:p>
              </w:tc>
              <w:tc>
                <w:tcPr>
                  <w:tcW w:w="2309" w:type="dxa"/>
                  <w:noWrap w:val="0"/>
                  <w:vAlign w:val="center"/>
                </w:tcPr>
                <w:p w14:paraId="0BF200FA">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50</w:t>
                  </w:r>
                </w:p>
              </w:tc>
              <w:tc>
                <w:tcPr>
                  <w:tcW w:w="2535" w:type="dxa"/>
                  <w:vMerge w:val="restart"/>
                  <w:noWrap w:val="0"/>
                  <w:vAlign w:val="center"/>
                </w:tcPr>
                <w:p w14:paraId="5935E307">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rPr>
                  </w:pPr>
                  <w:r>
                    <w:rPr>
                      <w:rFonts w:hint="eastAsia" w:cs="Times New Roman"/>
                      <w:color w:val="auto"/>
                      <w:highlight w:val="none"/>
                      <w:u w:val="none"/>
                      <w:lang w:val="en-US" w:eastAsia="zh-CN"/>
                    </w:rPr>
                    <w:t>参照执行</w:t>
                  </w:r>
                  <w:r>
                    <w:rPr>
                      <w:rFonts w:hint="default" w:cs="Times New Roman"/>
                      <w:color w:val="auto"/>
                      <w:highlight w:val="none"/>
                      <w:u w:val="none"/>
                      <w:lang w:val="en-US"/>
                    </w:rPr>
                    <w:t>《锅炉大气污染物排放标准》（GB13271-2014）中表2燃煤锅炉标准</w:t>
                  </w:r>
                </w:p>
              </w:tc>
            </w:tr>
            <w:tr w14:paraId="065DE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2" w:hRule="atLeast"/>
                <w:jc w:val="center"/>
              </w:trPr>
              <w:tc>
                <w:tcPr>
                  <w:tcW w:w="928" w:type="dxa"/>
                  <w:vMerge w:val="continue"/>
                  <w:noWrap w:val="0"/>
                  <w:vAlign w:val="center"/>
                </w:tcPr>
                <w:p w14:paraId="50ACC634">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c>
                <w:tcPr>
                  <w:tcW w:w="928" w:type="dxa"/>
                  <w:vMerge w:val="continue"/>
                  <w:noWrap w:val="0"/>
                  <w:vAlign w:val="center"/>
                </w:tcPr>
                <w:p w14:paraId="2E4939E7">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c>
                <w:tcPr>
                  <w:tcW w:w="1434" w:type="dxa"/>
                  <w:noWrap w:val="0"/>
                  <w:vAlign w:val="center"/>
                </w:tcPr>
                <w:p w14:paraId="0CE94C4A">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二氧化硫</w:t>
                  </w:r>
                </w:p>
              </w:tc>
              <w:tc>
                <w:tcPr>
                  <w:tcW w:w="2309" w:type="dxa"/>
                  <w:noWrap w:val="0"/>
                  <w:vAlign w:val="center"/>
                </w:tcPr>
                <w:p w14:paraId="0653EA86">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300</w:t>
                  </w:r>
                </w:p>
              </w:tc>
              <w:tc>
                <w:tcPr>
                  <w:tcW w:w="2535" w:type="dxa"/>
                  <w:vMerge w:val="continue"/>
                  <w:noWrap w:val="0"/>
                  <w:vAlign w:val="center"/>
                </w:tcPr>
                <w:p w14:paraId="3902F6DF">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r>
            <w:tr w14:paraId="6AC5B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2" w:hRule="atLeast"/>
                <w:jc w:val="center"/>
              </w:trPr>
              <w:tc>
                <w:tcPr>
                  <w:tcW w:w="928" w:type="dxa"/>
                  <w:vMerge w:val="continue"/>
                  <w:noWrap w:val="0"/>
                  <w:vAlign w:val="center"/>
                </w:tcPr>
                <w:p w14:paraId="287DA654">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c>
                <w:tcPr>
                  <w:tcW w:w="928" w:type="dxa"/>
                  <w:vMerge w:val="continue"/>
                  <w:noWrap w:val="0"/>
                  <w:vAlign w:val="center"/>
                </w:tcPr>
                <w:p w14:paraId="478D5E4E">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c>
                <w:tcPr>
                  <w:tcW w:w="1434" w:type="dxa"/>
                  <w:noWrap w:val="0"/>
                  <w:vAlign w:val="center"/>
                </w:tcPr>
                <w:p w14:paraId="4C3CB7B0">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氮氧化物</w:t>
                  </w:r>
                </w:p>
              </w:tc>
              <w:tc>
                <w:tcPr>
                  <w:tcW w:w="2309" w:type="dxa"/>
                  <w:noWrap w:val="0"/>
                  <w:vAlign w:val="center"/>
                </w:tcPr>
                <w:p w14:paraId="204F470F">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300</w:t>
                  </w:r>
                </w:p>
              </w:tc>
              <w:tc>
                <w:tcPr>
                  <w:tcW w:w="2535" w:type="dxa"/>
                  <w:vMerge w:val="continue"/>
                  <w:noWrap w:val="0"/>
                  <w:vAlign w:val="center"/>
                </w:tcPr>
                <w:p w14:paraId="260FE3CB">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r>
            <w:tr w14:paraId="06D5D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2" w:hRule="atLeast"/>
                <w:jc w:val="center"/>
              </w:trPr>
              <w:tc>
                <w:tcPr>
                  <w:tcW w:w="928" w:type="dxa"/>
                  <w:vMerge w:val="continue"/>
                  <w:noWrap w:val="0"/>
                  <w:vAlign w:val="center"/>
                </w:tcPr>
                <w:p w14:paraId="46CDA5A0">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c>
                <w:tcPr>
                  <w:tcW w:w="928" w:type="dxa"/>
                  <w:vMerge w:val="continue"/>
                  <w:noWrap w:val="0"/>
                  <w:vAlign w:val="center"/>
                </w:tcPr>
                <w:p w14:paraId="095D2B15">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c>
                <w:tcPr>
                  <w:tcW w:w="1434" w:type="dxa"/>
                  <w:noWrap w:val="0"/>
                  <w:vAlign w:val="center"/>
                </w:tcPr>
                <w:p w14:paraId="781713F6">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烟气黑度（林格曼黑度）</w:t>
                  </w:r>
                </w:p>
              </w:tc>
              <w:tc>
                <w:tcPr>
                  <w:tcW w:w="2309" w:type="dxa"/>
                  <w:noWrap w:val="0"/>
                  <w:vAlign w:val="center"/>
                </w:tcPr>
                <w:p w14:paraId="384752B1">
                  <w:pPr>
                    <w:pStyle w:val="37"/>
                    <w:keepNext w:val="0"/>
                    <w:keepLines w:val="0"/>
                    <w:suppressLineNumbers w:val="0"/>
                    <w:bidi w:val="0"/>
                    <w:spacing w:before="0" w:beforeAutospacing="0" w:after="0" w:afterAutospacing="0"/>
                    <w:ind w:left="0" w:right="0"/>
                    <w:rPr>
                      <w:rFonts w:hint="default" w:ascii="Times New Roman" w:hAnsi="Times New Roman" w:cs="Times New Roman"/>
                      <w:color w:val="auto"/>
                      <w:highlight w:val="none"/>
                      <w:u w:val="none"/>
                      <w:lang w:val="en-US" w:eastAsia="zh-CN"/>
                    </w:rPr>
                  </w:pPr>
                  <w:r>
                    <w:rPr>
                      <w:rFonts w:hint="eastAsia" w:cs="Times New Roman"/>
                      <w:color w:val="auto"/>
                      <w:highlight w:val="none"/>
                      <w:u w:val="none"/>
                      <w:lang w:val="en-US" w:eastAsia="zh-CN"/>
                    </w:rPr>
                    <w:t>&lt;1</w:t>
                  </w:r>
                </w:p>
              </w:tc>
              <w:tc>
                <w:tcPr>
                  <w:tcW w:w="2535" w:type="dxa"/>
                  <w:vMerge w:val="continue"/>
                  <w:noWrap w:val="0"/>
                  <w:vAlign w:val="center"/>
                </w:tcPr>
                <w:p w14:paraId="35CDFDBD">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p>
              </w:tc>
            </w:tr>
            <w:tr w14:paraId="48379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15" w:hRule="atLeast"/>
                <w:jc w:val="center"/>
              </w:trPr>
              <w:tc>
                <w:tcPr>
                  <w:tcW w:w="1856" w:type="dxa"/>
                  <w:gridSpan w:val="2"/>
                  <w:vMerge w:val="restart"/>
                  <w:shd w:val="clear" w:color="auto" w:fill="auto"/>
                  <w:noWrap w:val="0"/>
                  <w:vAlign w:val="center"/>
                </w:tcPr>
                <w:p w14:paraId="34D9F348">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无组织废气</w:t>
                  </w:r>
                </w:p>
              </w:tc>
              <w:tc>
                <w:tcPr>
                  <w:tcW w:w="1434" w:type="dxa"/>
                  <w:noWrap w:val="0"/>
                  <w:vAlign w:val="center"/>
                </w:tcPr>
                <w:p w14:paraId="54D52860">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r>
                    <w:rPr>
                      <w:rFonts w:hint="eastAsia" w:cs="Times New Roman"/>
                      <w:color w:val="auto"/>
                      <w:highlight w:val="none"/>
                      <w:u w:val="none"/>
                      <w:lang w:val="en-US" w:eastAsia="zh-CN"/>
                    </w:rPr>
                    <w:t>氨</w:t>
                  </w:r>
                </w:p>
              </w:tc>
              <w:tc>
                <w:tcPr>
                  <w:tcW w:w="2309" w:type="dxa"/>
                  <w:noWrap w:val="0"/>
                  <w:vAlign w:val="center"/>
                </w:tcPr>
                <w:p w14:paraId="10140C89">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1.5</w:t>
                  </w:r>
                </w:p>
              </w:tc>
              <w:tc>
                <w:tcPr>
                  <w:tcW w:w="2535" w:type="dxa"/>
                  <w:vMerge w:val="restart"/>
                  <w:noWrap w:val="0"/>
                  <w:vAlign w:val="center"/>
                </w:tcPr>
                <w:p w14:paraId="56BB7D02">
                  <w:pPr>
                    <w:pStyle w:val="37"/>
                    <w:keepNext w:val="0"/>
                    <w:keepLines w:val="0"/>
                    <w:suppressLineNumbers w:val="0"/>
                    <w:bidi w:val="0"/>
                    <w:spacing w:before="0" w:beforeAutospacing="0" w:after="0" w:afterAutospacing="0"/>
                    <w:ind w:left="0" w:right="0"/>
                    <w:rPr>
                      <w:rFonts w:hint="eastAsia" w:cs="Times New Roman"/>
                      <w:color w:val="auto"/>
                      <w:highlight w:val="none"/>
                      <w:u w:val="none"/>
                      <w:lang w:val="en-US" w:eastAsia="zh-CN"/>
                    </w:rPr>
                  </w:pPr>
                  <w:r>
                    <w:rPr>
                      <w:rFonts w:hint="eastAsia" w:cs="Times New Roman"/>
                      <w:color w:val="auto"/>
                      <w:highlight w:val="none"/>
                      <w:u w:val="none"/>
                      <w:lang w:val="en-US" w:eastAsia="zh-CN"/>
                    </w:rPr>
                    <w:t>执行《恶臭污染物排放标准》（</w:t>
                  </w:r>
                  <w:r>
                    <w:rPr>
                      <w:rFonts w:hint="default" w:ascii="Times New Roman" w:hAnsi="Times New Roman" w:cs="Times New Roman"/>
                      <w:color w:val="auto"/>
                      <w:highlight w:val="none"/>
                      <w:u w:val="none"/>
                      <w:lang w:val="en-US" w:eastAsia="zh-CN"/>
                    </w:rPr>
                    <w:t>GB14554</w:t>
                  </w:r>
                  <w:r>
                    <w:rPr>
                      <w:rFonts w:hint="eastAsia"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93</w:t>
                  </w:r>
                  <w:r>
                    <w:rPr>
                      <w:rFonts w:hint="eastAsia" w:cs="Times New Roman"/>
                      <w:color w:val="auto"/>
                      <w:highlight w:val="none"/>
                      <w:u w:val="none"/>
                      <w:lang w:val="en-US" w:eastAsia="zh-CN"/>
                    </w:rPr>
                    <w:t>）表1二级新扩改建标准</w:t>
                  </w:r>
                </w:p>
              </w:tc>
            </w:tr>
            <w:tr w14:paraId="4181B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19" w:hRule="atLeast"/>
                <w:jc w:val="center"/>
              </w:trPr>
              <w:tc>
                <w:tcPr>
                  <w:tcW w:w="1856" w:type="dxa"/>
                  <w:gridSpan w:val="2"/>
                  <w:vMerge w:val="continue"/>
                  <w:noWrap w:val="0"/>
                  <w:vAlign w:val="center"/>
                </w:tcPr>
                <w:p w14:paraId="59253311">
                  <w:pPr>
                    <w:pStyle w:val="37"/>
                    <w:keepNext w:val="0"/>
                    <w:keepLines w:val="0"/>
                    <w:suppressLineNumbers w:val="0"/>
                    <w:bidi w:val="0"/>
                    <w:spacing w:before="0" w:beforeAutospacing="0" w:after="0" w:afterAutospacing="0"/>
                    <w:ind w:left="0" w:right="0"/>
                    <w:rPr>
                      <w:rFonts w:hint="eastAsia" w:cs="Times New Roman"/>
                      <w:color w:val="auto"/>
                      <w:highlight w:val="yellow"/>
                      <w:u w:val="none"/>
                      <w:lang w:val="en-US" w:eastAsia="zh-CN"/>
                    </w:rPr>
                  </w:pPr>
                  <w:bookmarkStart w:id="24" w:name="_Toc25947"/>
                </w:p>
              </w:tc>
              <w:tc>
                <w:tcPr>
                  <w:tcW w:w="1434" w:type="dxa"/>
                  <w:noWrap w:val="0"/>
                  <w:vAlign w:val="center"/>
                </w:tcPr>
                <w:p w14:paraId="0281AFFC">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硫化氢</w:t>
                  </w:r>
                </w:p>
              </w:tc>
              <w:tc>
                <w:tcPr>
                  <w:tcW w:w="2309" w:type="dxa"/>
                  <w:noWrap w:val="0"/>
                  <w:vAlign w:val="center"/>
                </w:tcPr>
                <w:p w14:paraId="0A562113">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0.06</w:t>
                  </w:r>
                </w:p>
              </w:tc>
              <w:tc>
                <w:tcPr>
                  <w:tcW w:w="2535" w:type="dxa"/>
                  <w:vMerge w:val="continue"/>
                  <w:noWrap w:val="0"/>
                  <w:vAlign w:val="center"/>
                </w:tcPr>
                <w:p w14:paraId="01018DC0">
                  <w:pPr>
                    <w:pStyle w:val="37"/>
                    <w:keepNext w:val="0"/>
                    <w:keepLines w:val="0"/>
                    <w:suppressLineNumbers w:val="0"/>
                    <w:bidi w:val="0"/>
                    <w:spacing w:before="0" w:beforeAutospacing="0" w:after="0" w:afterAutospacing="0"/>
                    <w:ind w:left="0" w:right="0"/>
                    <w:rPr>
                      <w:rFonts w:hint="eastAsia" w:cs="Times New Roman"/>
                      <w:color w:val="auto"/>
                      <w:highlight w:val="yellow"/>
                      <w:u w:val="none"/>
                      <w:lang w:val="en-US" w:eastAsia="zh-CN"/>
                    </w:rPr>
                  </w:pPr>
                </w:p>
              </w:tc>
            </w:tr>
            <w:tr w14:paraId="6A0A8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30" w:hRule="atLeast"/>
                <w:jc w:val="center"/>
              </w:trPr>
              <w:tc>
                <w:tcPr>
                  <w:tcW w:w="1856" w:type="dxa"/>
                  <w:gridSpan w:val="2"/>
                  <w:vMerge w:val="continue"/>
                  <w:noWrap w:val="0"/>
                  <w:vAlign w:val="center"/>
                </w:tcPr>
                <w:p w14:paraId="43286D52">
                  <w:pPr>
                    <w:pStyle w:val="37"/>
                    <w:keepNext w:val="0"/>
                    <w:keepLines w:val="0"/>
                    <w:suppressLineNumbers w:val="0"/>
                    <w:bidi w:val="0"/>
                    <w:spacing w:before="0" w:beforeAutospacing="0" w:after="0" w:afterAutospacing="0"/>
                    <w:ind w:left="0" w:right="0"/>
                    <w:rPr>
                      <w:rFonts w:hint="eastAsia" w:cs="Times New Roman"/>
                      <w:color w:val="auto"/>
                      <w:highlight w:val="yellow"/>
                      <w:u w:val="none"/>
                      <w:lang w:val="en-US" w:eastAsia="zh-CN"/>
                    </w:rPr>
                  </w:pPr>
                </w:p>
              </w:tc>
              <w:tc>
                <w:tcPr>
                  <w:tcW w:w="1434" w:type="dxa"/>
                  <w:noWrap w:val="0"/>
                  <w:vAlign w:val="center"/>
                </w:tcPr>
                <w:p w14:paraId="3C0CB3E9">
                  <w:pPr>
                    <w:pStyle w:val="37"/>
                    <w:keepNext w:val="0"/>
                    <w:keepLines w:val="0"/>
                    <w:suppressLineNumbers w:val="0"/>
                    <w:bidi w:val="0"/>
                    <w:spacing w:before="0" w:beforeAutospacing="0" w:after="0" w:afterAutospacing="0"/>
                    <w:ind w:left="0" w:right="0"/>
                    <w:rPr>
                      <w:rFonts w:hint="default" w:cs="Times New Roman"/>
                      <w:color w:val="auto"/>
                      <w:highlight w:val="none"/>
                      <w:u w:val="none"/>
                      <w:lang w:val="en-US" w:eastAsia="zh-CN"/>
                    </w:rPr>
                  </w:pPr>
                  <w:r>
                    <w:rPr>
                      <w:rFonts w:hint="eastAsia" w:cs="Times New Roman"/>
                      <w:color w:val="auto"/>
                      <w:highlight w:val="none"/>
                      <w:u w:val="none"/>
                      <w:lang w:val="en-US" w:eastAsia="zh-CN"/>
                    </w:rPr>
                    <w:t>臭气浓度</w:t>
                  </w:r>
                </w:p>
              </w:tc>
              <w:tc>
                <w:tcPr>
                  <w:tcW w:w="2309" w:type="dxa"/>
                  <w:noWrap w:val="0"/>
                  <w:vAlign w:val="center"/>
                </w:tcPr>
                <w:p w14:paraId="09691BDA">
                  <w:pPr>
                    <w:pStyle w:val="37"/>
                    <w:keepNext w:val="0"/>
                    <w:keepLines w:val="0"/>
                    <w:suppressLineNumbers w:val="0"/>
                    <w:bidi w:val="0"/>
                    <w:spacing w:before="0" w:beforeAutospacing="0" w:after="0" w:afterAutospacing="0"/>
                    <w:ind w:left="0" w:right="0"/>
                    <w:rPr>
                      <w:rFonts w:hint="default" w:ascii="Times New Roman" w:hAnsi="Times New Roman" w:cs="Times New Roman"/>
                      <w:color w:val="auto"/>
                      <w:highlight w:val="none"/>
                      <w:u w:val="none"/>
                      <w:lang w:val="en-US" w:eastAsia="zh-CN"/>
                    </w:rPr>
                  </w:pPr>
                  <w:r>
                    <w:rPr>
                      <w:rFonts w:hint="eastAsia" w:cs="Times New Roman"/>
                      <w:color w:val="auto"/>
                      <w:highlight w:val="none"/>
                      <w:u w:val="none"/>
                      <w:lang w:val="en-US" w:eastAsia="zh-CN"/>
                    </w:rPr>
                    <w:t>20（无量纲）</w:t>
                  </w:r>
                </w:p>
              </w:tc>
              <w:tc>
                <w:tcPr>
                  <w:tcW w:w="2535" w:type="dxa"/>
                  <w:vMerge w:val="continue"/>
                  <w:noWrap w:val="0"/>
                  <w:vAlign w:val="center"/>
                </w:tcPr>
                <w:p w14:paraId="2A32C18B">
                  <w:pPr>
                    <w:pStyle w:val="37"/>
                    <w:keepNext w:val="0"/>
                    <w:keepLines w:val="0"/>
                    <w:suppressLineNumbers w:val="0"/>
                    <w:bidi w:val="0"/>
                    <w:spacing w:before="0" w:beforeAutospacing="0" w:after="0" w:afterAutospacing="0"/>
                    <w:ind w:left="0" w:right="0"/>
                    <w:rPr>
                      <w:rFonts w:hint="eastAsia" w:cs="Times New Roman"/>
                      <w:color w:val="auto"/>
                      <w:highlight w:val="yellow"/>
                      <w:u w:val="none"/>
                      <w:lang w:val="en-US" w:eastAsia="zh-CN"/>
                    </w:rPr>
                  </w:pPr>
                </w:p>
              </w:tc>
            </w:tr>
          </w:tbl>
          <w:p w14:paraId="7122BAD4">
            <w:pPr>
              <w:pStyle w:val="2"/>
              <w:keepLines w:val="0"/>
              <w:numPr>
                <w:ilvl w:val="0"/>
                <w:numId w:val="0"/>
              </w:numPr>
              <w:suppressLineNumbers w:val="0"/>
              <w:tabs>
                <w:tab w:val="left" w:pos="0"/>
              </w:tabs>
              <w:bidi w:val="0"/>
              <w:spacing w:before="0" w:beforeAutospacing="0" w:after="0" w:afterAutospacing="0" w:line="240" w:lineRule="auto"/>
              <w:ind w:leftChars="0" w:right="0"/>
              <w:rPr>
                <w:rFonts w:hint="default" w:ascii="Times New Roman" w:hAnsi="Times New Roman" w:cs="Times New Roman"/>
                <w:color w:val="auto"/>
                <w:highlight w:val="yellow"/>
                <w:lang w:val="en-US" w:eastAsia="zh-CN"/>
              </w:rPr>
            </w:pPr>
          </w:p>
          <w:p w14:paraId="179089A4">
            <w:pPr>
              <w:pStyle w:val="2"/>
              <w:keepLines w:val="0"/>
              <w:numPr>
                <w:ilvl w:val="0"/>
                <w:numId w:val="0"/>
              </w:numPr>
              <w:suppressLineNumbers w:val="0"/>
              <w:tabs>
                <w:tab w:val="left" w:pos="0"/>
              </w:tabs>
              <w:bidi w:val="0"/>
              <w:spacing w:before="0" w:beforeAutospacing="0" w:after="0" w:afterAutospacing="0"/>
              <w:ind w:leftChars="0" w:right="0"/>
              <w:rPr>
                <w:rFonts w:hint="default" w:cs="Times New Roman"/>
                <w:color w:val="auto"/>
                <w:highlight w:val="none"/>
                <w:u w:val="none"/>
                <w:lang w:val="en-US" w:eastAsia="zh-CN"/>
              </w:rPr>
            </w:pPr>
            <w:r>
              <w:rPr>
                <w:rFonts w:hint="default" w:ascii="Times New Roman" w:hAnsi="Times New Roman" w:cs="Times New Roman"/>
                <w:color w:val="auto"/>
                <w:highlight w:val="none"/>
                <w:u w:val="none"/>
                <w:lang w:val="en-US" w:eastAsia="zh-CN"/>
              </w:rPr>
              <w:t>3</w:t>
            </w:r>
            <w:r>
              <w:rPr>
                <w:rFonts w:hint="eastAsia"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3</w:t>
            </w:r>
            <w:r>
              <w:rPr>
                <w:rFonts w:hint="eastAsia"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2</w:t>
            </w:r>
            <w:r>
              <w:rPr>
                <w:rFonts w:hint="eastAsia" w:cs="Times New Roman"/>
                <w:color w:val="auto"/>
                <w:highlight w:val="none"/>
                <w:u w:val="none"/>
                <w:lang w:val="en-US" w:eastAsia="zh-CN"/>
              </w:rPr>
              <w:t>废水</w:t>
            </w:r>
            <w:bookmarkEnd w:id="24"/>
            <w:r>
              <w:rPr>
                <w:rFonts w:hint="eastAsia" w:cs="Times New Roman"/>
                <w:color w:val="auto"/>
                <w:highlight w:val="none"/>
                <w:u w:val="none"/>
                <w:lang w:val="en-US" w:eastAsia="zh-CN"/>
              </w:rPr>
              <w:t>排放标准</w:t>
            </w:r>
          </w:p>
          <w:p w14:paraId="56397C47">
            <w:pPr>
              <w:keepNext w:val="0"/>
              <w:keepLines w:val="0"/>
              <w:pageBreakBefore w:val="0"/>
              <w:suppressLineNumbers w:val="0"/>
              <w:kinsoku/>
              <w:topLinePunct w:val="0"/>
              <w:bidi w:val="0"/>
              <w:adjustRightInd w:val="0"/>
              <w:snapToGrid w:val="0"/>
              <w:spacing w:before="0" w:beforeAutospacing="0" w:after="0" w:afterAutospacing="0" w:line="360" w:lineRule="auto"/>
              <w:ind w:left="0" w:right="0" w:firstLine="480" w:firstLineChars="200"/>
              <w:jc w:val="both"/>
              <w:rPr>
                <w:rFonts w:hint="default" w:ascii="Times New Roman" w:hAnsi="Times New Roman" w:eastAsia="宋体" w:cs="Times New Roman"/>
                <w:bCs/>
                <w:color w:val="auto"/>
                <w:kern w:val="2"/>
                <w:sz w:val="24"/>
                <w:szCs w:val="24"/>
                <w:highlight w:val="none"/>
                <w:u w:val="none"/>
                <w:lang w:val="en-US" w:eastAsia="zh-CN"/>
              </w:rPr>
            </w:pPr>
            <w:r>
              <w:rPr>
                <w:rFonts w:hint="eastAsia" w:cs="Times New Roman"/>
                <w:bCs/>
                <w:color w:val="auto"/>
                <w:kern w:val="2"/>
                <w:sz w:val="24"/>
                <w:szCs w:val="24"/>
                <w:highlight w:val="none"/>
                <w:u w:val="none"/>
                <w:lang w:val="en-US" w:eastAsia="zh-CN"/>
              </w:rPr>
              <w:t>本项目生活污水经化粪池处理后与生产废水一起经厂内自建污水处理站处理达标后排入官家嘴镇污水处理站进一步处理达到</w:t>
            </w:r>
            <w:r>
              <w:rPr>
                <w:rFonts w:hint="eastAsia" w:cs="Times New Roman"/>
                <w:color w:val="auto"/>
                <w:sz w:val="24"/>
                <w:highlight w:val="none"/>
                <w:lang w:val="en-US" w:eastAsia="zh-CN"/>
              </w:rPr>
              <w:t>《城镇污水处理厂污染物排放标准》（GB18918-2002）及其修改单表1中一级B标准后排入黄狮江。</w:t>
            </w:r>
          </w:p>
          <w:p w14:paraId="55C374AD">
            <w:pPr>
              <w:keepNext w:val="0"/>
              <w:keepLines w:val="0"/>
              <w:suppressLineNumbers w:val="0"/>
              <w:spacing w:before="0" w:beforeAutospacing="0" w:after="0" w:afterAutospacing="0"/>
              <w:ind w:left="0" w:right="0" w:firstLine="480" w:firstLineChars="200"/>
              <w:rPr>
                <w:rFonts w:hint="eastAsia" w:cs="Times New Roman"/>
                <w:color w:val="auto"/>
                <w:highlight w:val="none"/>
                <w:u w:val="none"/>
                <w:lang w:val="en-US" w:eastAsia="zh-CN"/>
              </w:rPr>
            </w:pPr>
            <w:r>
              <w:rPr>
                <w:rFonts w:hint="eastAsia" w:cs="Times New Roman"/>
                <w:color w:val="auto"/>
                <w:highlight w:val="none"/>
                <w:u w:val="none"/>
                <w:lang w:val="en-US" w:eastAsia="zh-CN"/>
              </w:rPr>
              <w:t>生产、生活废水排放执行《污水综合排放标准》（GB8978-1996）三级标准及官家嘴镇污水处理厂纳管标准较严者。</w:t>
            </w:r>
          </w:p>
          <w:p w14:paraId="03F4C6FD">
            <w:pPr>
              <w:pStyle w:val="36"/>
              <w:keepLines w:val="0"/>
              <w:numPr>
                <w:ilvl w:val="0"/>
                <w:numId w:val="0"/>
              </w:numPr>
              <w:suppressLineNumbers w:val="0"/>
              <w:tabs>
                <w:tab w:val="left" w:pos="0"/>
              </w:tabs>
              <w:bidi w:val="0"/>
              <w:spacing w:before="0" w:beforeAutospacing="0" w:after="0" w:afterAutospacing="0"/>
              <w:ind w:left="0" w:leftChars="0" w:right="0" w:firstLine="0" w:firstLineChars="0"/>
              <w:rPr>
                <w:rFonts w:hint="eastAsia"/>
                <w:color w:val="auto"/>
                <w:highlight w:val="none"/>
                <w:lang w:val="en-US" w:eastAsia="zh-CN"/>
              </w:rPr>
            </w:pPr>
            <w:r>
              <w:rPr>
                <w:rFonts w:hint="default" w:ascii="Times New Roman" w:hAnsi="Times New Roman" w:eastAsia="宋体" w:cs="Times New Roman"/>
                <w:b/>
                <w:bCs/>
                <w:color w:val="auto"/>
                <w:kern w:val="2"/>
                <w:sz w:val="21"/>
                <w:szCs w:val="21"/>
                <w:highlight w:val="none"/>
                <w:lang w:val="en-US" w:eastAsia="zh-CN" w:bidi="ar-SA"/>
              </w:rPr>
              <w:t>表3</w:t>
            </w:r>
            <w:r>
              <w:rPr>
                <w:rFonts w:hint="eastAsia" w:cs="Times New Roman"/>
                <w:b/>
                <w:bCs/>
                <w:color w:val="auto"/>
                <w:kern w:val="2"/>
                <w:sz w:val="21"/>
                <w:szCs w:val="21"/>
                <w:highlight w:val="none"/>
                <w:lang w:val="en-US" w:eastAsia="zh-CN" w:bidi="ar-SA"/>
              </w:rPr>
              <w:t>.3-2 废水</w:t>
            </w:r>
            <w:r>
              <w:rPr>
                <w:rFonts w:hint="eastAsia"/>
                <w:color w:val="auto"/>
                <w:highlight w:val="none"/>
                <w:lang w:val="en-US" w:eastAsia="zh-CN"/>
              </w:rPr>
              <w:t>排放标准  单位：mg/L，pH无量纲</w:t>
            </w:r>
          </w:p>
          <w:tbl>
            <w:tblPr>
              <w:tblStyle w:val="2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39"/>
              <w:gridCol w:w="683"/>
              <w:gridCol w:w="912"/>
              <w:gridCol w:w="832"/>
              <w:gridCol w:w="710"/>
              <w:gridCol w:w="741"/>
              <w:gridCol w:w="726"/>
              <w:gridCol w:w="788"/>
            </w:tblGrid>
            <w:tr w14:paraId="7F25E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trPr>
              <w:tc>
                <w:tcPr>
                  <w:tcW w:w="1684" w:type="pct"/>
                  <w:tcBorders>
                    <w:tl2br w:val="nil"/>
                    <w:tr2bl w:val="nil"/>
                  </w:tcBorders>
                  <w:noWrap w:val="0"/>
                  <w:vAlign w:val="center"/>
                </w:tcPr>
                <w:p w14:paraId="16AB681E">
                  <w:pPr>
                    <w:pStyle w:val="37"/>
                    <w:keepNext w:val="0"/>
                    <w:keepLines w:val="0"/>
                    <w:suppressLineNumbers w:val="0"/>
                    <w:bidi w:val="0"/>
                    <w:spacing w:before="0" w:beforeAutospacing="0" w:after="0" w:afterAutospacing="0"/>
                    <w:ind w:left="0" w:right="0"/>
                    <w:rPr>
                      <w:rFonts w:hint="default"/>
                      <w:b/>
                      <w:bCs/>
                      <w:color w:val="auto"/>
                      <w:highlight w:val="none"/>
                      <w:u w:val="none"/>
                      <w:lang w:eastAsia="zh-CN"/>
                    </w:rPr>
                  </w:pPr>
                  <w:r>
                    <w:rPr>
                      <w:rFonts w:hint="default"/>
                      <w:b/>
                      <w:bCs/>
                      <w:color w:val="auto"/>
                      <w:highlight w:val="none"/>
                      <w:u w:val="none"/>
                      <w:lang w:eastAsia="zh-CN"/>
                    </w:rPr>
                    <w:t>项目</w:t>
                  </w:r>
                </w:p>
              </w:tc>
              <w:tc>
                <w:tcPr>
                  <w:tcW w:w="419" w:type="pct"/>
                  <w:tcBorders>
                    <w:tl2br w:val="nil"/>
                    <w:tr2bl w:val="nil"/>
                  </w:tcBorders>
                  <w:noWrap w:val="0"/>
                  <w:vAlign w:val="center"/>
                </w:tcPr>
                <w:p w14:paraId="73291F43">
                  <w:pPr>
                    <w:pStyle w:val="37"/>
                    <w:keepNext w:val="0"/>
                    <w:keepLines w:val="0"/>
                    <w:suppressLineNumbers w:val="0"/>
                    <w:bidi w:val="0"/>
                    <w:spacing w:before="0" w:beforeAutospacing="0" w:after="0" w:afterAutospacing="0"/>
                    <w:ind w:left="0" w:right="0"/>
                    <w:rPr>
                      <w:rFonts w:hint="default"/>
                      <w:b/>
                      <w:bCs/>
                      <w:color w:val="auto"/>
                      <w:highlight w:val="none"/>
                      <w:u w:val="none"/>
                      <w:lang w:val="en-US" w:eastAsia="zh-CN"/>
                    </w:rPr>
                  </w:pPr>
                  <w:r>
                    <w:rPr>
                      <w:rFonts w:hint="eastAsia"/>
                      <w:b/>
                      <w:bCs/>
                      <w:color w:val="auto"/>
                      <w:highlight w:val="none"/>
                      <w:u w:val="none"/>
                      <w:lang w:val="en-US" w:eastAsia="zh-CN"/>
                    </w:rPr>
                    <w:t>pH</w:t>
                  </w:r>
                </w:p>
              </w:tc>
              <w:tc>
                <w:tcPr>
                  <w:tcW w:w="560" w:type="pct"/>
                  <w:tcBorders>
                    <w:tl2br w:val="nil"/>
                    <w:tr2bl w:val="nil"/>
                  </w:tcBorders>
                  <w:noWrap w:val="0"/>
                  <w:vAlign w:val="center"/>
                </w:tcPr>
                <w:p w14:paraId="54F4EA4E">
                  <w:pPr>
                    <w:pStyle w:val="37"/>
                    <w:keepNext w:val="0"/>
                    <w:keepLines w:val="0"/>
                    <w:suppressLineNumbers w:val="0"/>
                    <w:bidi w:val="0"/>
                    <w:spacing w:before="0" w:beforeAutospacing="0" w:after="0" w:afterAutospacing="0"/>
                    <w:ind w:left="0" w:right="0"/>
                    <w:rPr>
                      <w:rFonts w:hint="default"/>
                      <w:b/>
                      <w:bCs/>
                      <w:color w:val="auto"/>
                      <w:highlight w:val="none"/>
                      <w:u w:val="none"/>
                      <w:lang w:val="en-US" w:eastAsia="zh-CN"/>
                    </w:rPr>
                  </w:pPr>
                  <w:r>
                    <w:rPr>
                      <w:rFonts w:hint="eastAsia"/>
                      <w:b/>
                      <w:bCs/>
                      <w:color w:val="auto"/>
                      <w:highlight w:val="none"/>
                      <w:u w:val="none"/>
                      <w:lang w:val="en-US" w:eastAsia="zh-CN"/>
                    </w:rPr>
                    <w:t>COD</w:t>
                  </w:r>
                </w:p>
              </w:tc>
              <w:tc>
                <w:tcPr>
                  <w:tcW w:w="511" w:type="pct"/>
                  <w:tcBorders>
                    <w:tl2br w:val="nil"/>
                    <w:tr2bl w:val="nil"/>
                  </w:tcBorders>
                  <w:noWrap w:val="0"/>
                  <w:vAlign w:val="center"/>
                </w:tcPr>
                <w:p w14:paraId="57D19BE7">
                  <w:pPr>
                    <w:pStyle w:val="37"/>
                    <w:keepNext w:val="0"/>
                    <w:keepLines w:val="0"/>
                    <w:suppressLineNumbers w:val="0"/>
                    <w:bidi w:val="0"/>
                    <w:spacing w:before="0" w:beforeAutospacing="0" w:after="0" w:afterAutospacing="0"/>
                    <w:ind w:left="0" w:right="0"/>
                    <w:rPr>
                      <w:rFonts w:hint="default"/>
                      <w:b/>
                      <w:bCs/>
                      <w:color w:val="auto"/>
                      <w:highlight w:val="none"/>
                      <w:u w:val="none"/>
                      <w:lang w:val="en-US" w:eastAsia="zh-CN"/>
                    </w:rPr>
                  </w:pPr>
                  <w:r>
                    <w:rPr>
                      <w:rFonts w:hint="eastAsia"/>
                      <w:b/>
                      <w:bCs/>
                      <w:color w:val="auto"/>
                      <w:highlight w:val="none"/>
                      <w:u w:val="none"/>
                      <w:lang w:val="en-US" w:eastAsia="zh-CN"/>
                    </w:rPr>
                    <w:t>BOD</w:t>
                  </w:r>
                  <w:r>
                    <w:rPr>
                      <w:rFonts w:hint="eastAsia"/>
                      <w:b/>
                      <w:bCs/>
                      <w:color w:val="auto"/>
                      <w:highlight w:val="none"/>
                      <w:u w:val="none"/>
                      <w:vertAlign w:val="subscript"/>
                      <w:lang w:val="en-US" w:eastAsia="zh-CN"/>
                    </w:rPr>
                    <w:t>5</w:t>
                  </w:r>
                </w:p>
              </w:tc>
              <w:tc>
                <w:tcPr>
                  <w:tcW w:w="436" w:type="pct"/>
                  <w:tcBorders>
                    <w:tl2br w:val="nil"/>
                    <w:tr2bl w:val="nil"/>
                  </w:tcBorders>
                  <w:noWrap w:val="0"/>
                  <w:vAlign w:val="center"/>
                </w:tcPr>
                <w:p w14:paraId="31C71F06">
                  <w:pPr>
                    <w:pStyle w:val="37"/>
                    <w:keepNext w:val="0"/>
                    <w:keepLines w:val="0"/>
                    <w:suppressLineNumbers w:val="0"/>
                    <w:bidi w:val="0"/>
                    <w:spacing w:before="0" w:beforeAutospacing="0" w:after="0" w:afterAutospacing="0"/>
                    <w:ind w:left="0" w:right="0"/>
                    <w:rPr>
                      <w:rFonts w:hint="default"/>
                      <w:b/>
                      <w:bCs/>
                      <w:color w:val="auto"/>
                      <w:highlight w:val="none"/>
                      <w:u w:val="none"/>
                      <w:lang w:val="en-US" w:eastAsia="zh-CN"/>
                    </w:rPr>
                  </w:pPr>
                  <w:r>
                    <w:rPr>
                      <w:rFonts w:hint="eastAsia"/>
                      <w:b/>
                      <w:bCs/>
                      <w:color w:val="auto"/>
                      <w:highlight w:val="none"/>
                      <w:u w:val="none"/>
                      <w:lang w:val="en-US" w:eastAsia="zh-CN"/>
                    </w:rPr>
                    <w:t>氨氮</w:t>
                  </w:r>
                </w:p>
              </w:tc>
              <w:tc>
                <w:tcPr>
                  <w:tcW w:w="455" w:type="pct"/>
                  <w:tcBorders>
                    <w:tl2br w:val="nil"/>
                    <w:tr2bl w:val="nil"/>
                  </w:tcBorders>
                  <w:noWrap w:val="0"/>
                  <w:vAlign w:val="center"/>
                </w:tcPr>
                <w:p w14:paraId="5928D291">
                  <w:pPr>
                    <w:pStyle w:val="37"/>
                    <w:keepNext w:val="0"/>
                    <w:keepLines w:val="0"/>
                    <w:suppressLineNumbers w:val="0"/>
                    <w:bidi w:val="0"/>
                    <w:spacing w:before="0" w:beforeAutospacing="0" w:after="0" w:afterAutospacing="0"/>
                    <w:ind w:left="0" w:right="0"/>
                    <w:rPr>
                      <w:rFonts w:hint="default"/>
                      <w:b/>
                      <w:bCs/>
                      <w:color w:val="auto"/>
                      <w:highlight w:val="none"/>
                      <w:u w:val="none"/>
                      <w:lang w:val="en-US" w:eastAsia="zh-CN"/>
                    </w:rPr>
                  </w:pPr>
                  <w:r>
                    <w:rPr>
                      <w:rFonts w:hint="eastAsia"/>
                      <w:b/>
                      <w:bCs/>
                      <w:color w:val="auto"/>
                      <w:highlight w:val="none"/>
                      <w:u w:val="none"/>
                      <w:lang w:val="en-US" w:eastAsia="zh-CN"/>
                    </w:rPr>
                    <w:t>SS</w:t>
                  </w:r>
                </w:p>
              </w:tc>
              <w:tc>
                <w:tcPr>
                  <w:tcW w:w="446" w:type="pct"/>
                  <w:tcBorders>
                    <w:tl2br w:val="nil"/>
                    <w:tr2bl w:val="nil"/>
                  </w:tcBorders>
                  <w:noWrap w:val="0"/>
                  <w:vAlign w:val="center"/>
                </w:tcPr>
                <w:p w14:paraId="2E1D6790">
                  <w:pPr>
                    <w:pStyle w:val="37"/>
                    <w:keepNext w:val="0"/>
                    <w:keepLines w:val="0"/>
                    <w:suppressLineNumbers w:val="0"/>
                    <w:bidi w:val="0"/>
                    <w:spacing w:before="0" w:beforeAutospacing="0" w:after="0" w:afterAutospacing="0"/>
                    <w:ind w:left="0" w:right="0"/>
                    <w:rPr>
                      <w:rFonts w:hint="default"/>
                      <w:b/>
                      <w:bCs/>
                      <w:color w:val="auto"/>
                      <w:highlight w:val="none"/>
                      <w:u w:val="none"/>
                      <w:lang w:val="en-US" w:eastAsia="zh-CN"/>
                    </w:rPr>
                  </w:pPr>
                  <w:r>
                    <w:rPr>
                      <w:rFonts w:hint="eastAsia"/>
                      <w:b/>
                      <w:bCs/>
                      <w:color w:val="auto"/>
                      <w:highlight w:val="none"/>
                      <w:u w:val="none"/>
                      <w:lang w:val="en-US" w:eastAsia="zh-CN"/>
                    </w:rPr>
                    <w:t>TP</w:t>
                  </w:r>
                </w:p>
              </w:tc>
              <w:tc>
                <w:tcPr>
                  <w:tcW w:w="484" w:type="pct"/>
                  <w:tcBorders>
                    <w:tl2br w:val="nil"/>
                    <w:tr2bl w:val="nil"/>
                  </w:tcBorders>
                  <w:noWrap w:val="0"/>
                  <w:vAlign w:val="center"/>
                </w:tcPr>
                <w:p w14:paraId="078D9BC4">
                  <w:pPr>
                    <w:pStyle w:val="37"/>
                    <w:keepNext w:val="0"/>
                    <w:keepLines w:val="0"/>
                    <w:suppressLineNumbers w:val="0"/>
                    <w:bidi w:val="0"/>
                    <w:spacing w:before="0" w:beforeAutospacing="0" w:after="0" w:afterAutospacing="0"/>
                    <w:ind w:left="0" w:right="0"/>
                    <w:rPr>
                      <w:rFonts w:hint="default"/>
                      <w:b/>
                      <w:bCs/>
                      <w:color w:val="auto"/>
                      <w:highlight w:val="none"/>
                      <w:u w:val="none"/>
                      <w:lang w:val="en-US" w:eastAsia="zh-CN"/>
                    </w:rPr>
                  </w:pPr>
                  <w:r>
                    <w:rPr>
                      <w:rFonts w:hint="eastAsia"/>
                      <w:b/>
                      <w:bCs/>
                      <w:color w:val="auto"/>
                      <w:highlight w:val="none"/>
                      <w:u w:val="none"/>
                      <w:lang w:val="en-US" w:eastAsia="zh-CN"/>
                    </w:rPr>
                    <w:t>TN</w:t>
                  </w:r>
                </w:p>
              </w:tc>
            </w:tr>
            <w:tr w14:paraId="1FCAF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trPr>
              <w:tc>
                <w:tcPr>
                  <w:tcW w:w="1684" w:type="pct"/>
                  <w:tcBorders>
                    <w:tl2br w:val="nil"/>
                    <w:tr2bl w:val="nil"/>
                  </w:tcBorders>
                  <w:noWrap w:val="0"/>
                  <w:vAlign w:val="center"/>
                </w:tcPr>
                <w:p w14:paraId="2714DD3B">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rPr>
                    <w:t>《污水综合排放标准》（GB8978-1996）三级标准</w:t>
                  </w:r>
                </w:p>
              </w:tc>
              <w:tc>
                <w:tcPr>
                  <w:tcW w:w="419" w:type="pct"/>
                  <w:tcBorders>
                    <w:tl2br w:val="nil"/>
                    <w:tr2bl w:val="nil"/>
                  </w:tcBorders>
                  <w:noWrap w:val="0"/>
                  <w:vAlign w:val="center"/>
                </w:tcPr>
                <w:p w14:paraId="7F6823F1">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6~9</w:t>
                  </w:r>
                </w:p>
              </w:tc>
              <w:tc>
                <w:tcPr>
                  <w:tcW w:w="560" w:type="pct"/>
                  <w:tcBorders>
                    <w:tl2br w:val="nil"/>
                    <w:tr2bl w:val="nil"/>
                  </w:tcBorders>
                  <w:noWrap w:val="0"/>
                  <w:vAlign w:val="center"/>
                </w:tcPr>
                <w:p w14:paraId="04BFF54D">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≤500</w:t>
                  </w:r>
                </w:p>
              </w:tc>
              <w:tc>
                <w:tcPr>
                  <w:tcW w:w="511" w:type="pct"/>
                  <w:tcBorders>
                    <w:tl2br w:val="nil"/>
                    <w:tr2bl w:val="nil"/>
                  </w:tcBorders>
                  <w:noWrap w:val="0"/>
                  <w:vAlign w:val="center"/>
                </w:tcPr>
                <w:p w14:paraId="07277D08">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default"/>
                      <w:color w:val="auto"/>
                      <w:highlight w:val="none"/>
                      <w:u w:val="none"/>
                      <w:lang w:eastAsia="zh-CN"/>
                    </w:rPr>
                    <w:t>≤</w:t>
                  </w:r>
                  <w:r>
                    <w:rPr>
                      <w:rFonts w:hint="eastAsia"/>
                      <w:color w:val="auto"/>
                      <w:highlight w:val="none"/>
                      <w:u w:val="none"/>
                      <w:lang w:val="en-US" w:eastAsia="zh-CN"/>
                    </w:rPr>
                    <w:t>300</w:t>
                  </w:r>
                </w:p>
              </w:tc>
              <w:tc>
                <w:tcPr>
                  <w:tcW w:w="436" w:type="pct"/>
                  <w:tcBorders>
                    <w:tl2br w:val="nil"/>
                    <w:tr2bl w:val="nil"/>
                  </w:tcBorders>
                  <w:noWrap w:val="0"/>
                  <w:vAlign w:val="center"/>
                </w:tcPr>
                <w:p w14:paraId="1660FA0F">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w:t>
                  </w:r>
                </w:p>
              </w:tc>
              <w:tc>
                <w:tcPr>
                  <w:tcW w:w="455" w:type="pct"/>
                  <w:tcBorders>
                    <w:tl2br w:val="nil"/>
                    <w:tr2bl w:val="nil"/>
                  </w:tcBorders>
                  <w:noWrap w:val="0"/>
                  <w:vAlign w:val="center"/>
                </w:tcPr>
                <w:p w14:paraId="41B85C7E">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default"/>
                      <w:color w:val="auto"/>
                      <w:highlight w:val="none"/>
                      <w:u w:val="none"/>
                      <w:lang w:eastAsia="zh-CN"/>
                    </w:rPr>
                    <w:t>≤</w:t>
                  </w:r>
                  <w:r>
                    <w:rPr>
                      <w:rFonts w:hint="eastAsia"/>
                      <w:color w:val="auto"/>
                      <w:highlight w:val="none"/>
                      <w:u w:val="none"/>
                      <w:lang w:val="en-US" w:eastAsia="zh-CN"/>
                    </w:rPr>
                    <w:t>400</w:t>
                  </w:r>
                </w:p>
              </w:tc>
              <w:tc>
                <w:tcPr>
                  <w:tcW w:w="446" w:type="pct"/>
                  <w:tcBorders>
                    <w:tl2br w:val="nil"/>
                    <w:tr2bl w:val="nil"/>
                  </w:tcBorders>
                  <w:noWrap w:val="0"/>
                  <w:vAlign w:val="center"/>
                </w:tcPr>
                <w:p w14:paraId="5E080E05">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w:t>
                  </w:r>
                </w:p>
              </w:tc>
              <w:tc>
                <w:tcPr>
                  <w:tcW w:w="484" w:type="pct"/>
                  <w:tcBorders>
                    <w:tl2br w:val="nil"/>
                    <w:tr2bl w:val="nil"/>
                  </w:tcBorders>
                  <w:noWrap w:val="0"/>
                  <w:vAlign w:val="center"/>
                </w:tcPr>
                <w:p w14:paraId="1DD68E72">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w:t>
                  </w:r>
                </w:p>
              </w:tc>
            </w:tr>
            <w:tr w14:paraId="2F8FE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trPr>
              <w:tc>
                <w:tcPr>
                  <w:tcW w:w="1684" w:type="pct"/>
                  <w:tcBorders>
                    <w:tl2br w:val="nil"/>
                    <w:tr2bl w:val="nil"/>
                  </w:tcBorders>
                  <w:noWrap w:val="0"/>
                  <w:vAlign w:val="center"/>
                </w:tcPr>
                <w:p w14:paraId="47CFEB89">
                  <w:pPr>
                    <w:pStyle w:val="37"/>
                    <w:keepNext w:val="0"/>
                    <w:keepLines w:val="0"/>
                    <w:suppressLineNumbers w:val="0"/>
                    <w:bidi w:val="0"/>
                    <w:spacing w:before="0" w:beforeAutospacing="0" w:after="0" w:afterAutospacing="0"/>
                    <w:ind w:left="0" w:right="0"/>
                    <w:rPr>
                      <w:rFonts w:hint="eastAsia"/>
                      <w:color w:val="auto"/>
                      <w:highlight w:val="none"/>
                      <w:u w:val="none"/>
                      <w:lang w:val="en-US" w:eastAsia="zh-CN"/>
                    </w:rPr>
                  </w:pPr>
                  <w:r>
                    <w:rPr>
                      <w:rFonts w:hint="eastAsia" w:cs="Times New Roman"/>
                      <w:color w:val="auto"/>
                      <w:highlight w:val="none"/>
                      <w:u w:val="none"/>
                      <w:lang w:val="en-US" w:eastAsia="zh-CN"/>
                    </w:rPr>
                    <w:t>官家嘴镇污水处理站</w:t>
                  </w:r>
                  <w:r>
                    <w:rPr>
                      <w:rFonts w:hint="eastAsia"/>
                      <w:color w:val="auto"/>
                      <w:highlight w:val="none"/>
                      <w:u w:val="none"/>
                    </w:rPr>
                    <w:t>纳管标准</w:t>
                  </w:r>
                </w:p>
              </w:tc>
              <w:tc>
                <w:tcPr>
                  <w:tcW w:w="419" w:type="pct"/>
                  <w:tcBorders>
                    <w:tl2br w:val="nil"/>
                    <w:tr2bl w:val="nil"/>
                  </w:tcBorders>
                  <w:noWrap w:val="0"/>
                  <w:vAlign w:val="center"/>
                </w:tcPr>
                <w:p w14:paraId="222AF96F">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6~9</w:t>
                  </w:r>
                </w:p>
              </w:tc>
              <w:tc>
                <w:tcPr>
                  <w:tcW w:w="560" w:type="pct"/>
                  <w:tcBorders>
                    <w:tl2br w:val="nil"/>
                    <w:tr2bl w:val="nil"/>
                  </w:tcBorders>
                  <w:noWrap w:val="0"/>
                  <w:vAlign w:val="center"/>
                </w:tcPr>
                <w:p w14:paraId="06F752C5">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≤280</w:t>
                  </w:r>
                </w:p>
              </w:tc>
              <w:tc>
                <w:tcPr>
                  <w:tcW w:w="511" w:type="pct"/>
                  <w:tcBorders>
                    <w:tl2br w:val="nil"/>
                    <w:tr2bl w:val="nil"/>
                  </w:tcBorders>
                  <w:noWrap w:val="0"/>
                  <w:vAlign w:val="center"/>
                </w:tcPr>
                <w:p w14:paraId="0511238C">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default"/>
                      <w:color w:val="auto"/>
                      <w:highlight w:val="none"/>
                      <w:u w:val="none"/>
                      <w:lang w:eastAsia="zh-CN"/>
                    </w:rPr>
                    <w:t>≤</w:t>
                  </w:r>
                  <w:r>
                    <w:rPr>
                      <w:rFonts w:hint="eastAsia"/>
                      <w:color w:val="auto"/>
                      <w:highlight w:val="none"/>
                      <w:u w:val="none"/>
                      <w:lang w:val="en-US" w:eastAsia="zh-CN"/>
                    </w:rPr>
                    <w:t>150</w:t>
                  </w:r>
                </w:p>
              </w:tc>
              <w:tc>
                <w:tcPr>
                  <w:tcW w:w="436" w:type="pct"/>
                  <w:tcBorders>
                    <w:tl2br w:val="nil"/>
                    <w:tr2bl w:val="nil"/>
                  </w:tcBorders>
                  <w:noWrap w:val="0"/>
                  <w:vAlign w:val="center"/>
                </w:tcPr>
                <w:p w14:paraId="348ED2EA">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default"/>
                      <w:color w:val="auto"/>
                      <w:highlight w:val="none"/>
                      <w:u w:val="none"/>
                      <w:lang w:eastAsia="zh-CN"/>
                    </w:rPr>
                    <w:t>≤</w:t>
                  </w:r>
                  <w:r>
                    <w:rPr>
                      <w:rFonts w:hint="eastAsia"/>
                      <w:color w:val="auto"/>
                      <w:highlight w:val="none"/>
                      <w:u w:val="none"/>
                      <w:lang w:val="en-US" w:eastAsia="zh-CN"/>
                    </w:rPr>
                    <w:t>30</w:t>
                  </w:r>
                </w:p>
              </w:tc>
              <w:tc>
                <w:tcPr>
                  <w:tcW w:w="455" w:type="pct"/>
                  <w:tcBorders>
                    <w:tl2br w:val="nil"/>
                    <w:tr2bl w:val="nil"/>
                  </w:tcBorders>
                  <w:noWrap w:val="0"/>
                  <w:vAlign w:val="center"/>
                </w:tcPr>
                <w:p w14:paraId="68752DC7">
                  <w:pPr>
                    <w:pStyle w:val="37"/>
                    <w:keepNext w:val="0"/>
                    <w:keepLines w:val="0"/>
                    <w:suppressLineNumbers w:val="0"/>
                    <w:bidi w:val="0"/>
                    <w:spacing w:before="0" w:beforeAutospacing="0" w:after="0" w:afterAutospacing="0"/>
                    <w:ind w:left="0" w:right="0"/>
                    <w:rPr>
                      <w:rFonts w:hint="default"/>
                      <w:color w:val="auto"/>
                      <w:highlight w:val="none"/>
                      <w:u w:val="none"/>
                      <w:lang w:eastAsia="zh-CN"/>
                    </w:rPr>
                  </w:pPr>
                  <w:r>
                    <w:rPr>
                      <w:rFonts w:hint="default"/>
                      <w:color w:val="auto"/>
                      <w:highlight w:val="none"/>
                      <w:u w:val="none"/>
                      <w:lang w:eastAsia="zh-CN"/>
                    </w:rPr>
                    <w:t>≤</w:t>
                  </w:r>
                  <w:r>
                    <w:rPr>
                      <w:rFonts w:hint="eastAsia"/>
                      <w:color w:val="auto"/>
                      <w:highlight w:val="none"/>
                      <w:u w:val="none"/>
                      <w:lang w:val="en-US" w:eastAsia="zh-CN"/>
                    </w:rPr>
                    <w:t>200</w:t>
                  </w:r>
                </w:p>
              </w:tc>
              <w:tc>
                <w:tcPr>
                  <w:tcW w:w="446" w:type="pct"/>
                  <w:tcBorders>
                    <w:tl2br w:val="nil"/>
                    <w:tr2bl w:val="nil"/>
                  </w:tcBorders>
                  <w:noWrap w:val="0"/>
                  <w:vAlign w:val="center"/>
                </w:tcPr>
                <w:p w14:paraId="30E155BB">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default"/>
                      <w:color w:val="auto"/>
                      <w:highlight w:val="none"/>
                      <w:u w:val="none"/>
                      <w:lang w:eastAsia="zh-CN"/>
                    </w:rPr>
                    <w:t>≤</w:t>
                  </w:r>
                  <w:r>
                    <w:rPr>
                      <w:rFonts w:hint="eastAsia"/>
                      <w:color w:val="auto"/>
                      <w:highlight w:val="none"/>
                      <w:u w:val="none"/>
                      <w:lang w:val="en-US" w:eastAsia="zh-CN"/>
                    </w:rPr>
                    <w:t>3</w:t>
                  </w:r>
                </w:p>
              </w:tc>
              <w:tc>
                <w:tcPr>
                  <w:tcW w:w="484" w:type="pct"/>
                  <w:tcBorders>
                    <w:tl2br w:val="nil"/>
                    <w:tr2bl w:val="nil"/>
                  </w:tcBorders>
                  <w:noWrap w:val="0"/>
                  <w:vAlign w:val="center"/>
                </w:tcPr>
                <w:p w14:paraId="61A32150">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default"/>
                      <w:color w:val="auto"/>
                      <w:highlight w:val="none"/>
                      <w:u w:val="none"/>
                      <w:lang w:eastAsia="zh-CN"/>
                    </w:rPr>
                    <w:t>≤</w:t>
                  </w:r>
                  <w:r>
                    <w:rPr>
                      <w:rFonts w:hint="eastAsia"/>
                      <w:color w:val="auto"/>
                      <w:highlight w:val="none"/>
                      <w:u w:val="none"/>
                      <w:lang w:val="en-US" w:eastAsia="zh-CN"/>
                    </w:rPr>
                    <w:t>40</w:t>
                  </w:r>
                </w:p>
              </w:tc>
            </w:tr>
            <w:tr w14:paraId="62EF7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 w:hRule="atLeast"/>
              </w:trPr>
              <w:tc>
                <w:tcPr>
                  <w:tcW w:w="1684" w:type="pct"/>
                  <w:tcBorders>
                    <w:tl2br w:val="nil"/>
                    <w:tr2bl w:val="nil"/>
                  </w:tcBorders>
                  <w:noWrap w:val="0"/>
                  <w:vAlign w:val="center"/>
                </w:tcPr>
                <w:p w14:paraId="384D7DE0">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本项目执行标准</w:t>
                  </w:r>
                </w:p>
              </w:tc>
              <w:tc>
                <w:tcPr>
                  <w:tcW w:w="419" w:type="pct"/>
                  <w:tcBorders>
                    <w:tl2br w:val="nil"/>
                    <w:tr2bl w:val="nil"/>
                  </w:tcBorders>
                  <w:noWrap w:val="0"/>
                  <w:vAlign w:val="center"/>
                </w:tcPr>
                <w:p w14:paraId="09805E33">
                  <w:pPr>
                    <w:pStyle w:val="37"/>
                    <w:keepNext w:val="0"/>
                    <w:keepLines w:val="0"/>
                    <w:suppressLineNumbers w:val="0"/>
                    <w:bidi w:val="0"/>
                    <w:spacing w:before="0" w:beforeAutospacing="0" w:after="0" w:afterAutospacing="0"/>
                    <w:ind w:left="0" w:right="0"/>
                    <w:rPr>
                      <w:rFonts w:hint="eastAsia"/>
                      <w:color w:val="auto"/>
                      <w:highlight w:val="none"/>
                      <w:u w:val="none"/>
                      <w:lang w:val="en-US" w:eastAsia="zh-CN"/>
                    </w:rPr>
                  </w:pPr>
                  <w:r>
                    <w:rPr>
                      <w:rFonts w:hint="eastAsia"/>
                      <w:color w:val="auto"/>
                      <w:highlight w:val="none"/>
                      <w:u w:val="none"/>
                      <w:lang w:val="en-US" w:eastAsia="zh-CN"/>
                    </w:rPr>
                    <w:t>6~9</w:t>
                  </w:r>
                </w:p>
              </w:tc>
              <w:tc>
                <w:tcPr>
                  <w:tcW w:w="560" w:type="pct"/>
                  <w:tcBorders>
                    <w:tl2br w:val="nil"/>
                    <w:tr2bl w:val="nil"/>
                  </w:tcBorders>
                  <w:noWrap w:val="0"/>
                  <w:vAlign w:val="center"/>
                </w:tcPr>
                <w:p w14:paraId="1F0589BA">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≤280</w:t>
                  </w:r>
                </w:p>
              </w:tc>
              <w:tc>
                <w:tcPr>
                  <w:tcW w:w="511" w:type="pct"/>
                  <w:tcBorders>
                    <w:tl2br w:val="nil"/>
                    <w:tr2bl w:val="nil"/>
                  </w:tcBorders>
                  <w:noWrap w:val="0"/>
                  <w:vAlign w:val="center"/>
                </w:tcPr>
                <w:p w14:paraId="4EE98EAB">
                  <w:pPr>
                    <w:pStyle w:val="37"/>
                    <w:keepNext w:val="0"/>
                    <w:keepLines w:val="0"/>
                    <w:suppressLineNumbers w:val="0"/>
                    <w:bidi w:val="0"/>
                    <w:spacing w:before="0" w:beforeAutospacing="0" w:after="0" w:afterAutospacing="0"/>
                    <w:ind w:left="0" w:leftChars="0" w:right="0" w:rightChars="0"/>
                    <w:rPr>
                      <w:rFonts w:hint="default"/>
                      <w:color w:val="auto"/>
                      <w:highlight w:val="none"/>
                      <w:u w:val="none"/>
                      <w:lang w:eastAsia="zh-CN"/>
                    </w:rPr>
                  </w:pPr>
                  <w:r>
                    <w:rPr>
                      <w:rFonts w:hint="default"/>
                      <w:color w:val="auto"/>
                      <w:highlight w:val="none"/>
                      <w:u w:val="none"/>
                      <w:lang w:eastAsia="zh-CN"/>
                    </w:rPr>
                    <w:t>≤</w:t>
                  </w:r>
                  <w:r>
                    <w:rPr>
                      <w:rFonts w:hint="eastAsia"/>
                      <w:color w:val="auto"/>
                      <w:highlight w:val="none"/>
                      <w:u w:val="none"/>
                      <w:lang w:val="en-US" w:eastAsia="zh-CN"/>
                    </w:rPr>
                    <w:t>150</w:t>
                  </w:r>
                </w:p>
              </w:tc>
              <w:tc>
                <w:tcPr>
                  <w:tcW w:w="436" w:type="pct"/>
                  <w:tcBorders>
                    <w:tl2br w:val="nil"/>
                    <w:tr2bl w:val="nil"/>
                  </w:tcBorders>
                  <w:noWrap w:val="0"/>
                  <w:vAlign w:val="center"/>
                </w:tcPr>
                <w:p w14:paraId="2276D20C">
                  <w:pPr>
                    <w:pStyle w:val="37"/>
                    <w:keepNext w:val="0"/>
                    <w:keepLines w:val="0"/>
                    <w:suppressLineNumbers w:val="0"/>
                    <w:bidi w:val="0"/>
                    <w:spacing w:before="0" w:beforeAutospacing="0" w:after="0" w:afterAutospacing="0"/>
                    <w:ind w:left="0" w:leftChars="0" w:right="0" w:rightChars="0"/>
                    <w:rPr>
                      <w:rFonts w:hint="default"/>
                      <w:color w:val="auto"/>
                      <w:highlight w:val="none"/>
                      <w:u w:val="none"/>
                      <w:lang w:eastAsia="zh-CN"/>
                    </w:rPr>
                  </w:pPr>
                  <w:r>
                    <w:rPr>
                      <w:rFonts w:hint="default"/>
                      <w:color w:val="auto"/>
                      <w:highlight w:val="none"/>
                      <w:u w:val="none"/>
                      <w:lang w:eastAsia="zh-CN"/>
                    </w:rPr>
                    <w:t>≤</w:t>
                  </w:r>
                  <w:r>
                    <w:rPr>
                      <w:rFonts w:hint="eastAsia"/>
                      <w:color w:val="auto"/>
                      <w:highlight w:val="none"/>
                      <w:u w:val="none"/>
                      <w:lang w:val="en-US" w:eastAsia="zh-CN"/>
                    </w:rPr>
                    <w:t>30</w:t>
                  </w:r>
                </w:p>
              </w:tc>
              <w:tc>
                <w:tcPr>
                  <w:tcW w:w="455" w:type="pct"/>
                  <w:tcBorders>
                    <w:tl2br w:val="nil"/>
                    <w:tr2bl w:val="nil"/>
                  </w:tcBorders>
                  <w:noWrap w:val="0"/>
                  <w:vAlign w:val="center"/>
                </w:tcPr>
                <w:p w14:paraId="5A2F9BCC">
                  <w:pPr>
                    <w:pStyle w:val="37"/>
                    <w:keepNext w:val="0"/>
                    <w:keepLines w:val="0"/>
                    <w:suppressLineNumbers w:val="0"/>
                    <w:bidi w:val="0"/>
                    <w:spacing w:before="0" w:beforeAutospacing="0" w:after="0" w:afterAutospacing="0"/>
                    <w:ind w:left="0" w:right="0"/>
                    <w:rPr>
                      <w:rFonts w:hint="default"/>
                      <w:color w:val="auto"/>
                      <w:highlight w:val="none"/>
                      <w:u w:val="none"/>
                      <w:lang w:eastAsia="zh-CN"/>
                    </w:rPr>
                  </w:pPr>
                  <w:r>
                    <w:rPr>
                      <w:rFonts w:hint="default"/>
                      <w:color w:val="auto"/>
                      <w:highlight w:val="none"/>
                      <w:u w:val="none"/>
                      <w:lang w:eastAsia="zh-CN"/>
                    </w:rPr>
                    <w:t>≤</w:t>
                  </w:r>
                  <w:r>
                    <w:rPr>
                      <w:rFonts w:hint="eastAsia"/>
                      <w:color w:val="auto"/>
                      <w:highlight w:val="none"/>
                      <w:u w:val="none"/>
                      <w:lang w:val="en-US" w:eastAsia="zh-CN"/>
                    </w:rPr>
                    <w:t>200</w:t>
                  </w:r>
                </w:p>
              </w:tc>
              <w:tc>
                <w:tcPr>
                  <w:tcW w:w="446" w:type="pct"/>
                  <w:tcBorders>
                    <w:tl2br w:val="nil"/>
                    <w:tr2bl w:val="nil"/>
                  </w:tcBorders>
                  <w:shd w:val="clear" w:color="auto" w:fill="auto"/>
                  <w:noWrap w:val="0"/>
                  <w:vAlign w:val="center"/>
                </w:tcPr>
                <w:p w14:paraId="66DCF99E">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lang w:val="en-US" w:eastAsia="zh-CN" w:bidi="ar-SA"/>
                    </w:rPr>
                  </w:pPr>
                  <w:r>
                    <w:rPr>
                      <w:rFonts w:hint="default"/>
                      <w:color w:val="auto"/>
                      <w:highlight w:val="none"/>
                      <w:u w:val="none"/>
                      <w:lang w:eastAsia="zh-CN"/>
                    </w:rPr>
                    <w:t>≤</w:t>
                  </w:r>
                  <w:r>
                    <w:rPr>
                      <w:rFonts w:hint="eastAsia"/>
                      <w:color w:val="auto"/>
                      <w:highlight w:val="none"/>
                      <w:u w:val="none"/>
                      <w:lang w:val="en-US" w:eastAsia="zh-CN"/>
                    </w:rPr>
                    <w:t>3</w:t>
                  </w:r>
                </w:p>
              </w:tc>
              <w:tc>
                <w:tcPr>
                  <w:tcW w:w="484" w:type="pct"/>
                  <w:tcBorders>
                    <w:tl2br w:val="nil"/>
                    <w:tr2bl w:val="nil"/>
                  </w:tcBorders>
                  <w:shd w:val="clear" w:color="auto" w:fill="auto"/>
                  <w:noWrap w:val="0"/>
                  <w:vAlign w:val="center"/>
                </w:tcPr>
                <w:p w14:paraId="541114A7">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lang w:val="en-US" w:eastAsia="zh-CN" w:bidi="ar-SA"/>
                    </w:rPr>
                  </w:pPr>
                  <w:r>
                    <w:rPr>
                      <w:rFonts w:hint="default"/>
                      <w:color w:val="auto"/>
                      <w:highlight w:val="none"/>
                      <w:u w:val="none"/>
                      <w:lang w:eastAsia="zh-CN"/>
                    </w:rPr>
                    <w:t>≤</w:t>
                  </w:r>
                  <w:r>
                    <w:rPr>
                      <w:rFonts w:hint="eastAsia"/>
                      <w:color w:val="auto"/>
                      <w:highlight w:val="none"/>
                      <w:u w:val="none"/>
                      <w:lang w:val="en-US" w:eastAsia="zh-CN"/>
                    </w:rPr>
                    <w:t>40</w:t>
                  </w:r>
                </w:p>
              </w:tc>
            </w:tr>
            <w:tr w14:paraId="48021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 w:hRule="atLeast"/>
              </w:trPr>
              <w:tc>
                <w:tcPr>
                  <w:tcW w:w="1684" w:type="pct"/>
                  <w:tcBorders>
                    <w:tl2br w:val="nil"/>
                    <w:tr2bl w:val="nil"/>
                  </w:tcBorders>
                  <w:noWrap w:val="0"/>
                  <w:vAlign w:val="center"/>
                </w:tcPr>
                <w:p w14:paraId="72A87C00">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default"/>
                      <w:color w:val="auto"/>
                      <w:highlight w:val="none"/>
                      <w:u w:val="none"/>
                      <w:lang w:val="en-US" w:eastAsia="zh-CN"/>
                    </w:rPr>
                    <w:t>官家嘴镇污水处理站</w:t>
                  </w:r>
                  <w:r>
                    <w:rPr>
                      <w:rFonts w:hint="eastAsia"/>
                      <w:color w:val="auto"/>
                      <w:highlight w:val="none"/>
                      <w:u w:val="none"/>
                      <w:lang w:val="en-US" w:eastAsia="zh-CN"/>
                    </w:rPr>
                    <w:t>出水标准（GB18918-2002）及其修改单表1中一级B标准</w:t>
                  </w:r>
                </w:p>
              </w:tc>
              <w:tc>
                <w:tcPr>
                  <w:tcW w:w="419" w:type="pct"/>
                  <w:tcBorders>
                    <w:tl2br w:val="nil"/>
                    <w:tr2bl w:val="nil"/>
                  </w:tcBorders>
                  <w:noWrap w:val="0"/>
                  <w:vAlign w:val="center"/>
                </w:tcPr>
                <w:p w14:paraId="7C07F298">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6~9</w:t>
                  </w:r>
                </w:p>
              </w:tc>
              <w:tc>
                <w:tcPr>
                  <w:tcW w:w="560" w:type="pct"/>
                  <w:tcBorders>
                    <w:tl2br w:val="nil"/>
                    <w:tr2bl w:val="nil"/>
                  </w:tcBorders>
                  <w:noWrap w:val="0"/>
                  <w:vAlign w:val="center"/>
                </w:tcPr>
                <w:p w14:paraId="18536780">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60</w:t>
                  </w:r>
                </w:p>
              </w:tc>
              <w:tc>
                <w:tcPr>
                  <w:tcW w:w="511" w:type="pct"/>
                  <w:tcBorders>
                    <w:tl2br w:val="nil"/>
                    <w:tr2bl w:val="nil"/>
                  </w:tcBorders>
                  <w:noWrap w:val="0"/>
                  <w:vAlign w:val="center"/>
                </w:tcPr>
                <w:p w14:paraId="1F1226D3">
                  <w:pPr>
                    <w:pStyle w:val="37"/>
                    <w:keepNext w:val="0"/>
                    <w:keepLines w:val="0"/>
                    <w:suppressLineNumbers w:val="0"/>
                    <w:bidi w:val="0"/>
                    <w:spacing w:before="0" w:beforeAutospacing="0" w:after="0" w:afterAutospacing="0"/>
                    <w:ind w:left="0" w:leftChars="0" w:right="0" w:rightChars="0"/>
                    <w:rPr>
                      <w:rFonts w:hint="default"/>
                      <w:color w:val="auto"/>
                      <w:highlight w:val="none"/>
                      <w:u w:val="none"/>
                      <w:lang w:val="en-US" w:eastAsia="zh-CN"/>
                    </w:rPr>
                  </w:pPr>
                  <w:r>
                    <w:rPr>
                      <w:rFonts w:hint="eastAsia"/>
                      <w:color w:val="auto"/>
                      <w:highlight w:val="none"/>
                      <w:u w:val="none"/>
                      <w:lang w:val="en-US" w:eastAsia="zh-CN"/>
                    </w:rPr>
                    <w:t>20</w:t>
                  </w:r>
                </w:p>
              </w:tc>
              <w:tc>
                <w:tcPr>
                  <w:tcW w:w="436" w:type="pct"/>
                  <w:tcBorders>
                    <w:tl2br w:val="nil"/>
                    <w:tr2bl w:val="nil"/>
                  </w:tcBorders>
                  <w:noWrap w:val="0"/>
                  <w:vAlign w:val="center"/>
                </w:tcPr>
                <w:p w14:paraId="22BCBF82">
                  <w:pPr>
                    <w:pStyle w:val="37"/>
                    <w:keepNext w:val="0"/>
                    <w:keepLines w:val="0"/>
                    <w:suppressLineNumbers w:val="0"/>
                    <w:bidi w:val="0"/>
                    <w:spacing w:before="0" w:beforeAutospacing="0" w:after="0" w:afterAutospacing="0"/>
                    <w:ind w:left="0" w:leftChars="0" w:right="0" w:rightChars="0"/>
                    <w:rPr>
                      <w:rFonts w:hint="default"/>
                      <w:color w:val="auto"/>
                      <w:highlight w:val="none"/>
                      <w:u w:val="none"/>
                      <w:lang w:val="en-US" w:eastAsia="zh-CN"/>
                    </w:rPr>
                  </w:pPr>
                  <w:r>
                    <w:rPr>
                      <w:rFonts w:hint="eastAsia"/>
                      <w:color w:val="auto"/>
                      <w:highlight w:val="none"/>
                      <w:u w:val="none"/>
                      <w:lang w:val="en-US" w:eastAsia="zh-CN"/>
                    </w:rPr>
                    <w:t>20</w:t>
                  </w:r>
                </w:p>
              </w:tc>
              <w:tc>
                <w:tcPr>
                  <w:tcW w:w="455" w:type="pct"/>
                  <w:tcBorders>
                    <w:tl2br w:val="nil"/>
                    <w:tr2bl w:val="nil"/>
                  </w:tcBorders>
                  <w:noWrap w:val="0"/>
                  <w:vAlign w:val="center"/>
                </w:tcPr>
                <w:p w14:paraId="0F6BE742">
                  <w:pPr>
                    <w:pStyle w:val="37"/>
                    <w:keepNext w:val="0"/>
                    <w:keepLines w:val="0"/>
                    <w:suppressLineNumbers w:val="0"/>
                    <w:bidi w:val="0"/>
                    <w:spacing w:before="0" w:beforeAutospacing="0" w:after="0" w:afterAutospacing="0"/>
                    <w:ind w:left="0" w:right="0"/>
                    <w:rPr>
                      <w:rFonts w:hint="default"/>
                      <w:color w:val="auto"/>
                      <w:highlight w:val="none"/>
                      <w:u w:val="none"/>
                      <w:lang w:val="en-US" w:eastAsia="zh-CN"/>
                    </w:rPr>
                  </w:pPr>
                  <w:r>
                    <w:rPr>
                      <w:rFonts w:hint="eastAsia"/>
                      <w:color w:val="auto"/>
                      <w:highlight w:val="none"/>
                      <w:u w:val="none"/>
                      <w:lang w:val="en-US" w:eastAsia="zh-CN"/>
                    </w:rPr>
                    <w:t>8</w:t>
                  </w:r>
                </w:p>
              </w:tc>
              <w:tc>
                <w:tcPr>
                  <w:tcW w:w="446" w:type="pct"/>
                  <w:tcBorders>
                    <w:tl2br w:val="nil"/>
                    <w:tr2bl w:val="nil"/>
                  </w:tcBorders>
                  <w:shd w:val="clear" w:color="auto" w:fill="auto"/>
                  <w:noWrap w:val="0"/>
                  <w:vAlign w:val="center"/>
                </w:tcPr>
                <w:p w14:paraId="24969266">
                  <w:pPr>
                    <w:pStyle w:val="37"/>
                    <w:keepNext w:val="0"/>
                    <w:keepLines w:val="0"/>
                    <w:suppressLineNumbers w:val="0"/>
                    <w:bidi w:val="0"/>
                    <w:spacing w:before="0" w:beforeAutospacing="0" w:after="0" w:afterAutospacing="0"/>
                    <w:ind w:left="0" w:leftChars="0" w:right="0" w:rightChars="0"/>
                    <w:rPr>
                      <w:rFonts w:hint="default"/>
                      <w:color w:val="auto"/>
                      <w:highlight w:val="none"/>
                      <w:u w:val="none"/>
                      <w:lang w:val="en-US" w:eastAsia="zh-CN"/>
                    </w:rPr>
                  </w:pPr>
                  <w:r>
                    <w:rPr>
                      <w:rFonts w:hint="eastAsia"/>
                      <w:color w:val="auto"/>
                      <w:highlight w:val="none"/>
                      <w:u w:val="none"/>
                      <w:lang w:val="en-US" w:eastAsia="zh-CN"/>
                    </w:rPr>
                    <w:t>1</w:t>
                  </w:r>
                </w:p>
              </w:tc>
              <w:tc>
                <w:tcPr>
                  <w:tcW w:w="484" w:type="pct"/>
                  <w:tcBorders>
                    <w:tl2br w:val="nil"/>
                    <w:tr2bl w:val="nil"/>
                  </w:tcBorders>
                  <w:shd w:val="clear" w:color="auto" w:fill="auto"/>
                  <w:noWrap w:val="0"/>
                  <w:vAlign w:val="center"/>
                </w:tcPr>
                <w:p w14:paraId="762FA81F">
                  <w:pPr>
                    <w:pStyle w:val="37"/>
                    <w:keepNext w:val="0"/>
                    <w:keepLines w:val="0"/>
                    <w:suppressLineNumbers w:val="0"/>
                    <w:bidi w:val="0"/>
                    <w:spacing w:before="0" w:beforeAutospacing="0" w:after="0" w:afterAutospacing="0"/>
                    <w:ind w:left="0" w:leftChars="0" w:right="0" w:rightChars="0"/>
                    <w:rPr>
                      <w:rFonts w:hint="default"/>
                      <w:color w:val="auto"/>
                      <w:highlight w:val="none"/>
                      <w:u w:val="none"/>
                      <w:lang w:val="en-US" w:eastAsia="zh-CN"/>
                    </w:rPr>
                  </w:pPr>
                  <w:r>
                    <w:rPr>
                      <w:rFonts w:hint="eastAsia"/>
                      <w:color w:val="auto"/>
                      <w:highlight w:val="none"/>
                      <w:u w:val="none"/>
                      <w:lang w:val="en-US" w:eastAsia="zh-CN"/>
                    </w:rPr>
                    <w:t>20</w:t>
                  </w:r>
                </w:p>
              </w:tc>
            </w:tr>
          </w:tbl>
          <w:p w14:paraId="0BA70648">
            <w:pPr>
              <w:keepNext w:val="0"/>
              <w:keepLines w:val="0"/>
              <w:suppressLineNumbers w:val="0"/>
              <w:spacing w:before="0" w:beforeAutospacing="0" w:after="0" w:afterAutospacing="0" w:line="240" w:lineRule="auto"/>
              <w:ind w:left="0" w:right="0" w:firstLine="480" w:firstLineChars="200"/>
              <w:rPr>
                <w:rFonts w:hint="default" w:cs="Times New Roman"/>
                <w:color w:val="auto"/>
                <w:highlight w:val="yellow"/>
                <w:u w:val="none"/>
                <w:lang w:val="en-US" w:eastAsia="zh-CN"/>
              </w:rPr>
            </w:pPr>
          </w:p>
          <w:p w14:paraId="6CA5EF0A">
            <w:pPr>
              <w:pStyle w:val="2"/>
              <w:keepLines w:val="0"/>
              <w:numPr>
                <w:ilvl w:val="0"/>
                <w:numId w:val="0"/>
              </w:numPr>
              <w:suppressLineNumbers w:val="0"/>
              <w:tabs>
                <w:tab w:val="left" w:pos="0"/>
              </w:tabs>
              <w:bidi w:val="0"/>
              <w:spacing w:before="0" w:beforeAutospacing="0" w:after="0" w:afterAutospacing="0"/>
              <w:ind w:leftChars="0" w:right="0"/>
              <w:rPr>
                <w:rFonts w:hint="default" w:cs="Times New Roman"/>
                <w:color w:val="auto"/>
                <w:highlight w:val="none"/>
                <w:lang w:val="en-US" w:eastAsia="zh-CN"/>
              </w:rPr>
            </w:pPr>
            <w:bookmarkStart w:id="25" w:name="_Toc25514"/>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噪声</w:t>
            </w:r>
            <w:bookmarkEnd w:id="25"/>
            <w:r>
              <w:rPr>
                <w:rFonts w:hint="eastAsia" w:cs="Times New Roman"/>
                <w:color w:val="auto"/>
                <w:highlight w:val="none"/>
                <w:lang w:val="en-US" w:eastAsia="zh-CN"/>
              </w:rPr>
              <w:t>排放标准</w:t>
            </w:r>
          </w:p>
          <w:p w14:paraId="793F24A2">
            <w:pPr>
              <w:keepNext w:val="0"/>
              <w:keepLines w:val="0"/>
              <w:suppressLineNumbers w:val="0"/>
              <w:spacing w:before="0" w:beforeAutospacing="0" w:after="0" w:afterAutospacing="0"/>
              <w:ind w:left="0" w:right="0" w:firstLine="480" w:firstLineChars="200"/>
              <w:rPr>
                <w:rFonts w:hint="eastAsia" w:cs="Times New Roman"/>
                <w:color w:val="auto"/>
                <w:highlight w:val="none"/>
                <w:lang w:val="en-US" w:eastAsia="zh-CN"/>
              </w:rPr>
            </w:pPr>
            <w:r>
              <w:rPr>
                <w:rFonts w:hint="eastAsia" w:cs="Times New Roman"/>
                <w:color w:val="auto"/>
                <w:highlight w:val="none"/>
                <w:lang w:val="en-US" w:eastAsia="zh-CN"/>
              </w:rPr>
              <w:t>本项目区域属于2类声功能区。施工期厂界噪声排放执行《建筑施工场界环境噪声排放标准（</w:t>
            </w:r>
            <w:r>
              <w:rPr>
                <w:rFonts w:hint="default" w:ascii="Times New Roman" w:hAnsi="Times New Roman" w:cs="Times New Roman"/>
                <w:color w:val="auto"/>
                <w:highlight w:val="none"/>
                <w:lang w:val="en-US" w:eastAsia="zh-CN"/>
              </w:rPr>
              <w:t>GB12523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2011</w:t>
            </w:r>
            <w:r>
              <w:rPr>
                <w:rFonts w:hint="eastAsia" w:cs="Times New Roman"/>
                <w:color w:val="auto"/>
                <w:highlight w:val="none"/>
                <w:lang w:val="en-US" w:eastAsia="zh-CN"/>
              </w:rPr>
              <w:t>）》，运营期厂界噪声排放执行《工业企业厂界环境噪声排放标准》（</w:t>
            </w:r>
            <w:r>
              <w:rPr>
                <w:rFonts w:hint="default" w:ascii="Times New Roman" w:hAnsi="Times New Roman" w:cs="Times New Roman"/>
                <w:color w:val="auto"/>
                <w:highlight w:val="none"/>
                <w:lang w:val="en-US" w:eastAsia="zh-CN"/>
              </w:rPr>
              <w:t>GB12348</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2008</w:t>
            </w:r>
            <w:r>
              <w:rPr>
                <w:rFonts w:hint="eastAsia" w:cs="Times New Roman"/>
                <w:color w:val="auto"/>
                <w:highlight w:val="none"/>
                <w:lang w:val="en-US" w:eastAsia="zh-CN"/>
              </w:rPr>
              <w:t>）中2类标准。</w:t>
            </w:r>
          </w:p>
          <w:p w14:paraId="1C191DE6">
            <w:pPr>
              <w:pStyle w:val="36"/>
              <w:keepLines w:val="0"/>
              <w:numPr>
                <w:ilvl w:val="0"/>
                <w:numId w:val="0"/>
              </w:numPr>
              <w:suppressLineNumbers w:val="0"/>
              <w:tabs>
                <w:tab w:val="left" w:pos="0"/>
              </w:tabs>
              <w:bidi w:val="0"/>
              <w:spacing w:before="0" w:beforeAutospacing="0" w:after="0" w:afterAutospacing="0"/>
              <w:ind w:left="0" w:leftChars="0" w:right="0" w:firstLine="0" w:firstLineChars="0"/>
              <w:rPr>
                <w:rFonts w:hint="eastAsia" w:cs="Times New Roman"/>
                <w:color w:val="auto"/>
                <w:highlight w:val="none"/>
                <w:lang w:val="en-US" w:eastAsia="zh-CN"/>
              </w:rPr>
            </w:pPr>
            <w:r>
              <w:rPr>
                <w:rFonts w:hint="default" w:ascii="Times New Roman" w:hAnsi="Times New Roman" w:eastAsia="宋体" w:cs="Times New Roman"/>
                <w:b/>
                <w:bCs/>
                <w:color w:val="auto"/>
                <w:kern w:val="2"/>
                <w:sz w:val="21"/>
                <w:szCs w:val="21"/>
                <w:highlight w:val="none"/>
                <w:lang w:val="en-US" w:eastAsia="zh-CN" w:bidi="ar-SA"/>
              </w:rPr>
              <w:t>表3</w:t>
            </w:r>
            <w:r>
              <w:rPr>
                <w:rFonts w:hint="eastAsia" w:cs="Times New Roman"/>
                <w:b/>
                <w:bCs/>
                <w:color w:val="auto"/>
                <w:kern w:val="2"/>
                <w:sz w:val="21"/>
                <w:szCs w:val="21"/>
                <w:highlight w:val="none"/>
                <w:lang w:val="en-US" w:eastAsia="zh-CN" w:bidi="ar-SA"/>
              </w:rPr>
              <w:t xml:space="preserve">.3-3 </w:t>
            </w:r>
            <w:r>
              <w:rPr>
                <w:rFonts w:hint="eastAsia" w:cs="Times New Roman"/>
                <w:color w:val="auto"/>
                <w:highlight w:val="none"/>
                <w:lang w:val="en-US" w:eastAsia="zh-CN"/>
              </w:rPr>
              <w:t>厂界噪声排放标准  单位：</w:t>
            </w:r>
            <w:r>
              <w:rPr>
                <w:rFonts w:hint="default" w:ascii="Times New Roman" w:hAnsi="Times New Roman" w:cs="Times New Roman"/>
                <w:color w:val="auto"/>
                <w:highlight w:val="none"/>
                <w:lang w:val="en-US" w:eastAsia="zh-CN"/>
              </w:rPr>
              <w:t>dB</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A</w:t>
            </w:r>
            <w:r>
              <w:rPr>
                <w:rFonts w:hint="eastAsia" w:cs="Times New Roman"/>
                <w:color w:val="auto"/>
                <w:highlight w:val="none"/>
                <w:lang w:val="en-US" w:eastAsia="zh-CN"/>
              </w:rPr>
              <w:t>）</w:t>
            </w:r>
          </w:p>
          <w:tbl>
            <w:tblPr>
              <w:tblStyle w:val="28"/>
              <w:tblW w:w="4998"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42"/>
              <w:gridCol w:w="1226"/>
              <w:gridCol w:w="1363"/>
            </w:tblGrid>
            <w:tr w14:paraId="6B884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7" w:type="pct"/>
                  <w:noWrap w:val="0"/>
                  <w:vAlign w:val="center"/>
                </w:tcPr>
                <w:p w14:paraId="648C93D6">
                  <w:pPr>
                    <w:pStyle w:val="37"/>
                    <w:keepNext w:val="0"/>
                    <w:keepLines w:val="0"/>
                    <w:suppressLineNumbers w:val="0"/>
                    <w:bidi w:val="0"/>
                    <w:spacing w:before="0" w:beforeAutospacing="0" w:after="0" w:afterAutospacing="0"/>
                    <w:ind w:left="0" w:right="0"/>
                    <w:rPr>
                      <w:rFonts w:hint="default" w:cs="Times New Roman"/>
                      <w:b/>
                      <w:bCs/>
                      <w:color w:val="auto"/>
                      <w:highlight w:val="none"/>
                      <w:lang w:val="en-US" w:eastAsia="zh-CN"/>
                    </w:rPr>
                  </w:pPr>
                  <w:r>
                    <w:rPr>
                      <w:rFonts w:hint="eastAsia" w:cs="Times New Roman"/>
                      <w:b/>
                      <w:bCs/>
                      <w:color w:val="auto"/>
                      <w:highlight w:val="none"/>
                      <w:lang w:val="en-US" w:eastAsia="zh-CN"/>
                    </w:rPr>
                    <w:t>标准名称</w:t>
                  </w:r>
                </w:p>
              </w:tc>
              <w:tc>
                <w:tcPr>
                  <w:tcW w:w="754" w:type="pct"/>
                  <w:noWrap w:val="0"/>
                  <w:vAlign w:val="center"/>
                </w:tcPr>
                <w:p w14:paraId="7E52ABFA">
                  <w:pPr>
                    <w:pStyle w:val="37"/>
                    <w:keepNext w:val="0"/>
                    <w:keepLines w:val="0"/>
                    <w:suppressLineNumbers w:val="0"/>
                    <w:bidi w:val="0"/>
                    <w:spacing w:before="0" w:beforeAutospacing="0" w:after="0" w:afterAutospacing="0"/>
                    <w:ind w:left="0" w:right="0"/>
                    <w:rPr>
                      <w:rFonts w:hint="default" w:cs="Times New Roman"/>
                      <w:b/>
                      <w:bCs/>
                      <w:color w:val="auto"/>
                      <w:highlight w:val="none"/>
                      <w:lang w:eastAsia="zh-CN"/>
                    </w:rPr>
                  </w:pPr>
                  <w:r>
                    <w:rPr>
                      <w:rFonts w:hint="eastAsia" w:cs="Times New Roman"/>
                      <w:b/>
                      <w:bCs/>
                      <w:color w:val="auto"/>
                      <w:highlight w:val="none"/>
                      <w:lang w:val="en-US" w:eastAsia="zh-CN"/>
                    </w:rPr>
                    <w:t>昼间</w:t>
                  </w:r>
                </w:p>
              </w:tc>
              <w:tc>
                <w:tcPr>
                  <w:tcW w:w="838" w:type="pct"/>
                  <w:noWrap w:val="0"/>
                  <w:vAlign w:val="center"/>
                </w:tcPr>
                <w:p w14:paraId="21997095">
                  <w:pPr>
                    <w:pStyle w:val="37"/>
                    <w:keepNext w:val="0"/>
                    <w:keepLines w:val="0"/>
                    <w:suppressLineNumbers w:val="0"/>
                    <w:bidi w:val="0"/>
                    <w:spacing w:before="0" w:beforeAutospacing="0" w:after="0" w:afterAutospacing="0"/>
                    <w:ind w:left="0" w:right="0"/>
                    <w:rPr>
                      <w:rFonts w:hint="default" w:cs="Times New Roman"/>
                      <w:b/>
                      <w:bCs/>
                      <w:color w:val="auto"/>
                      <w:highlight w:val="none"/>
                      <w:lang w:eastAsia="zh-CN"/>
                    </w:rPr>
                  </w:pPr>
                  <w:r>
                    <w:rPr>
                      <w:rFonts w:hint="eastAsia" w:cs="Times New Roman"/>
                      <w:b/>
                      <w:bCs/>
                      <w:color w:val="auto"/>
                      <w:highlight w:val="none"/>
                      <w:lang w:val="en-US" w:eastAsia="zh-CN"/>
                    </w:rPr>
                    <w:t>夜间</w:t>
                  </w:r>
                </w:p>
              </w:tc>
            </w:tr>
            <w:tr w14:paraId="04F5E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3407" w:type="pct"/>
                  <w:noWrap w:val="0"/>
                  <w:vAlign w:val="center"/>
                </w:tcPr>
                <w:p w14:paraId="3D56B706">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eastAsia" w:cs="Times New Roman"/>
                      <w:color w:val="auto"/>
                      <w:highlight w:val="none"/>
                      <w:lang w:val="en-US" w:eastAsia="zh-CN"/>
                    </w:rPr>
                    <w:t>《建筑施工场界环境噪声排放标准（</w:t>
                  </w:r>
                  <w:r>
                    <w:rPr>
                      <w:rFonts w:hint="default" w:ascii="Times New Roman" w:hAnsi="Times New Roman" w:cs="Times New Roman"/>
                      <w:color w:val="auto"/>
                      <w:highlight w:val="none"/>
                      <w:lang w:val="en-US" w:eastAsia="zh-CN"/>
                    </w:rPr>
                    <w:t>GB12523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2011</w:t>
                  </w:r>
                  <w:r>
                    <w:rPr>
                      <w:rFonts w:hint="eastAsia" w:cs="Times New Roman"/>
                      <w:color w:val="auto"/>
                      <w:highlight w:val="none"/>
                      <w:lang w:val="en-US" w:eastAsia="zh-CN"/>
                    </w:rPr>
                    <w:t>）》</w:t>
                  </w:r>
                </w:p>
              </w:tc>
              <w:tc>
                <w:tcPr>
                  <w:tcW w:w="754" w:type="pct"/>
                  <w:noWrap w:val="0"/>
                  <w:vAlign w:val="center"/>
                </w:tcPr>
                <w:p w14:paraId="18920F56">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70</w:t>
                  </w:r>
                </w:p>
              </w:tc>
              <w:tc>
                <w:tcPr>
                  <w:tcW w:w="838" w:type="pct"/>
                  <w:noWrap w:val="0"/>
                  <w:vAlign w:val="center"/>
                </w:tcPr>
                <w:p w14:paraId="36C35696">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default" w:ascii="Times New Roman" w:hAnsi="Times New Roman" w:cs="Times New Roman"/>
                      <w:color w:val="auto"/>
                      <w:highlight w:val="none"/>
                      <w:lang w:val="en-US" w:eastAsia="zh-CN"/>
                    </w:rPr>
                    <w:t>55</w:t>
                  </w:r>
                </w:p>
              </w:tc>
            </w:tr>
            <w:tr w14:paraId="3258D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3407" w:type="pct"/>
                  <w:noWrap w:val="0"/>
                  <w:vAlign w:val="center"/>
                </w:tcPr>
                <w:p w14:paraId="0E2C4FCD">
                  <w:pPr>
                    <w:pStyle w:val="37"/>
                    <w:keepNext w:val="0"/>
                    <w:keepLines w:val="0"/>
                    <w:suppressLineNumbers w:val="0"/>
                    <w:bidi w:val="0"/>
                    <w:spacing w:before="0" w:beforeAutospacing="0" w:after="0" w:afterAutospacing="0"/>
                    <w:ind w:left="0" w:right="0"/>
                    <w:rPr>
                      <w:rFonts w:hint="eastAsia" w:cs="Times New Roman"/>
                      <w:color w:val="auto"/>
                      <w:highlight w:val="none"/>
                      <w:lang w:val="en-US" w:eastAsia="zh-CN"/>
                    </w:rPr>
                  </w:pPr>
                  <w:r>
                    <w:rPr>
                      <w:rFonts w:hint="eastAsia" w:cs="Times New Roman"/>
                      <w:color w:val="auto"/>
                      <w:highlight w:val="none"/>
                      <w:lang w:val="en-US" w:eastAsia="zh-CN"/>
                    </w:rPr>
                    <w:t>《工业企业厂界环境噪声排放标准（</w:t>
                  </w:r>
                  <w:r>
                    <w:rPr>
                      <w:rFonts w:hint="default" w:ascii="Times New Roman" w:hAnsi="Times New Roman" w:cs="Times New Roman"/>
                      <w:color w:val="auto"/>
                      <w:highlight w:val="none"/>
                      <w:lang w:val="en-US" w:eastAsia="zh-CN"/>
                    </w:rPr>
                    <w:t>GB</w:t>
                  </w:r>
                  <w:r>
                    <w:rPr>
                      <w:rFonts w:hint="eastAsia" w:cs="Times New Roman"/>
                      <w:color w:val="auto"/>
                      <w:highlight w:val="none"/>
                      <w:lang w:val="en-US" w:eastAsia="zh-CN"/>
                    </w:rPr>
                    <w:t xml:space="preserve"> </w:t>
                  </w:r>
                  <w:r>
                    <w:rPr>
                      <w:rFonts w:hint="default" w:ascii="Times New Roman" w:hAnsi="Times New Roman" w:cs="Times New Roman"/>
                      <w:color w:val="auto"/>
                      <w:highlight w:val="none"/>
                      <w:lang w:val="en-US" w:eastAsia="zh-CN"/>
                    </w:rPr>
                    <w:t>12348</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2008</w:t>
                  </w:r>
                  <w:r>
                    <w:rPr>
                      <w:rFonts w:hint="eastAsia" w:cs="Times New Roman"/>
                      <w:color w:val="auto"/>
                      <w:highlight w:val="none"/>
                      <w:lang w:val="en-US" w:eastAsia="zh-CN"/>
                    </w:rPr>
                    <w:t>）》</w:t>
                  </w:r>
                </w:p>
                <w:p w14:paraId="46D3C01C">
                  <w:pPr>
                    <w:pStyle w:val="37"/>
                    <w:keepNext w:val="0"/>
                    <w:keepLines w:val="0"/>
                    <w:suppressLineNumbers w:val="0"/>
                    <w:bidi w:val="0"/>
                    <w:spacing w:before="0" w:beforeAutospacing="0" w:after="0" w:afterAutospacing="0"/>
                    <w:ind w:left="0" w:right="0"/>
                    <w:rPr>
                      <w:rFonts w:hint="eastAsia" w:cs="Times New Roman"/>
                      <w:color w:val="auto"/>
                      <w:highlight w:val="none"/>
                      <w:lang w:val="en-US" w:eastAsia="zh-CN"/>
                    </w:rPr>
                  </w:pPr>
                  <w:r>
                    <w:rPr>
                      <w:rFonts w:hint="eastAsia" w:cs="Times New Roman"/>
                      <w:color w:val="auto"/>
                      <w:highlight w:val="none"/>
                      <w:lang w:val="en-US" w:eastAsia="zh-CN"/>
                    </w:rPr>
                    <w:t>2类区</w:t>
                  </w:r>
                </w:p>
              </w:tc>
              <w:tc>
                <w:tcPr>
                  <w:tcW w:w="754" w:type="pct"/>
                  <w:noWrap w:val="0"/>
                  <w:vAlign w:val="center"/>
                </w:tcPr>
                <w:p w14:paraId="2F98D0AC">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eastAsia" w:cs="Times New Roman"/>
                      <w:color w:val="auto"/>
                      <w:highlight w:val="none"/>
                      <w:lang w:val="en-US" w:eastAsia="zh-CN"/>
                    </w:rPr>
                    <w:t>60</w:t>
                  </w:r>
                </w:p>
              </w:tc>
              <w:tc>
                <w:tcPr>
                  <w:tcW w:w="838" w:type="pct"/>
                  <w:noWrap w:val="0"/>
                  <w:vAlign w:val="center"/>
                </w:tcPr>
                <w:p w14:paraId="0852E2A4">
                  <w:pPr>
                    <w:pStyle w:val="37"/>
                    <w:keepNext w:val="0"/>
                    <w:keepLines w:val="0"/>
                    <w:suppressLineNumbers w:val="0"/>
                    <w:bidi w:val="0"/>
                    <w:spacing w:before="0" w:beforeAutospacing="0" w:after="0" w:afterAutospacing="0"/>
                    <w:ind w:left="0" w:right="0"/>
                    <w:rPr>
                      <w:rFonts w:hint="default" w:cs="Times New Roman"/>
                      <w:color w:val="auto"/>
                      <w:highlight w:val="none"/>
                      <w:lang w:val="en-US" w:eastAsia="zh-CN"/>
                    </w:rPr>
                  </w:pPr>
                  <w:r>
                    <w:rPr>
                      <w:rFonts w:hint="eastAsia" w:cs="Times New Roman"/>
                      <w:color w:val="auto"/>
                      <w:highlight w:val="none"/>
                      <w:lang w:val="en-US" w:eastAsia="zh-CN"/>
                    </w:rPr>
                    <w:t>50</w:t>
                  </w:r>
                </w:p>
              </w:tc>
            </w:tr>
          </w:tbl>
          <w:p w14:paraId="7D31BE85">
            <w:pPr>
              <w:pStyle w:val="2"/>
              <w:keepLines w:val="0"/>
              <w:numPr>
                <w:ilvl w:val="0"/>
                <w:numId w:val="0"/>
              </w:numPr>
              <w:suppressLineNumbers w:val="0"/>
              <w:tabs>
                <w:tab w:val="left" w:pos="0"/>
              </w:tabs>
              <w:bidi w:val="0"/>
              <w:spacing w:before="0" w:beforeAutospacing="0" w:after="0" w:afterAutospacing="0"/>
              <w:ind w:leftChars="0" w:right="0"/>
              <w:rPr>
                <w:rFonts w:hint="default" w:cs="Times New Roman"/>
                <w:color w:val="auto"/>
                <w:highlight w:val="none"/>
                <w:lang w:val="en-US" w:eastAsia="zh-CN"/>
              </w:rPr>
            </w:pPr>
            <w:bookmarkStart w:id="26" w:name="_Toc31763"/>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3</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4</w:t>
            </w:r>
            <w:r>
              <w:rPr>
                <w:rFonts w:hint="eastAsia" w:cs="Times New Roman"/>
                <w:color w:val="auto"/>
                <w:highlight w:val="none"/>
                <w:lang w:val="en-US" w:eastAsia="zh-CN"/>
              </w:rPr>
              <w:t>固体废物</w:t>
            </w:r>
            <w:bookmarkEnd w:id="26"/>
            <w:r>
              <w:rPr>
                <w:rFonts w:hint="eastAsia" w:cs="Times New Roman"/>
                <w:color w:val="auto"/>
                <w:highlight w:val="none"/>
                <w:lang w:val="en-US" w:eastAsia="zh-CN"/>
              </w:rPr>
              <w:t>控制标准</w:t>
            </w:r>
          </w:p>
          <w:p w14:paraId="5E3BD883">
            <w:pPr>
              <w:keepNext w:val="0"/>
              <w:keepLines w:val="0"/>
              <w:suppressLineNumbers w:val="0"/>
              <w:spacing w:before="0" w:beforeAutospacing="0" w:after="0" w:afterAutospacing="0"/>
              <w:ind w:left="0" w:right="0" w:firstLine="480" w:firstLineChars="200"/>
              <w:rPr>
                <w:rFonts w:hint="default" w:cs="Times New Roman"/>
                <w:color w:val="auto"/>
                <w:highlight w:val="yellow"/>
                <w:lang w:val="en-US" w:eastAsia="zh-CN"/>
              </w:rPr>
            </w:pPr>
            <w:r>
              <w:rPr>
                <w:rFonts w:hint="default" w:cs="Times New Roman"/>
                <w:color w:val="auto"/>
                <w:highlight w:val="none"/>
                <w:lang w:val="en-US" w:eastAsia="zh-CN"/>
              </w:rPr>
              <w:t>一般工业固体废物</w:t>
            </w:r>
            <w:r>
              <w:rPr>
                <w:rFonts w:hint="eastAsia" w:cs="Times New Roman"/>
                <w:color w:val="auto"/>
                <w:highlight w:val="none"/>
                <w:lang w:val="en-US" w:eastAsia="zh-CN"/>
              </w:rPr>
              <w:t>贮存</w:t>
            </w:r>
            <w:r>
              <w:rPr>
                <w:rFonts w:hint="default" w:cs="Times New Roman"/>
                <w:color w:val="auto"/>
                <w:highlight w:val="none"/>
                <w:lang w:val="en-US" w:eastAsia="zh-CN"/>
              </w:rPr>
              <w:t>执行《一般工业固体废物贮存和填埋污染控制标准》（</w:t>
            </w:r>
            <w:r>
              <w:rPr>
                <w:rFonts w:hint="default" w:ascii="Times New Roman" w:hAnsi="Times New Roman" w:cs="Times New Roman"/>
                <w:color w:val="auto"/>
                <w:highlight w:val="none"/>
                <w:lang w:val="en-US" w:eastAsia="zh-CN"/>
              </w:rPr>
              <w:t>GB</w:t>
            </w:r>
            <w:r>
              <w:rPr>
                <w:rFonts w:hint="eastAsia" w:cs="Times New Roman"/>
                <w:color w:val="auto"/>
                <w:highlight w:val="none"/>
                <w:lang w:val="en-US" w:eastAsia="zh-CN"/>
              </w:rPr>
              <w:t xml:space="preserve"> </w:t>
            </w:r>
            <w:r>
              <w:rPr>
                <w:rFonts w:hint="default" w:ascii="Times New Roman" w:hAnsi="Times New Roman" w:cs="Times New Roman"/>
                <w:color w:val="auto"/>
                <w:highlight w:val="none"/>
                <w:lang w:val="en-US" w:eastAsia="zh-CN"/>
              </w:rPr>
              <w:t>18599</w:t>
            </w:r>
            <w:r>
              <w:rPr>
                <w:rFonts w:hint="default" w:cs="Times New Roman"/>
                <w:color w:val="auto"/>
                <w:highlight w:val="none"/>
                <w:lang w:val="en-US" w:eastAsia="zh-CN"/>
              </w:rPr>
              <w:t>-</w:t>
            </w:r>
            <w:r>
              <w:rPr>
                <w:rFonts w:hint="default" w:ascii="Times New Roman" w:hAnsi="Times New Roman" w:cs="Times New Roman"/>
                <w:color w:val="auto"/>
                <w:highlight w:val="none"/>
                <w:lang w:val="en-US" w:eastAsia="zh-CN"/>
              </w:rPr>
              <w:t>2020</w:t>
            </w:r>
            <w:r>
              <w:rPr>
                <w:rFonts w:hint="default" w:cs="Times New Roman"/>
                <w:color w:val="auto"/>
                <w:highlight w:val="none"/>
                <w:lang w:val="en-US" w:eastAsia="zh-CN"/>
              </w:rPr>
              <w:t>）；危险废物</w:t>
            </w:r>
            <w:r>
              <w:rPr>
                <w:rFonts w:hint="eastAsia" w:cs="Times New Roman"/>
                <w:color w:val="auto"/>
                <w:highlight w:val="none"/>
                <w:lang w:val="en-US" w:eastAsia="zh-CN"/>
              </w:rPr>
              <w:t>贮存</w:t>
            </w:r>
            <w:r>
              <w:rPr>
                <w:rFonts w:hint="default" w:cs="Times New Roman"/>
                <w:color w:val="auto"/>
                <w:highlight w:val="none"/>
                <w:lang w:val="en-US" w:eastAsia="zh-CN"/>
              </w:rPr>
              <w:t>执行《危险废物贮存污染控制标准》（</w:t>
            </w:r>
            <w:r>
              <w:rPr>
                <w:rFonts w:hint="default" w:ascii="Times New Roman" w:hAnsi="Times New Roman" w:cs="Times New Roman"/>
                <w:color w:val="auto"/>
                <w:highlight w:val="none"/>
                <w:lang w:val="en-US" w:eastAsia="zh-CN"/>
              </w:rPr>
              <w:t>GB</w:t>
            </w:r>
            <w:r>
              <w:rPr>
                <w:rFonts w:hint="default" w:cs="Times New Roman"/>
                <w:color w:val="auto"/>
                <w:highlight w:val="none"/>
                <w:lang w:val="en-US" w:eastAsia="zh-CN"/>
              </w:rPr>
              <w:t xml:space="preserve"> </w:t>
            </w:r>
            <w:r>
              <w:rPr>
                <w:rFonts w:hint="default" w:ascii="Times New Roman" w:hAnsi="Times New Roman" w:cs="Times New Roman"/>
                <w:color w:val="auto"/>
                <w:highlight w:val="none"/>
                <w:lang w:val="en-US" w:eastAsia="zh-CN"/>
              </w:rPr>
              <w:t>18597</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2023</w:t>
            </w:r>
            <w:r>
              <w:rPr>
                <w:rFonts w:hint="default" w:cs="Times New Roman"/>
                <w:color w:val="auto"/>
                <w:highlight w:val="none"/>
                <w:lang w:val="en-US" w:eastAsia="zh-CN"/>
              </w:rPr>
              <w:t>）</w:t>
            </w:r>
            <w:r>
              <w:rPr>
                <w:rFonts w:hint="eastAsia" w:cs="Times New Roman"/>
                <w:color w:val="auto"/>
                <w:highlight w:val="none"/>
                <w:lang w:val="en-US" w:eastAsia="zh-CN"/>
              </w:rPr>
              <w:t>。</w:t>
            </w:r>
          </w:p>
        </w:tc>
      </w:tr>
      <w:tr w14:paraId="23CD6C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30" w:hRule="atLeast"/>
          <w:jc w:val="center"/>
        </w:trPr>
        <w:tc>
          <w:tcPr>
            <w:tcW w:w="701" w:type="dxa"/>
            <w:noWrap w:val="0"/>
            <w:vAlign w:val="center"/>
          </w:tcPr>
          <w:p w14:paraId="0531B509">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总量</w:t>
            </w:r>
          </w:p>
          <w:p w14:paraId="08299636">
            <w:pPr>
              <w:keepNext w:val="0"/>
              <w:keepLines w:val="0"/>
              <w:suppressLineNumbers w:val="0"/>
              <w:adjustRightInd w:val="0"/>
              <w:snapToGrid w:val="0"/>
              <w:spacing w:before="0" w:beforeAutospacing="0" w:after="0" w:afterAutospacing="0"/>
              <w:ind w:left="0" w:right="0"/>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控制</w:t>
            </w:r>
          </w:p>
          <w:p w14:paraId="4FF78309">
            <w:pPr>
              <w:keepNext w:val="0"/>
              <w:keepLines w:val="0"/>
              <w:suppressLineNumbers w:val="0"/>
              <w:adjustRightInd w:val="0"/>
              <w:snapToGrid w:val="0"/>
              <w:spacing w:before="0" w:beforeAutospacing="0" w:after="0" w:afterAutospacing="0"/>
              <w:ind w:left="0" w:right="0"/>
              <w:jc w:val="center"/>
              <w:rPr>
                <w:rFonts w:hint="default" w:ascii="宋体" w:hAnsi="宋体" w:cs="宋体"/>
                <w:color w:val="auto"/>
                <w:kern w:val="0"/>
                <w:szCs w:val="21"/>
                <w:highlight w:val="yellow"/>
              </w:rPr>
            </w:pPr>
            <w:r>
              <w:rPr>
                <w:rFonts w:hint="eastAsia" w:ascii="宋体" w:hAnsi="宋体" w:cs="宋体"/>
                <w:color w:val="auto"/>
                <w:kern w:val="0"/>
                <w:szCs w:val="21"/>
                <w:highlight w:val="none"/>
              </w:rPr>
              <w:t>指标</w:t>
            </w:r>
          </w:p>
        </w:tc>
        <w:tc>
          <w:tcPr>
            <w:tcW w:w="8360" w:type="dxa"/>
            <w:noWrap w:val="0"/>
            <w:vAlign w:val="center"/>
          </w:tcPr>
          <w:p w14:paraId="7BB8DB51">
            <w:pPr>
              <w:keepNext w:val="0"/>
              <w:keepLines w:val="0"/>
              <w:suppressLineNumbers w:val="0"/>
              <w:adjustRightInd w:val="0"/>
              <w:snapToGrid w:val="0"/>
              <w:spacing w:before="0" w:beforeAutospacing="0" w:after="0" w:afterAutospacing="0" w:line="360" w:lineRule="auto"/>
              <w:ind w:left="0" w:right="0"/>
              <w:jc w:val="both"/>
              <w:rPr>
                <w:rFonts w:hint="default" w:cs="Times New Roman"/>
                <w:color w:val="auto"/>
                <w:highlight w:val="none"/>
                <w:lang w:val="en-US" w:eastAsia="zh-CN"/>
              </w:rPr>
            </w:pPr>
            <w:r>
              <w:rPr>
                <w:rFonts w:hint="default" w:ascii="Times New Roman" w:hAnsi="Times New Roman" w:cs="Times New Roman"/>
                <w:b/>
                <w:bCs/>
                <w:color w:val="auto"/>
                <w:kern w:val="0"/>
                <w:szCs w:val="21"/>
                <w:highlight w:val="none"/>
                <w:lang w:val="en-US" w:eastAsia="zh-CN"/>
              </w:rPr>
              <w:t>3.4</w:t>
            </w:r>
            <w:r>
              <w:rPr>
                <w:rFonts w:hint="eastAsia" w:ascii="宋体" w:hAnsi="宋体" w:cs="宋体"/>
                <w:b/>
                <w:bCs/>
                <w:color w:val="auto"/>
                <w:kern w:val="0"/>
                <w:szCs w:val="21"/>
                <w:highlight w:val="none"/>
                <w:lang w:val="en-US" w:eastAsia="zh-CN"/>
              </w:rPr>
              <w:t>总量控制指标</w:t>
            </w:r>
          </w:p>
          <w:p w14:paraId="51AA142A">
            <w:pPr>
              <w:keepNext w:val="0"/>
              <w:keepLines w:val="0"/>
              <w:pageBreakBefore w:val="0"/>
              <w:suppressLineNumbers w:val="0"/>
              <w:kinsoku/>
              <w:topLinePunct w:val="0"/>
              <w:bidi w:val="0"/>
              <w:adjustRightInd w:val="0"/>
              <w:snapToGrid w:val="0"/>
              <w:spacing w:before="0" w:beforeAutospacing="0" w:after="0" w:afterAutospacing="0" w:line="360" w:lineRule="auto"/>
              <w:ind w:left="0" w:right="0" w:firstLine="480" w:firstLineChars="200"/>
              <w:jc w:val="both"/>
              <w:rPr>
                <w:rFonts w:hint="default" w:ascii="Times New Roman" w:hAnsi="Times New Roman" w:eastAsia="宋体" w:cs="Times New Roman"/>
                <w:bCs/>
                <w:color w:val="auto"/>
                <w:kern w:val="2"/>
                <w:sz w:val="24"/>
                <w:szCs w:val="24"/>
                <w:highlight w:val="none"/>
                <w:u w:val="none"/>
                <w:lang w:val="en-US" w:eastAsia="zh-CN"/>
              </w:rPr>
            </w:pPr>
            <w:r>
              <w:rPr>
                <w:rFonts w:hint="eastAsia" w:cs="Times New Roman"/>
                <w:bCs/>
                <w:color w:val="auto"/>
                <w:kern w:val="2"/>
                <w:sz w:val="24"/>
                <w:szCs w:val="24"/>
                <w:highlight w:val="none"/>
                <w:u w:val="none"/>
                <w:lang w:val="en-US" w:eastAsia="zh-CN"/>
              </w:rPr>
              <w:t>本项目生活污水经化粪池处理后与生产废水一起经厂内自建污水处理站处理达标后排入官家嘴镇污水处理站进一步处理达到</w:t>
            </w:r>
            <w:r>
              <w:rPr>
                <w:rFonts w:hint="eastAsia" w:cs="Times New Roman"/>
                <w:color w:val="auto"/>
                <w:sz w:val="24"/>
                <w:highlight w:val="none"/>
                <w:lang w:val="en-US" w:eastAsia="zh-CN"/>
              </w:rPr>
              <w:t>《城镇污水处理厂污染物排放标准》（GB18918-2002）及其修改单表1中一级B标准后排入黄狮江。</w:t>
            </w:r>
          </w:p>
          <w:p w14:paraId="7EF456AC">
            <w:pPr>
              <w:keepNext w:val="0"/>
              <w:keepLines w:val="0"/>
              <w:pageBreakBefore w:val="0"/>
              <w:suppressLineNumbers w:val="0"/>
              <w:kinsoku/>
              <w:topLinePunct w:val="0"/>
              <w:bidi w:val="0"/>
              <w:adjustRightInd w:val="0"/>
              <w:snapToGrid w:val="0"/>
              <w:spacing w:before="0" w:beforeAutospacing="0" w:after="0" w:afterAutospacing="0" w:line="360" w:lineRule="auto"/>
              <w:ind w:left="0" w:right="0" w:firstLine="480" w:firstLineChars="200"/>
              <w:jc w:val="both"/>
              <w:rPr>
                <w:rFonts w:hint="default" w:ascii="Times New Roman" w:hAnsi="Times New Roman" w:eastAsia="宋体" w:cs="Times New Roman"/>
                <w:bCs/>
                <w:color w:val="auto"/>
                <w:kern w:val="2"/>
                <w:sz w:val="24"/>
                <w:szCs w:val="24"/>
                <w:highlight w:val="none"/>
                <w:u w:val="none"/>
                <w:lang w:val="en-US" w:eastAsia="zh-CN"/>
              </w:rPr>
            </w:pPr>
            <w:r>
              <w:rPr>
                <w:rFonts w:hint="eastAsia" w:cs="Times New Roman"/>
                <w:bCs/>
                <w:color w:val="auto"/>
                <w:kern w:val="2"/>
                <w:sz w:val="24"/>
                <w:szCs w:val="24"/>
                <w:highlight w:val="none"/>
                <w:u w:val="none"/>
                <w:lang w:val="en-US" w:eastAsia="zh-CN"/>
              </w:rPr>
              <w:t>根据工程分析，项目</w:t>
            </w:r>
            <w:r>
              <w:rPr>
                <w:rFonts w:hint="eastAsia" w:ascii="Times New Roman" w:hAnsi="Times New Roman" w:eastAsia="宋体" w:cs="Times New Roman"/>
                <w:bCs/>
                <w:color w:val="auto"/>
                <w:kern w:val="2"/>
                <w:sz w:val="24"/>
                <w:szCs w:val="24"/>
                <w:highlight w:val="none"/>
                <w:u w:val="none"/>
                <w:lang w:val="en-US" w:eastAsia="zh-CN"/>
              </w:rPr>
              <w:t>废水</w:t>
            </w:r>
            <w:r>
              <w:rPr>
                <w:rFonts w:hint="eastAsia" w:cs="Times New Roman"/>
                <w:bCs/>
                <w:color w:val="auto"/>
                <w:kern w:val="2"/>
                <w:sz w:val="24"/>
                <w:szCs w:val="24"/>
                <w:highlight w:val="none"/>
                <w:u w:val="none"/>
                <w:lang w:val="en-US" w:eastAsia="zh-CN"/>
              </w:rPr>
              <w:t>总排放</w:t>
            </w:r>
            <w:r>
              <w:rPr>
                <w:rFonts w:hint="eastAsia" w:ascii="Times New Roman" w:hAnsi="Times New Roman" w:eastAsia="宋体" w:cs="Times New Roman"/>
                <w:bCs/>
                <w:color w:val="auto"/>
                <w:kern w:val="2"/>
                <w:sz w:val="24"/>
                <w:szCs w:val="24"/>
                <w:highlight w:val="none"/>
                <w:u w:val="none"/>
                <w:lang w:val="en-US" w:eastAsia="zh-CN"/>
              </w:rPr>
              <w:t>量</w:t>
            </w:r>
            <w:r>
              <w:rPr>
                <w:rFonts w:hint="eastAsia" w:cs="Times New Roman"/>
                <w:bCs/>
                <w:color w:val="auto"/>
                <w:kern w:val="2"/>
                <w:sz w:val="24"/>
                <w:szCs w:val="24"/>
                <w:highlight w:val="none"/>
                <w:u w:val="none"/>
                <w:lang w:val="en-US" w:eastAsia="zh-CN"/>
              </w:rPr>
              <w:t>25735.55</w:t>
            </w:r>
            <w:r>
              <w:rPr>
                <w:rFonts w:hint="eastAsia" w:ascii="Times New Roman" w:hAnsi="Times New Roman" w:eastAsia="宋体" w:cs="Times New Roman"/>
                <w:bCs/>
                <w:color w:val="auto"/>
                <w:kern w:val="2"/>
                <w:sz w:val="24"/>
                <w:szCs w:val="24"/>
                <w:highlight w:val="none"/>
                <w:u w:val="none"/>
                <w:lang w:val="en-US" w:eastAsia="zh-CN"/>
              </w:rPr>
              <w:t>t/a，排入</w:t>
            </w:r>
            <w:r>
              <w:rPr>
                <w:rFonts w:hint="eastAsia" w:cs="Times New Roman"/>
                <w:bCs/>
                <w:color w:val="auto"/>
                <w:kern w:val="2"/>
                <w:sz w:val="24"/>
                <w:szCs w:val="24"/>
                <w:highlight w:val="none"/>
                <w:u w:val="none"/>
                <w:lang w:val="en-US" w:eastAsia="zh-CN"/>
              </w:rPr>
              <w:t>官家嘴镇污水处理站</w:t>
            </w:r>
            <w:r>
              <w:rPr>
                <w:rFonts w:hint="eastAsia" w:ascii="Times New Roman" w:hAnsi="Times New Roman" w:eastAsia="宋体" w:cs="Times New Roman"/>
                <w:bCs/>
                <w:color w:val="auto"/>
                <w:kern w:val="2"/>
                <w:sz w:val="24"/>
                <w:szCs w:val="24"/>
                <w:highlight w:val="none"/>
                <w:u w:val="none"/>
                <w:lang w:val="en-US" w:eastAsia="zh-CN"/>
              </w:rPr>
              <w:t>的COD总量</w:t>
            </w:r>
            <w:r>
              <w:rPr>
                <w:rFonts w:hint="eastAsia" w:cs="Times New Roman"/>
                <w:bCs/>
                <w:color w:val="auto"/>
                <w:kern w:val="2"/>
                <w:sz w:val="24"/>
                <w:szCs w:val="24"/>
                <w:highlight w:val="none"/>
                <w:u w:val="none"/>
                <w:lang w:val="en-US" w:eastAsia="zh-CN"/>
              </w:rPr>
              <w:t>6.434</w:t>
            </w:r>
            <w:r>
              <w:rPr>
                <w:rFonts w:hint="eastAsia" w:ascii="Times New Roman" w:hAnsi="Times New Roman" w:eastAsia="宋体" w:cs="Times New Roman"/>
                <w:bCs/>
                <w:color w:val="auto"/>
                <w:kern w:val="2"/>
                <w:sz w:val="24"/>
                <w:szCs w:val="24"/>
                <w:highlight w:val="none"/>
                <w:u w:val="none"/>
                <w:lang w:val="en-US" w:eastAsia="zh-CN"/>
              </w:rPr>
              <w:t>t/a、NH</w:t>
            </w:r>
            <w:r>
              <w:rPr>
                <w:rFonts w:hint="eastAsia" w:ascii="Times New Roman" w:hAnsi="Times New Roman" w:eastAsia="宋体" w:cs="Times New Roman"/>
                <w:bCs/>
                <w:color w:val="auto"/>
                <w:kern w:val="2"/>
                <w:sz w:val="24"/>
                <w:szCs w:val="24"/>
                <w:highlight w:val="none"/>
                <w:u w:val="none"/>
                <w:vertAlign w:val="subscript"/>
                <w:lang w:val="en-US" w:eastAsia="zh-CN"/>
              </w:rPr>
              <w:t>3</w:t>
            </w:r>
            <w:r>
              <w:rPr>
                <w:rFonts w:hint="eastAsia" w:ascii="Times New Roman" w:hAnsi="Times New Roman" w:eastAsia="宋体" w:cs="Times New Roman"/>
                <w:bCs/>
                <w:color w:val="auto"/>
                <w:kern w:val="2"/>
                <w:sz w:val="24"/>
                <w:szCs w:val="24"/>
                <w:highlight w:val="none"/>
                <w:u w:val="none"/>
                <w:lang w:val="en-US" w:eastAsia="zh-CN"/>
              </w:rPr>
              <w:t>-N总量</w:t>
            </w:r>
            <w:r>
              <w:rPr>
                <w:rFonts w:hint="eastAsia" w:cs="Times New Roman"/>
                <w:bCs/>
                <w:color w:val="auto"/>
                <w:kern w:val="2"/>
                <w:sz w:val="24"/>
                <w:szCs w:val="24"/>
                <w:highlight w:val="none"/>
                <w:u w:val="none"/>
                <w:lang w:val="en-US" w:eastAsia="zh-CN"/>
              </w:rPr>
              <w:t>0.772</w:t>
            </w:r>
            <w:r>
              <w:rPr>
                <w:rFonts w:hint="eastAsia" w:ascii="Times New Roman" w:hAnsi="Times New Roman" w:eastAsia="宋体" w:cs="Times New Roman"/>
                <w:bCs/>
                <w:color w:val="auto"/>
                <w:kern w:val="2"/>
                <w:sz w:val="24"/>
                <w:szCs w:val="24"/>
                <w:highlight w:val="none"/>
                <w:u w:val="none"/>
                <w:lang w:val="en-US" w:eastAsia="zh-CN"/>
              </w:rPr>
              <w:t>t/a，</w:t>
            </w:r>
            <w:r>
              <w:rPr>
                <w:rFonts w:hint="eastAsia" w:cs="Times New Roman"/>
                <w:bCs/>
                <w:color w:val="auto"/>
                <w:kern w:val="2"/>
                <w:sz w:val="24"/>
                <w:szCs w:val="24"/>
                <w:highlight w:val="none"/>
                <w:u w:val="none"/>
                <w:lang w:val="en-US" w:eastAsia="zh-CN"/>
              </w:rPr>
              <w:t>经官家嘴镇污水处理站处理后排入黄狮江的</w:t>
            </w:r>
            <w:r>
              <w:rPr>
                <w:rFonts w:hint="eastAsia" w:ascii="Times New Roman" w:hAnsi="Times New Roman" w:eastAsia="宋体" w:cs="Times New Roman"/>
                <w:bCs/>
                <w:color w:val="auto"/>
                <w:kern w:val="2"/>
                <w:sz w:val="24"/>
                <w:szCs w:val="24"/>
                <w:highlight w:val="none"/>
                <w:u w:val="none"/>
                <w:lang w:val="en-US" w:eastAsia="zh-CN"/>
              </w:rPr>
              <w:t>COD总量</w:t>
            </w:r>
            <w:r>
              <w:rPr>
                <w:rFonts w:hint="eastAsia" w:cs="Times New Roman"/>
                <w:bCs/>
                <w:color w:val="auto"/>
                <w:kern w:val="2"/>
                <w:sz w:val="24"/>
                <w:szCs w:val="24"/>
                <w:highlight w:val="none"/>
                <w:u w:val="none"/>
                <w:lang w:val="en-US" w:eastAsia="zh-CN"/>
              </w:rPr>
              <w:t>1.544</w:t>
            </w:r>
            <w:r>
              <w:rPr>
                <w:rFonts w:hint="eastAsia" w:ascii="Times New Roman" w:hAnsi="Times New Roman" w:eastAsia="宋体" w:cs="Times New Roman"/>
                <w:bCs/>
                <w:color w:val="auto"/>
                <w:kern w:val="2"/>
                <w:sz w:val="24"/>
                <w:szCs w:val="24"/>
                <w:highlight w:val="none"/>
                <w:u w:val="none"/>
                <w:lang w:val="en-US" w:eastAsia="zh-CN"/>
              </w:rPr>
              <w:t>t/a、NH</w:t>
            </w:r>
            <w:r>
              <w:rPr>
                <w:rFonts w:hint="eastAsia" w:ascii="Times New Roman" w:hAnsi="Times New Roman" w:eastAsia="宋体" w:cs="Times New Roman"/>
                <w:bCs/>
                <w:color w:val="auto"/>
                <w:kern w:val="2"/>
                <w:sz w:val="24"/>
                <w:szCs w:val="24"/>
                <w:highlight w:val="none"/>
                <w:u w:val="none"/>
                <w:vertAlign w:val="subscript"/>
                <w:lang w:val="en-US" w:eastAsia="zh-CN"/>
              </w:rPr>
              <w:t>3</w:t>
            </w:r>
            <w:r>
              <w:rPr>
                <w:rFonts w:hint="eastAsia" w:ascii="Times New Roman" w:hAnsi="Times New Roman" w:eastAsia="宋体" w:cs="Times New Roman"/>
                <w:bCs/>
                <w:color w:val="auto"/>
                <w:kern w:val="2"/>
                <w:sz w:val="24"/>
                <w:szCs w:val="24"/>
                <w:highlight w:val="none"/>
                <w:u w:val="none"/>
                <w:lang w:val="en-US" w:eastAsia="zh-CN"/>
              </w:rPr>
              <w:t>-N总量</w:t>
            </w:r>
            <w:r>
              <w:rPr>
                <w:rFonts w:hint="eastAsia" w:cs="Times New Roman"/>
                <w:bCs/>
                <w:color w:val="auto"/>
                <w:kern w:val="2"/>
                <w:sz w:val="24"/>
                <w:szCs w:val="24"/>
                <w:highlight w:val="none"/>
                <w:u w:val="none"/>
                <w:lang w:val="en-US" w:eastAsia="zh-CN"/>
              </w:rPr>
              <w:t>0.206</w:t>
            </w:r>
            <w:r>
              <w:rPr>
                <w:rFonts w:hint="eastAsia" w:ascii="Times New Roman" w:hAnsi="Times New Roman" w:eastAsia="宋体" w:cs="Times New Roman"/>
                <w:bCs/>
                <w:color w:val="auto"/>
                <w:kern w:val="2"/>
                <w:sz w:val="24"/>
                <w:szCs w:val="24"/>
                <w:highlight w:val="none"/>
                <w:u w:val="none"/>
                <w:lang w:val="en-US" w:eastAsia="zh-CN"/>
              </w:rPr>
              <w:t>t/a</w:t>
            </w:r>
            <w:r>
              <w:rPr>
                <w:rFonts w:hint="default" w:ascii="Times New Roman" w:hAnsi="Times New Roman" w:eastAsia="宋体" w:cs="Times New Roman"/>
                <w:bCs/>
                <w:color w:val="auto"/>
                <w:kern w:val="2"/>
                <w:sz w:val="24"/>
                <w:szCs w:val="24"/>
                <w:highlight w:val="none"/>
                <w:u w:val="none"/>
                <w:lang w:val="en-US" w:eastAsia="zh-CN"/>
              </w:rPr>
              <w:t>。</w:t>
            </w:r>
          </w:p>
          <w:p w14:paraId="1E5DBCBD">
            <w:pPr>
              <w:keepNext w:val="0"/>
              <w:keepLines w:val="0"/>
              <w:pageBreakBefore w:val="0"/>
              <w:suppressLineNumbers w:val="0"/>
              <w:kinsoku/>
              <w:topLinePunct w:val="0"/>
              <w:bidi w:val="0"/>
              <w:adjustRightInd w:val="0"/>
              <w:snapToGrid w:val="0"/>
              <w:spacing w:before="0" w:beforeAutospacing="0" w:after="0" w:afterAutospacing="0" w:line="360" w:lineRule="auto"/>
              <w:ind w:left="0" w:right="0" w:firstLine="480" w:firstLineChars="200"/>
              <w:jc w:val="both"/>
              <w:rPr>
                <w:rFonts w:hint="eastAsia" w:cs="Times New Roman"/>
                <w:bCs/>
                <w:color w:val="auto"/>
                <w:kern w:val="2"/>
                <w:sz w:val="24"/>
                <w:szCs w:val="24"/>
                <w:highlight w:val="none"/>
                <w:u w:val="none"/>
                <w:lang w:val="en-US" w:eastAsia="zh-CN"/>
              </w:rPr>
            </w:pPr>
            <w:r>
              <w:rPr>
                <w:rFonts w:hint="eastAsia" w:ascii="Times New Roman" w:hAnsi="Times New Roman" w:eastAsia="宋体" w:cs="Times New Roman"/>
                <w:bCs/>
                <w:color w:val="auto"/>
                <w:kern w:val="2"/>
                <w:sz w:val="24"/>
                <w:szCs w:val="24"/>
                <w:highlight w:val="none"/>
                <w:u w:val="none"/>
                <w:lang w:val="en-US" w:eastAsia="zh-CN"/>
              </w:rPr>
              <w:t>本项目</w:t>
            </w:r>
            <w:r>
              <w:rPr>
                <w:rFonts w:hint="eastAsia" w:cs="Times New Roman"/>
                <w:bCs/>
                <w:color w:val="auto"/>
                <w:kern w:val="2"/>
                <w:sz w:val="24"/>
                <w:szCs w:val="24"/>
                <w:highlight w:val="none"/>
                <w:u w:val="none"/>
                <w:lang w:val="en-US" w:eastAsia="zh-CN"/>
              </w:rPr>
              <w:t>涉及的</w:t>
            </w:r>
            <w:r>
              <w:rPr>
                <w:rFonts w:hint="eastAsia" w:ascii="Times New Roman" w:hAnsi="Times New Roman" w:eastAsia="宋体" w:cs="Times New Roman"/>
                <w:bCs/>
                <w:color w:val="auto"/>
                <w:kern w:val="2"/>
                <w:sz w:val="24"/>
                <w:szCs w:val="24"/>
                <w:highlight w:val="none"/>
                <w:u w:val="none"/>
                <w:lang w:val="en-US" w:eastAsia="zh-CN"/>
              </w:rPr>
              <w:t>废气污染物中SO</w:t>
            </w:r>
            <w:r>
              <w:rPr>
                <w:rFonts w:hint="eastAsia" w:ascii="Times New Roman" w:hAnsi="Times New Roman" w:eastAsia="宋体" w:cs="Times New Roman"/>
                <w:bCs/>
                <w:color w:val="auto"/>
                <w:kern w:val="2"/>
                <w:sz w:val="24"/>
                <w:szCs w:val="24"/>
                <w:highlight w:val="none"/>
                <w:u w:val="none"/>
                <w:vertAlign w:val="subscript"/>
                <w:lang w:val="en-US" w:eastAsia="zh-CN"/>
              </w:rPr>
              <w:t>2</w:t>
            </w:r>
            <w:r>
              <w:rPr>
                <w:rFonts w:hint="eastAsia" w:ascii="Times New Roman" w:hAnsi="Times New Roman" w:eastAsia="宋体" w:cs="Times New Roman"/>
                <w:bCs/>
                <w:color w:val="auto"/>
                <w:kern w:val="2"/>
                <w:sz w:val="24"/>
                <w:szCs w:val="24"/>
                <w:highlight w:val="none"/>
                <w:u w:val="none"/>
                <w:lang w:val="en-US" w:eastAsia="zh-CN"/>
              </w:rPr>
              <w:t>、NO</w:t>
            </w:r>
            <w:r>
              <w:rPr>
                <w:rFonts w:hint="eastAsia" w:ascii="Times New Roman" w:hAnsi="Times New Roman" w:eastAsia="宋体" w:cs="Times New Roman"/>
                <w:bCs/>
                <w:color w:val="auto"/>
                <w:kern w:val="2"/>
                <w:sz w:val="24"/>
                <w:szCs w:val="24"/>
                <w:highlight w:val="none"/>
                <w:u w:val="none"/>
                <w:vertAlign w:val="subscript"/>
                <w:lang w:val="en-US" w:eastAsia="zh-CN"/>
              </w:rPr>
              <w:t>X</w:t>
            </w:r>
            <w:r>
              <w:rPr>
                <w:rFonts w:hint="eastAsia" w:ascii="Times New Roman" w:hAnsi="Times New Roman" w:eastAsia="宋体" w:cs="Times New Roman"/>
                <w:bCs/>
                <w:color w:val="auto"/>
                <w:kern w:val="2"/>
                <w:sz w:val="24"/>
                <w:szCs w:val="24"/>
                <w:highlight w:val="none"/>
                <w:u w:val="none"/>
                <w:lang w:val="en-US" w:eastAsia="zh-CN"/>
              </w:rPr>
              <w:t>纳入总量控制管理。根据本项目废气产排情况，项目</w:t>
            </w:r>
            <w:r>
              <w:rPr>
                <w:rFonts w:hint="eastAsia" w:cs="Times New Roman"/>
                <w:bCs/>
                <w:color w:val="auto"/>
                <w:kern w:val="2"/>
                <w:sz w:val="24"/>
                <w:szCs w:val="24"/>
                <w:highlight w:val="none"/>
                <w:u w:val="none"/>
                <w:lang w:val="en-US" w:eastAsia="zh-CN"/>
              </w:rPr>
              <w:t>二氧化硫</w:t>
            </w:r>
            <w:r>
              <w:rPr>
                <w:rFonts w:hint="eastAsia" w:ascii="Times New Roman" w:hAnsi="Times New Roman" w:eastAsia="宋体" w:cs="Times New Roman"/>
                <w:bCs/>
                <w:color w:val="auto"/>
                <w:kern w:val="2"/>
                <w:sz w:val="24"/>
                <w:szCs w:val="24"/>
                <w:highlight w:val="none"/>
                <w:u w:val="none"/>
                <w:lang w:val="en-US" w:eastAsia="zh-CN"/>
              </w:rPr>
              <w:t>排放量</w:t>
            </w:r>
            <w:r>
              <w:rPr>
                <w:rFonts w:hint="eastAsia" w:cs="Times New Roman"/>
                <w:bCs/>
                <w:color w:val="auto"/>
                <w:kern w:val="2"/>
                <w:sz w:val="24"/>
                <w:szCs w:val="24"/>
                <w:highlight w:val="none"/>
                <w:u w:val="none"/>
                <w:lang w:val="en-US" w:eastAsia="zh-CN"/>
              </w:rPr>
              <w:t>0.122</w:t>
            </w:r>
            <w:r>
              <w:rPr>
                <w:rFonts w:hint="eastAsia" w:ascii="Times New Roman" w:hAnsi="Times New Roman" w:eastAsia="宋体" w:cs="Times New Roman"/>
                <w:bCs/>
                <w:color w:val="auto"/>
                <w:kern w:val="2"/>
                <w:sz w:val="24"/>
                <w:szCs w:val="24"/>
                <w:highlight w:val="none"/>
                <w:u w:val="none"/>
                <w:lang w:val="en-US" w:eastAsia="zh-CN"/>
              </w:rPr>
              <w:t>t/a、</w:t>
            </w:r>
            <w:r>
              <w:rPr>
                <w:rFonts w:hint="eastAsia" w:cs="Times New Roman"/>
                <w:bCs/>
                <w:color w:val="auto"/>
                <w:kern w:val="2"/>
                <w:sz w:val="24"/>
                <w:szCs w:val="24"/>
                <w:highlight w:val="none"/>
                <w:u w:val="none"/>
                <w:lang w:val="en-US" w:eastAsia="zh-CN"/>
              </w:rPr>
              <w:t>氮氧化物</w:t>
            </w:r>
            <w:r>
              <w:rPr>
                <w:rFonts w:hint="eastAsia" w:ascii="Times New Roman" w:hAnsi="Times New Roman" w:eastAsia="宋体" w:cs="Times New Roman"/>
                <w:bCs/>
                <w:color w:val="auto"/>
                <w:kern w:val="2"/>
                <w:sz w:val="24"/>
                <w:szCs w:val="24"/>
                <w:highlight w:val="none"/>
                <w:u w:val="none"/>
                <w:lang w:val="en-US" w:eastAsia="zh-CN"/>
              </w:rPr>
              <w:t>排放量</w:t>
            </w:r>
            <w:r>
              <w:rPr>
                <w:rFonts w:hint="eastAsia" w:cs="Times New Roman"/>
                <w:bCs/>
                <w:color w:val="auto"/>
                <w:kern w:val="2"/>
                <w:sz w:val="24"/>
                <w:szCs w:val="24"/>
                <w:highlight w:val="none"/>
                <w:u w:val="none"/>
                <w:lang w:val="en-US" w:eastAsia="zh-CN"/>
              </w:rPr>
              <w:t>0.163</w:t>
            </w:r>
            <w:r>
              <w:rPr>
                <w:rFonts w:hint="eastAsia" w:ascii="Times New Roman" w:hAnsi="Times New Roman" w:eastAsia="宋体" w:cs="Times New Roman"/>
                <w:bCs/>
                <w:color w:val="auto"/>
                <w:kern w:val="2"/>
                <w:sz w:val="24"/>
                <w:szCs w:val="24"/>
                <w:highlight w:val="none"/>
                <w:u w:val="none"/>
                <w:lang w:val="en-US" w:eastAsia="zh-CN"/>
              </w:rPr>
              <w:t>t/a。</w:t>
            </w:r>
          </w:p>
          <w:p w14:paraId="404E638B">
            <w:pPr>
              <w:keepNext w:val="0"/>
              <w:keepLines w:val="0"/>
              <w:pageBreakBefore w:val="0"/>
              <w:suppressLineNumbers w:val="0"/>
              <w:kinsoku/>
              <w:topLinePunct w:val="0"/>
              <w:bidi w:val="0"/>
              <w:adjustRightInd w:val="0"/>
              <w:snapToGrid w:val="0"/>
              <w:spacing w:before="0" w:beforeAutospacing="0" w:after="0" w:afterAutospacing="0" w:line="360" w:lineRule="auto"/>
              <w:ind w:left="0" w:right="0" w:firstLine="480" w:firstLineChars="200"/>
              <w:jc w:val="both"/>
              <w:rPr>
                <w:rFonts w:hint="default"/>
                <w:color w:val="auto"/>
                <w:highlight w:val="yellow"/>
                <w:lang w:val="en-US" w:eastAsia="zh-CN"/>
              </w:rPr>
            </w:pPr>
            <w:r>
              <w:rPr>
                <w:rFonts w:hint="eastAsia"/>
                <w:color w:val="auto"/>
                <w:highlight w:val="none"/>
                <w:lang w:val="en-US" w:eastAsia="zh-CN"/>
              </w:rPr>
              <w:t>综上，</w:t>
            </w:r>
            <w:r>
              <w:rPr>
                <w:rFonts w:hint="default"/>
                <w:color w:val="auto"/>
                <w:highlight w:val="none"/>
                <w:lang w:val="en-US" w:eastAsia="zh-CN"/>
              </w:rPr>
              <w:t>本项目需申请废气总量</w:t>
            </w:r>
            <w:r>
              <w:rPr>
                <w:rFonts w:hint="eastAsia"/>
                <w:color w:val="auto"/>
                <w:highlight w:val="none"/>
                <w:lang w:val="en-US" w:eastAsia="zh-CN"/>
              </w:rPr>
              <w:t>为</w:t>
            </w:r>
            <w:r>
              <w:rPr>
                <w:rFonts w:hint="eastAsia" w:cs="Times New Roman"/>
                <w:bCs/>
                <w:color w:val="auto"/>
                <w:kern w:val="2"/>
                <w:sz w:val="24"/>
                <w:szCs w:val="24"/>
                <w:highlight w:val="none"/>
                <w:u w:val="none"/>
                <w:lang w:val="en-US" w:eastAsia="zh-CN"/>
              </w:rPr>
              <w:t>二氧化硫0.122</w:t>
            </w:r>
            <w:r>
              <w:rPr>
                <w:rFonts w:hint="eastAsia" w:ascii="Times New Roman" w:hAnsi="Times New Roman" w:eastAsia="宋体" w:cs="Times New Roman"/>
                <w:bCs/>
                <w:color w:val="auto"/>
                <w:kern w:val="2"/>
                <w:sz w:val="24"/>
                <w:szCs w:val="24"/>
                <w:highlight w:val="none"/>
                <w:u w:val="none"/>
                <w:lang w:val="en-US" w:eastAsia="zh-CN"/>
              </w:rPr>
              <w:t>t/a、</w:t>
            </w:r>
            <w:r>
              <w:rPr>
                <w:rFonts w:hint="eastAsia" w:cs="Times New Roman"/>
                <w:bCs/>
                <w:color w:val="auto"/>
                <w:kern w:val="2"/>
                <w:sz w:val="24"/>
                <w:szCs w:val="24"/>
                <w:highlight w:val="none"/>
                <w:u w:val="none"/>
                <w:lang w:val="en-US" w:eastAsia="zh-CN"/>
              </w:rPr>
              <w:t>氮氧化物0.163</w:t>
            </w:r>
            <w:r>
              <w:rPr>
                <w:rFonts w:hint="eastAsia" w:ascii="Times New Roman" w:hAnsi="Times New Roman" w:eastAsia="宋体" w:cs="Times New Roman"/>
                <w:bCs/>
                <w:color w:val="auto"/>
                <w:kern w:val="2"/>
                <w:sz w:val="24"/>
                <w:szCs w:val="24"/>
                <w:highlight w:val="none"/>
                <w:u w:val="none"/>
                <w:lang w:val="en-US" w:eastAsia="zh-CN"/>
              </w:rPr>
              <w:t>t/a</w:t>
            </w:r>
            <w:r>
              <w:rPr>
                <w:rFonts w:hint="default"/>
                <w:color w:val="auto"/>
                <w:highlight w:val="none"/>
                <w:lang w:val="en-US" w:eastAsia="zh-CN"/>
              </w:rPr>
              <w:t xml:space="preserve">，需申请废水总量为COD </w:t>
            </w:r>
            <w:r>
              <w:rPr>
                <w:rFonts w:hint="eastAsia"/>
                <w:color w:val="auto"/>
                <w:highlight w:val="none"/>
                <w:lang w:val="en-US" w:eastAsia="zh-CN"/>
              </w:rPr>
              <w:t>1.544</w:t>
            </w:r>
            <w:r>
              <w:rPr>
                <w:rFonts w:hint="default"/>
                <w:color w:val="auto"/>
                <w:highlight w:val="none"/>
                <w:lang w:val="en-US" w:eastAsia="zh-CN"/>
              </w:rPr>
              <w:t>t/a、NH</w:t>
            </w:r>
            <w:r>
              <w:rPr>
                <w:rFonts w:hint="default"/>
                <w:color w:val="auto"/>
                <w:highlight w:val="none"/>
                <w:vertAlign w:val="subscript"/>
                <w:lang w:val="en-US" w:eastAsia="zh-CN"/>
              </w:rPr>
              <w:t>3</w:t>
            </w:r>
            <w:r>
              <w:rPr>
                <w:rFonts w:hint="default"/>
                <w:color w:val="auto"/>
                <w:highlight w:val="none"/>
                <w:lang w:val="en-US" w:eastAsia="zh-CN"/>
              </w:rPr>
              <w:t xml:space="preserve">-N </w:t>
            </w:r>
            <w:r>
              <w:rPr>
                <w:rFonts w:hint="eastAsia"/>
                <w:color w:val="auto"/>
                <w:highlight w:val="none"/>
                <w:lang w:val="en-US" w:eastAsia="zh-CN"/>
              </w:rPr>
              <w:t>0.206</w:t>
            </w:r>
            <w:r>
              <w:rPr>
                <w:rFonts w:hint="default"/>
                <w:color w:val="auto"/>
                <w:highlight w:val="none"/>
                <w:lang w:val="en-US" w:eastAsia="zh-CN"/>
              </w:rPr>
              <w:t>t/a。</w:t>
            </w:r>
          </w:p>
        </w:tc>
      </w:tr>
    </w:tbl>
    <w:p w14:paraId="50DCD650">
      <w:pPr>
        <w:pStyle w:val="24"/>
        <w:numPr>
          <w:ilvl w:val="0"/>
          <w:numId w:val="13"/>
        </w:numPr>
        <w:jc w:val="center"/>
        <w:outlineLvl w:val="0"/>
        <w:rPr>
          <w:rFonts w:hint="eastAsia" w:ascii="黑体" w:hAnsi="黑体" w:eastAsia="黑体"/>
          <w:snapToGrid w:val="0"/>
          <w:color w:val="auto"/>
          <w:sz w:val="30"/>
          <w:szCs w:val="30"/>
          <w:highlight w:val="none"/>
        </w:rPr>
      </w:pPr>
      <w:r>
        <w:rPr>
          <w:rFonts w:ascii="黑体" w:hAnsi="黑体" w:eastAsia="黑体"/>
          <w:snapToGrid w:val="0"/>
          <w:color w:val="auto"/>
          <w:sz w:val="36"/>
          <w:szCs w:val="36"/>
          <w:highlight w:val="yellow"/>
        </w:rPr>
        <w:br w:type="page"/>
      </w:r>
      <w:bookmarkStart w:id="27" w:name="_Toc22024"/>
      <w:r>
        <w:rPr>
          <w:rFonts w:hint="eastAsia" w:ascii="黑体" w:hAnsi="黑体" w:eastAsia="黑体"/>
          <w:snapToGrid w:val="0"/>
          <w:color w:val="auto"/>
          <w:sz w:val="30"/>
          <w:szCs w:val="30"/>
          <w:highlight w:val="none"/>
        </w:rPr>
        <w:t>主要环境影响和保护措施</w:t>
      </w:r>
      <w:bookmarkEnd w:id="27"/>
    </w:p>
    <w:tbl>
      <w:tblPr>
        <w:tblStyle w:val="28"/>
        <w:tblW w:w="4999"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251"/>
        <w:gridCol w:w="8730"/>
      </w:tblGrid>
      <w:tr w14:paraId="67C03B4A">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jc w:val="center"/>
        </w:trPr>
        <w:tc>
          <w:tcPr>
            <w:tcW w:w="308" w:type="pct"/>
            <w:tcMar>
              <w:left w:w="28" w:type="dxa"/>
              <w:right w:w="28" w:type="dxa"/>
            </w:tcMar>
            <w:vAlign w:val="center"/>
          </w:tcPr>
          <w:p w14:paraId="6B0C676D">
            <w:pPr>
              <w:pStyle w:val="24"/>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kern w:val="2"/>
                <w:szCs w:val="24"/>
                <w14:textFill>
                  <w14:solidFill>
                    <w14:schemeClr w14:val="tx1"/>
                  </w14:solidFill>
                </w14:textFill>
              </w:rPr>
            </w:pPr>
            <w:r>
              <w:rPr>
                <w:rFonts w:hint="default" w:ascii="Times New Roman" w:hAnsi="Times New Roman" w:eastAsia="宋体" w:cs="Times New Roman"/>
                <w:b/>
                <w:bCs/>
                <w:color w:val="000000" w:themeColor="text1"/>
                <w:kern w:val="2"/>
                <w:szCs w:val="24"/>
                <w14:textFill>
                  <w14:solidFill>
                    <w14:schemeClr w14:val="tx1"/>
                  </w14:solidFill>
                </w14:textFill>
              </w:rPr>
              <w:t>施工</w:t>
            </w:r>
          </w:p>
          <w:p w14:paraId="6C10C621">
            <w:pPr>
              <w:pStyle w:val="24"/>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kern w:val="2"/>
                <w:szCs w:val="24"/>
                <w14:textFill>
                  <w14:solidFill>
                    <w14:schemeClr w14:val="tx1"/>
                  </w14:solidFill>
                </w14:textFill>
              </w:rPr>
            </w:pPr>
            <w:r>
              <w:rPr>
                <w:rFonts w:hint="default" w:ascii="Times New Roman" w:hAnsi="Times New Roman" w:eastAsia="宋体" w:cs="Times New Roman"/>
                <w:b/>
                <w:bCs/>
                <w:color w:val="000000" w:themeColor="text1"/>
                <w:kern w:val="2"/>
                <w:szCs w:val="24"/>
                <w14:textFill>
                  <w14:solidFill>
                    <w14:schemeClr w14:val="tx1"/>
                  </w14:solidFill>
                </w14:textFill>
              </w:rPr>
              <w:t>期环</w:t>
            </w:r>
          </w:p>
          <w:p w14:paraId="542EA932">
            <w:pPr>
              <w:pStyle w:val="24"/>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kern w:val="2"/>
                <w:szCs w:val="24"/>
                <w14:textFill>
                  <w14:solidFill>
                    <w14:schemeClr w14:val="tx1"/>
                  </w14:solidFill>
                </w14:textFill>
              </w:rPr>
            </w:pPr>
            <w:r>
              <w:rPr>
                <w:rFonts w:hint="default" w:ascii="Times New Roman" w:hAnsi="Times New Roman" w:eastAsia="宋体" w:cs="Times New Roman"/>
                <w:b/>
                <w:bCs/>
                <w:color w:val="000000" w:themeColor="text1"/>
                <w:kern w:val="2"/>
                <w:szCs w:val="24"/>
                <w14:textFill>
                  <w14:solidFill>
                    <w14:schemeClr w14:val="tx1"/>
                  </w14:solidFill>
                </w14:textFill>
              </w:rPr>
              <w:t>境保</w:t>
            </w:r>
          </w:p>
          <w:p w14:paraId="240021E0">
            <w:pPr>
              <w:pStyle w:val="24"/>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kern w:val="2"/>
                <w:szCs w:val="24"/>
                <w14:textFill>
                  <w14:solidFill>
                    <w14:schemeClr w14:val="tx1"/>
                  </w14:solidFill>
                </w14:textFill>
              </w:rPr>
            </w:pPr>
            <w:r>
              <w:rPr>
                <w:rFonts w:hint="default" w:ascii="Times New Roman" w:hAnsi="Times New Roman" w:eastAsia="宋体" w:cs="Times New Roman"/>
                <w:b/>
                <w:bCs/>
                <w:color w:val="000000" w:themeColor="text1"/>
                <w:kern w:val="2"/>
                <w:szCs w:val="24"/>
                <w14:textFill>
                  <w14:solidFill>
                    <w14:schemeClr w14:val="tx1"/>
                  </w14:solidFill>
                </w14:textFill>
              </w:rPr>
              <w:t>护措</w:t>
            </w:r>
          </w:p>
          <w:p w14:paraId="76AE4A5A">
            <w:pPr>
              <w:pStyle w:val="24"/>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kern w:val="2"/>
                <w:sz w:val="21"/>
                <w:szCs w:val="21"/>
                <w14:textFill>
                  <w14:solidFill>
                    <w14:schemeClr w14:val="tx1"/>
                  </w14:solidFill>
                </w14:textFill>
              </w:rPr>
            </w:pPr>
            <w:r>
              <w:rPr>
                <w:rFonts w:hint="default" w:ascii="Times New Roman" w:hAnsi="Times New Roman" w:eastAsia="宋体" w:cs="Times New Roman"/>
                <w:b/>
                <w:bCs/>
                <w:color w:val="000000" w:themeColor="text1"/>
                <w:kern w:val="2"/>
                <w:szCs w:val="24"/>
                <w14:textFill>
                  <w14:solidFill>
                    <w14:schemeClr w14:val="tx1"/>
                  </w14:solidFill>
                </w14:textFill>
              </w:rPr>
              <w:t>施</w:t>
            </w:r>
          </w:p>
        </w:tc>
        <w:tc>
          <w:tcPr>
            <w:tcW w:w="4691" w:type="pct"/>
            <w:vAlign w:val="center"/>
          </w:tcPr>
          <w:p w14:paraId="11EE9D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textAlignment w:val="auto"/>
              <w:rPr>
                <w:rFonts w:hint="eastAsia"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本项目</w:t>
            </w:r>
            <w:r>
              <w:rPr>
                <w:rFonts w:hint="default" w:ascii="Times New Roman" w:hAnsi="Times New Roman" w:eastAsia="宋体" w:cs="Times New Roman"/>
                <w:color w:val="000000" w:themeColor="text1"/>
                <w:sz w:val="24"/>
                <w:lang w:val="en-US" w:eastAsia="zh-CN"/>
                <w14:textFill>
                  <w14:solidFill>
                    <w14:schemeClr w14:val="tx1"/>
                  </w14:solidFill>
                </w14:textFill>
              </w:rPr>
              <w:t>位于</w:t>
            </w:r>
            <w:r>
              <w:rPr>
                <w:rFonts w:hint="eastAsia" w:cs="Times New Roman"/>
                <w:color w:val="auto"/>
                <w:highlight w:val="none"/>
                <w:lang w:val="en-US" w:eastAsia="zh-CN"/>
              </w:rPr>
              <w:t>祁东县官家嘴镇官家嘴村</w:t>
            </w:r>
            <w:r>
              <w:rPr>
                <w:rFonts w:hint="default" w:ascii="Times New Roman" w:hAnsi="Times New Roman" w:eastAsia="宋体" w:cs="Times New Roman"/>
                <w:color w:val="000000" w:themeColor="text1"/>
                <w:sz w:val="24"/>
                <w14:textFill>
                  <w14:solidFill>
                    <w14:schemeClr w14:val="tx1"/>
                  </w14:solidFill>
                </w14:textFill>
              </w:rPr>
              <w:t>，</w:t>
            </w:r>
            <w:r>
              <w:rPr>
                <w:rFonts w:hint="default" w:ascii="Times New Roman" w:hAnsi="Times New Roman" w:eastAsia="宋体" w:cs="Times New Roman"/>
                <w:color w:val="000000" w:themeColor="text1"/>
                <w:sz w:val="24"/>
                <w:lang w:val="en-US" w:eastAsia="zh-CN"/>
                <w14:textFill>
                  <w14:solidFill>
                    <w14:schemeClr w14:val="tx1"/>
                  </w14:solidFill>
                </w14:textFill>
              </w:rPr>
              <w:t>项目属于未批先建；目前</w:t>
            </w:r>
            <w:r>
              <w:rPr>
                <w:rFonts w:hint="eastAsia" w:ascii="Times New Roman" w:hAnsi="Times New Roman" w:eastAsia="宋体" w:cs="Times New Roman"/>
                <w:color w:val="000000" w:themeColor="text1"/>
                <w:sz w:val="24"/>
                <w:lang w:val="en-US" w:eastAsia="zh-CN"/>
                <w14:textFill>
                  <w14:solidFill>
                    <w14:schemeClr w14:val="tx1"/>
                  </w14:solidFill>
                </w14:textFill>
              </w:rPr>
              <w:t>除办公楼外，</w:t>
            </w:r>
            <w:r>
              <w:rPr>
                <w:rFonts w:hint="default" w:ascii="Times New Roman" w:hAnsi="Times New Roman" w:eastAsia="宋体" w:cs="Times New Roman"/>
                <w:color w:val="000000" w:themeColor="text1"/>
                <w:sz w:val="24"/>
                <w:lang w:val="en-US" w:eastAsia="zh-CN"/>
                <w14:textFill>
                  <w14:solidFill>
                    <w14:schemeClr w14:val="tx1"/>
                  </w14:solidFill>
                </w14:textFill>
              </w:rPr>
              <w:t>厂房和辅助用房均已建好，且生产设备均已安装并投入运行。本次评价涉及的</w:t>
            </w:r>
            <w:r>
              <w:rPr>
                <w:rFonts w:hint="default" w:ascii="Times New Roman" w:hAnsi="Times New Roman" w:eastAsia="宋体" w:cs="Times New Roman"/>
                <w:color w:val="000000" w:themeColor="text1"/>
                <w:sz w:val="24"/>
                <w14:textFill>
                  <w14:solidFill>
                    <w14:schemeClr w14:val="tx1"/>
                  </w14:solidFill>
                </w14:textFill>
              </w:rPr>
              <w:t>施工期</w:t>
            </w:r>
            <w:r>
              <w:rPr>
                <w:rFonts w:hint="default" w:ascii="Times New Roman" w:hAnsi="Times New Roman" w:eastAsia="宋体" w:cs="Times New Roman"/>
                <w:color w:val="000000" w:themeColor="text1"/>
                <w:sz w:val="24"/>
                <w:lang w:val="en-US" w:eastAsia="zh-CN"/>
                <w14:textFill>
                  <w14:solidFill>
                    <w14:schemeClr w14:val="tx1"/>
                  </w14:solidFill>
                </w14:textFill>
              </w:rPr>
              <w:t>仅有</w:t>
            </w:r>
            <w:r>
              <w:rPr>
                <w:rFonts w:hint="eastAsia" w:ascii="Times New Roman" w:hAnsi="Times New Roman" w:eastAsia="宋体" w:cs="Times New Roman"/>
                <w:color w:val="000000" w:themeColor="text1"/>
                <w:sz w:val="24"/>
                <w:lang w:val="en-US" w:eastAsia="zh-CN"/>
                <w14:textFill>
                  <w14:solidFill>
                    <w14:schemeClr w14:val="tx1"/>
                  </w14:solidFill>
                </w14:textFill>
              </w:rPr>
              <w:t>办公楼建设以及</w:t>
            </w:r>
            <w:r>
              <w:rPr>
                <w:rFonts w:hint="default" w:ascii="Times New Roman" w:hAnsi="Times New Roman" w:eastAsia="宋体" w:cs="Times New Roman"/>
                <w:color w:val="000000" w:themeColor="text1"/>
                <w:sz w:val="24"/>
                <w:lang w:val="en-US" w:eastAsia="zh-CN"/>
                <w14:textFill>
                  <w14:solidFill>
                    <w14:schemeClr w14:val="tx1"/>
                  </w14:solidFill>
                </w14:textFill>
              </w:rPr>
              <w:t>环保设施的整改</w:t>
            </w:r>
            <w:r>
              <w:rPr>
                <w:rFonts w:hint="default" w:ascii="Times New Roman" w:hAnsi="Times New Roman" w:eastAsia="宋体" w:cs="Times New Roman"/>
                <w:color w:val="000000" w:themeColor="text1"/>
                <w:sz w:val="24"/>
                <w14:textFill>
                  <w14:solidFill>
                    <w14:schemeClr w14:val="tx1"/>
                  </w14:solidFill>
                </w14:textFill>
              </w:rPr>
              <w:t>，</w:t>
            </w:r>
            <w:r>
              <w:rPr>
                <w:rFonts w:hint="eastAsia" w:ascii="Times New Roman" w:hAnsi="Times New Roman" w:eastAsia="宋体" w:cs="Times New Roman"/>
                <w:color w:val="000000" w:themeColor="text1"/>
                <w:sz w:val="24"/>
                <w:lang w:val="en-US" w:eastAsia="zh-CN"/>
                <w14:textFill>
                  <w14:solidFill>
                    <w14:schemeClr w14:val="tx1"/>
                  </w14:solidFill>
                </w14:textFill>
              </w:rPr>
              <w:t>且办公楼和环保设施整改</w:t>
            </w:r>
            <w:r>
              <w:rPr>
                <w:rFonts w:hint="default" w:ascii="Times New Roman" w:hAnsi="Times New Roman" w:eastAsia="宋体" w:cs="Times New Roman"/>
                <w:color w:val="000000" w:themeColor="text1"/>
                <w:sz w:val="24"/>
                <w14:textFill>
                  <w14:solidFill>
                    <w14:schemeClr w14:val="tx1"/>
                  </w14:solidFill>
                </w14:textFill>
              </w:rPr>
              <w:t>施工期短，随</w:t>
            </w:r>
            <w:r>
              <w:rPr>
                <w:rFonts w:hint="eastAsia" w:ascii="Times New Roman" w:hAnsi="Times New Roman" w:eastAsia="宋体" w:cs="Times New Roman"/>
                <w:color w:val="000000" w:themeColor="text1"/>
                <w:sz w:val="24"/>
                <w:lang w:val="en-US" w:eastAsia="zh-CN"/>
                <w14:textFill>
                  <w14:solidFill>
                    <w14:schemeClr w14:val="tx1"/>
                  </w14:solidFill>
                </w14:textFill>
              </w:rPr>
              <w:t>着</w:t>
            </w:r>
            <w:r>
              <w:rPr>
                <w:rFonts w:hint="default" w:ascii="Times New Roman" w:hAnsi="Times New Roman" w:eastAsia="宋体" w:cs="Times New Roman"/>
                <w:color w:val="000000" w:themeColor="text1"/>
                <w:sz w:val="24"/>
                <w14:textFill>
                  <w14:solidFill>
                    <w14:schemeClr w14:val="tx1"/>
                  </w14:solidFill>
                </w14:textFill>
              </w:rPr>
              <w:t>施工期结束，污染随着消失。</w:t>
            </w:r>
          </w:p>
          <w:p w14:paraId="43FDE4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color w:val="auto"/>
                <w:lang w:val="en-US" w:eastAsia="zh-CN"/>
              </w:rPr>
            </w:pPr>
            <w:r>
              <w:rPr>
                <w:rFonts w:hint="default"/>
                <w:b/>
                <w:bCs/>
                <w:color w:val="auto"/>
                <w:lang w:val="en-US" w:eastAsia="zh-CN"/>
              </w:rPr>
              <w:t>1、废气环境污染防治措施</w:t>
            </w:r>
          </w:p>
          <w:p w14:paraId="3577F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施工</w:t>
            </w:r>
            <w:r>
              <w:rPr>
                <w:rFonts w:hint="eastAsia"/>
                <w:color w:val="auto"/>
                <w:lang w:val="en-US" w:eastAsia="zh-CN"/>
              </w:rPr>
              <w:t>废气</w:t>
            </w:r>
            <w:r>
              <w:rPr>
                <w:rFonts w:hint="default"/>
                <w:color w:val="auto"/>
                <w:lang w:val="en-US" w:eastAsia="zh-CN"/>
              </w:rPr>
              <w:t>产生的主要环节为：土石方挖掘、</w:t>
            </w:r>
            <w:r>
              <w:rPr>
                <w:rFonts w:hint="eastAsia"/>
                <w:color w:val="auto"/>
                <w:lang w:val="en-US" w:eastAsia="zh-CN"/>
              </w:rPr>
              <w:t>建筑施工、</w:t>
            </w:r>
            <w:r>
              <w:rPr>
                <w:rFonts w:hint="default"/>
                <w:color w:val="auto"/>
                <w:lang w:val="en-US" w:eastAsia="zh-CN"/>
              </w:rPr>
              <w:t>建筑材料装卸和车辆运输</w:t>
            </w:r>
            <w:r>
              <w:rPr>
                <w:rFonts w:hint="eastAsia"/>
                <w:color w:val="auto"/>
                <w:lang w:val="en-US" w:eastAsia="zh-CN"/>
              </w:rPr>
              <w:t>产生的扬尘、汽车尾气</w:t>
            </w:r>
            <w:r>
              <w:rPr>
                <w:rFonts w:hint="default"/>
                <w:color w:val="auto"/>
                <w:lang w:val="en-US" w:eastAsia="zh-CN"/>
              </w:rPr>
              <w:t>。减轻项目施工期对大气环境影响的主要措施有：</w:t>
            </w:r>
          </w:p>
          <w:p w14:paraId="6B1802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（1）根据《建设工程施工现场管理规定》，设置施工标志牌并标明当地环境保护主管部门的污染举报电话。</w:t>
            </w:r>
          </w:p>
          <w:p w14:paraId="3CA496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（2）施工工地要做到</w:t>
            </w:r>
            <w:r>
              <w:rPr>
                <w:rFonts w:hint="eastAsia"/>
                <w:color w:val="auto"/>
                <w:lang w:val="en-US" w:eastAsia="zh-CN"/>
              </w:rPr>
              <w:t>“</w:t>
            </w:r>
            <w:r>
              <w:rPr>
                <w:rFonts w:hint="default"/>
                <w:color w:val="auto"/>
                <w:lang w:val="en-US" w:eastAsia="zh-CN"/>
              </w:rPr>
              <w:t>6个100%</w:t>
            </w:r>
            <w:r>
              <w:rPr>
                <w:rFonts w:hint="eastAsia"/>
                <w:color w:val="auto"/>
                <w:lang w:val="en-US" w:eastAsia="zh-CN"/>
              </w:rPr>
              <w:t>”</w:t>
            </w:r>
            <w:r>
              <w:rPr>
                <w:rFonts w:hint="default"/>
                <w:color w:val="auto"/>
                <w:lang w:val="en-US" w:eastAsia="zh-CN"/>
              </w:rPr>
              <w:t>，即施工工地周边100%围挡、物料堆放100%覆盖、出入车辆100%冲洗、施工现场地面100%硬化、拆迁工作100%湿法作业、渣土车辆100%密闭运输。</w:t>
            </w:r>
          </w:p>
          <w:p w14:paraId="18706A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3）运输车辆应完好，不应装载过满，并尽量采取遮盖、密闭措施，减少沿途抛洒，并及时清扫散落在路面上的泥土和建筑材料，施工道路和场地应定时洒水压尘，运输车辆上路前应喷水冲洗轮胎，以减少运输过程中的扬尘。</w:t>
            </w:r>
          </w:p>
          <w:p w14:paraId="4DC5D7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（4）应首选使用商品混凝土，因需要必须进行现场搅拌砂浆、混凝土时，应尽量做到不洒、不漏、不剩、不倒；混凝土搅拌应设置在棚内，搅拌时要有喷雾降尘措施。</w:t>
            </w:r>
          </w:p>
          <w:p w14:paraId="787C4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（5）施工现场要设围栏或部分围栏，缩小施工扬尘扩散范围；对施工现场实行合理化管理，使砂石料统一堆放，水泥应在专门库房堆放，并尽量减少搬运环节，搬运时做到轻举轻放，防止包装袋破裂。</w:t>
            </w:r>
          </w:p>
          <w:p w14:paraId="3BF73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（6）施工物料运输车辆要合理选择运输路线，尽可能避开集中居民区和主要交通干道，按照批准的路线和时间进行物料运输。</w:t>
            </w:r>
          </w:p>
          <w:p w14:paraId="17502D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（7）当风速过大时，应停止施工作业，并对堆存的砂粉等建筑材料采取遮盖措施。</w:t>
            </w:r>
          </w:p>
          <w:p w14:paraId="264FE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8）针对施工车辆尾气，建设单位应选用运行工况好的施工机械和车辆；燃油施工机械和车辆必须在正常状态下使用，保证废气达标排放；加强对施工车辆的检修和维护，严禁使用超期服役和尾气超标的车辆。尽可能使用耗油低，排气小的施工车辆，尽可能选用优质燃油，减少机械和车辆的有害废气排放。</w:t>
            </w:r>
          </w:p>
          <w:p w14:paraId="23CF56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在采取上述措施后，本项目施工期废气能够达标排放，项目施工期的持续时间较短且工程量不大，对项目所在区域的大气环境影响较小。</w:t>
            </w:r>
          </w:p>
          <w:p w14:paraId="6177C3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leftChars="0" w:right="0"/>
              <w:textAlignment w:val="auto"/>
              <w:rPr>
                <w:rFonts w:hint="default"/>
                <w:b/>
                <w:bCs/>
                <w:color w:val="auto"/>
                <w:lang w:val="en-US" w:eastAsia="zh-CN"/>
              </w:rPr>
            </w:pPr>
            <w:r>
              <w:rPr>
                <w:rFonts w:hint="eastAsia"/>
                <w:b/>
                <w:bCs/>
                <w:color w:val="auto"/>
                <w:lang w:val="en-US" w:eastAsia="zh-CN"/>
              </w:rPr>
              <w:t>2、</w:t>
            </w:r>
            <w:r>
              <w:rPr>
                <w:rFonts w:hint="default"/>
                <w:b/>
                <w:bCs/>
                <w:color w:val="auto"/>
                <w:lang w:val="en-US" w:eastAsia="zh-CN"/>
              </w:rPr>
              <w:t>废水环境污染防治措施</w:t>
            </w:r>
          </w:p>
          <w:p w14:paraId="2356B7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本项目施工期废水主要为施工废水和施工人员生活污水，施工废水主要为各种施工机械冲洗废水，主要污染物为SS和石油类。减轻项目施工期对水环境影响的主要措施有：</w:t>
            </w:r>
          </w:p>
          <w:p w14:paraId="066AC3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（1）施工期生活污水</w:t>
            </w:r>
            <w:r>
              <w:rPr>
                <w:rFonts w:hint="eastAsia"/>
                <w:color w:val="auto"/>
                <w:lang w:val="en-US" w:eastAsia="zh-CN"/>
              </w:rPr>
              <w:t>经</w:t>
            </w:r>
            <w:r>
              <w:rPr>
                <w:rFonts w:hint="default"/>
                <w:color w:val="auto"/>
                <w:lang w:val="en-US" w:eastAsia="zh-CN"/>
              </w:rPr>
              <w:t>化粪池处理</w:t>
            </w:r>
            <w:r>
              <w:rPr>
                <w:rFonts w:hint="eastAsia"/>
                <w:color w:val="auto"/>
                <w:lang w:val="en-US" w:eastAsia="zh-CN"/>
              </w:rPr>
              <w:t>后进入厂内已建的污水处理站进行处理</w:t>
            </w:r>
            <w:r>
              <w:rPr>
                <w:rFonts w:hint="default"/>
                <w:color w:val="auto"/>
                <w:lang w:val="en-US" w:eastAsia="zh-CN"/>
              </w:rPr>
              <w:t>。</w:t>
            </w:r>
          </w:p>
          <w:p w14:paraId="6C3B8E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（2）拟在施工场地设置沉淀池，施工现场的施工废水经沉淀后全部回用于洒水抑尘，不向外排放。</w:t>
            </w:r>
          </w:p>
          <w:p w14:paraId="30A1B9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（3）水泥、沙土、石灰类的建筑材料需集中堆放，并采取一定的防雨淋措施，及时清扫施工运输过程中抛洒的上述建筑材料，以免这些物质随雨水冲刷，污染附近水体。</w:t>
            </w:r>
          </w:p>
          <w:p w14:paraId="1CCFC9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（4）安装小流量的设备和器具，以减少在施工期间的用水量。</w:t>
            </w:r>
          </w:p>
          <w:p w14:paraId="2B9E5B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在采取上述措施后，本项目施工期施工废水不外排，生活污水</w:t>
            </w:r>
            <w:r>
              <w:rPr>
                <w:rFonts w:hint="eastAsia"/>
                <w:color w:val="auto"/>
                <w:lang w:val="en-US" w:eastAsia="zh-CN"/>
              </w:rPr>
              <w:t>经</w:t>
            </w:r>
            <w:r>
              <w:rPr>
                <w:rFonts w:hint="default"/>
                <w:color w:val="auto"/>
                <w:lang w:val="en-US" w:eastAsia="zh-CN"/>
              </w:rPr>
              <w:t>化粪池处理</w:t>
            </w:r>
            <w:r>
              <w:rPr>
                <w:rFonts w:hint="eastAsia"/>
                <w:color w:val="auto"/>
                <w:lang w:val="en-US" w:eastAsia="zh-CN"/>
              </w:rPr>
              <w:t>后进入厂内已建的污水处理站进行处理</w:t>
            </w:r>
            <w:r>
              <w:rPr>
                <w:rFonts w:hint="default"/>
                <w:color w:val="auto"/>
                <w:lang w:val="en-US" w:eastAsia="zh-CN"/>
              </w:rPr>
              <w:t>，对附近地表水的水环境影响不大。</w:t>
            </w:r>
          </w:p>
          <w:p w14:paraId="4ABBE6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leftChars="0" w:right="0"/>
              <w:textAlignment w:val="auto"/>
              <w:rPr>
                <w:rFonts w:hint="default"/>
                <w:b/>
                <w:bCs/>
                <w:color w:val="auto"/>
                <w:lang w:val="en-US" w:eastAsia="zh-CN"/>
              </w:rPr>
            </w:pPr>
            <w:r>
              <w:rPr>
                <w:rFonts w:hint="eastAsia"/>
                <w:b/>
                <w:bCs/>
                <w:color w:val="auto"/>
                <w:lang w:val="en-US" w:eastAsia="zh-CN"/>
              </w:rPr>
              <w:t>3、</w:t>
            </w:r>
            <w:r>
              <w:rPr>
                <w:rFonts w:hint="default"/>
                <w:b/>
                <w:bCs/>
                <w:color w:val="auto"/>
                <w:lang w:val="en-US" w:eastAsia="zh-CN"/>
              </w:rPr>
              <w:t>噪声环境污染防治措施</w:t>
            </w:r>
          </w:p>
          <w:p w14:paraId="21F454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项目施工期噪声主要为挖土机械、升降机等施工机械设备噪声；土石方、建筑材料和建筑垃圾运输产生的施工车辆交通噪声；设备安装噪声。本项目施工单位应严格执行《中华人民共和国噪声污染防治法》、《建筑施工场界环境噪声排放标准》（GB12523-2011）中相关规定，采用低噪声施工机具和先进工艺进行施工，基础打桩应采用静压桩。建设方必须加强相应的管理，严禁夜间时段（22</w:t>
            </w:r>
            <w:r>
              <w:rPr>
                <w:rFonts w:hint="default" w:ascii="Times New Roman" w:hAnsi="Times New Roman" w:eastAsia="微软雅黑" w:cs="Times New Roman"/>
                <w:color w:val="auto"/>
                <w:lang w:val="en-US" w:eastAsia="zh-CN"/>
              </w:rPr>
              <w:t>∶</w:t>
            </w:r>
            <w:r>
              <w:rPr>
                <w:rFonts w:hint="default"/>
                <w:color w:val="auto"/>
                <w:lang w:val="en-US" w:eastAsia="zh-CN"/>
              </w:rPr>
              <w:t>00-6</w:t>
            </w:r>
            <w:r>
              <w:rPr>
                <w:rFonts w:hint="default" w:ascii="Times New Roman" w:hAnsi="Times New Roman" w:eastAsia="微软雅黑" w:cs="Times New Roman"/>
                <w:color w:val="auto"/>
                <w:lang w:val="en-US" w:eastAsia="zh-CN"/>
              </w:rPr>
              <w:t>∶</w:t>
            </w:r>
            <w:r>
              <w:rPr>
                <w:rFonts w:hint="default"/>
                <w:color w:val="auto"/>
                <w:lang w:val="en-US" w:eastAsia="zh-CN"/>
              </w:rPr>
              <w:t>00）装修施工，防止噪声影响到附近居民。针对施工期噪声影响，拟采取的污染防治措施如下：</w:t>
            </w:r>
          </w:p>
          <w:p w14:paraId="4080C3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（1）设备噪声：尽量采用低噪声设备；采用安装消音器和隔离发动机振动部件的方法降低噪声；挖掘机、施工车辆进岀场地应限速；加强机械设备、运输车辆的保养维修，使它们处于良好的工作状态。</w:t>
            </w:r>
          </w:p>
          <w:p w14:paraId="474B2D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（2）合理安排时间：避免强噪声设备同时施工、持续作业；夜间（22</w:t>
            </w:r>
            <w:r>
              <w:rPr>
                <w:rFonts w:hint="default" w:ascii="Times New Roman" w:hAnsi="Times New Roman" w:eastAsia="微软雅黑" w:cs="Times New Roman"/>
                <w:color w:val="auto"/>
                <w:lang w:val="en-US" w:eastAsia="zh-CN"/>
              </w:rPr>
              <w:t>∶</w:t>
            </w:r>
            <w:r>
              <w:rPr>
                <w:rFonts w:hint="default"/>
                <w:color w:val="auto"/>
                <w:lang w:val="en-US" w:eastAsia="zh-CN"/>
              </w:rPr>
              <w:t>00以后）禁止进行对居民生活环境产生噪声污染的施工作业，昼间使用高噪声设备应避开中午休息时间并公告附近居民。</w:t>
            </w:r>
          </w:p>
          <w:p w14:paraId="7441E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（3）合理布局施工场地：噪声大的设备尽量远离敏感区。</w:t>
            </w:r>
          </w:p>
          <w:p w14:paraId="787DDC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（4）降低人为噪声：操作机械设备时及模板、支架装卸过程中，尽量减少碰撞声音。</w:t>
            </w:r>
          </w:p>
          <w:p w14:paraId="0D2698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default"/>
                <w:color w:val="auto"/>
                <w:lang w:val="en-US" w:eastAsia="zh-CN"/>
              </w:rPr>
              <w:t>（5）减少交通噪声：进出车辆和经过敏感点的车辆限速、限鸣。</w:t>
            </w:r>
          </w:p>
          <w:p w14:paraId="42A43E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lang w:val="en-US" w:eastAsia="zh-CN"/>
              </w:rPr>
            </w:pPr>
            <w:r>
              <w:rPr>
                <w:rFonts w:hint="eastAsia"/>
                <w:color w:val="auto"/>
                <w:lang w:val="en-US" w:eastAsia="zh-CN"/>
              </w:rPr>
              <w:t>本项目</w:t>
            </w:r>
            <w:r>
              <w:rPr>
                <w:rFonts w:hint="default"/>
                <w:color w:val="auto"/>
                <w:lang w:val="en-US" w:eastAsia="zh-CN"/>
              </w:rPr>
              <w:t>施工期的声源都是短期、间歇性的，且项目施工期较短，在采取上述措施后，施工期的噪声对周边环境影响较小。</w:t>
            </w:r>
          </w:p>
          <w:p w14:paraId="3825A8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textAlignment w:val="auto"/>
              <w:rPr>
                <w:rFonts w:hint="default"/>
                <w:b/>
                <w:bCs/>
                <w:color w:val="auto"/>
                <w:lang w:val="en-US" w:eastAsia="zh-CN"/>
              </w:rPr>
            </w:pPr>
            <w:r>
              <w:rPr>
                <w:rFonts w:hint="default"/>
                <w:b/>
                <w:bCs/>
                <w:color w:val="auto"/>
                <w:lang w:val="en-US" w:eastAsia="zh-CN"/>
              </w:rPr>
              <w:t>4、固废环境污染防治措施</w:t>
            </w:r>
          </w:p>
          <w:p w14:paraId="3CD06F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sz w:val="24"/>
                <w:szCs w:val="24"/>
                <w:lang w:val="en-US" w:eastAsia="zh-CN"/>
              </w:rPr>
            </w:pPr>
            <w:r>
              <w:rPr>
                <w:rFonts w:hint="default"/>
                <w:color w:val="auto"/>
                <w:sz w:val="24"/>
                <w:szCs w:val="24"/>
                <w:lang w:val="en-US" w:eastAsia="zh-CN"/>
              </w:rPr>
              <w:t>本项目施工期固废主要为开挖的土石方、建筑垃圾和施工人员产生的生活垃圾。减轻项目施工期固体废物对环境影响的主要措施有：</w:t>
            </w:r>
          </w:p>
          <w:p w14:paraId="1442A1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sz w:val="24"/>
                <w:szCs w:val="24"/>
                <w:lang w:val="en-US" w:eastAsia="zh-CN"/>
              </w:rPr>
            </w:pPr>
            <w:r>
              <w:rPr>
                <w:rFonts w:hint="default"/>
                <w:color w:val="auto"/>
                <w:sz w:val="24"/>
                <w:szCs w:val="24"/>
                <w:lang w:val="en-US" w:eastAsia="zh-CN"/>
              </w:rPr>
              <w:t>（1）施工人员产生的生活垃圾集中收集后由环卫部门统一清运处理。</w:t>
            </w:r>
          </w:p>
          <w:p w14:paraId="448712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sz w:val="24"/>
                <w:szCs w:val="24"/>
                <w:lang w:val="en-US" w:eastAsia="zh-CN"/>
              </w:rPr>
            </w:pPr>
            <w:r>
              <w:rPr>
                <w:rFonts w:hint="default"/>
                <w:color w:val="auto"/>
                <w:sz w:val="24"/>
                <w:szCs w:val="24"/>
                <w:lang w:val="en-US" w:eastAsia="zh-CN"/>
              </w:rPr>
              <w:t>（2）项目土地平整过程中土石方挖方、填方量不大，做到项目场地内部土石方平衡，无弃土。</w:t>
            </w:r>
          </w:p>
          <w:p w14:paraId="65C24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sz w:val="24"/>
                <w:szCs w:val="24"/>
                <w:lang w:val="en-US" w:eastAsia="zh-CN"/>
              </w:rPr>
            </w:pPr>
            <w:r>
              <w:rPr>
                <w:rFonts w:hint="default"/>
                <w:color w:val="auto"/>
                <w:sz w:val="24"/>
                <w:szCs w:val="24"/>
                <w:lang w:val="en-US" w:eastAsia="zh-CN"/>
              </w:rPr>
              <w:t>（3）施工过程中产生的废弃建筑垃圾钢筋边角废料、废弃砖石等，属于一般工业固体废物，应首先采取废物利用的原则，集中收集后作为建筑材料使用，不能回收利用的应运往指定的弃渣场，按规定要求堆放，不得随意丢弃，定期清运。</w:t>
            </w:r>
          </w:p>
          <w:p w14:paraId="09DFCB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color w:val="auto"/>
                <w:sz w:val="24"/>
                <w:szCs w:val="24"/>
                <w:lang w:val="en-US" w:eastAsia="zh-CN"/>
              </w:rPr>
            </w:pPr>
            <w:r>
              <w:rPr>
                <w:rFonts w:hint="default"/>
                <w:color w:val="auto"/>
                <w:sz w:val="24"/>
                <w:szCs w:val="24"/>
                <w:lang w:val="en-US" w:eastAsia="zh-CN"/>
              </w:rPr>
              <w:t>（4）实施全封闭型施工，尽可能使施工期间的污染和影响控制在施工场地范围内，尽量减少对周围环境的影响。</w:t>
            </w:r>
          </w:p>
          <w:p w14:paraId="0585FF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lang w:val="en-US" w:eastAsia="zh-CN"/>
              </w:rPr>
            </w:pPr>
            <w:r>
              <w:rPr>
                <w:rFonts w:hint="default"/>
                <w:color w:val="auto"/>
                <w:sz w:val="24"/>
                <w:szCs w:val="24"/>
                <w:lang w:val="en-US" w:eastAsia="zh-CN"/>
              </w:rPr>
              <w:t>在采取上述措施后，本项目施工期固废均能得到妥善处理，对周边环境影响较小。</w:t>
            </w:r>
          </w:p>
        </w:tc>
      </w:tr>
      <w:tr w14:paraId="3F6CCF37">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90" w:hRule="atLeast"/>
          <w:jc w:val="center"/>
        </w:trPr>
        <w:tc>
          <w:tcPr>
            <w:tcW w:w="308" w:type="pct"/>
            <w:tcMar>
              <w:left w:w="28" w:type="dxa"/>
              <w:right w:w="28" w:type="dxa"/>
            </w:tcMar>
            <w:vAlign w:val="center"/>
          </w:tcPr>
          <w:p w14:paraId="2EED81E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4"/>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运营</w:t>
            </w:r>
          </w:p>
          <w:p w14:paraId="687123B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4"/>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期环</w:t>
            </w:r>
          </w:p>
          <w:p w14:paraId="09B2B6F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4"/>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境影</w:t>
            </w:r>
          </w:p>
          <w:p w14:paraId="5AAA404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4"/>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响和</w:t>
            </w:r>
          </w:p>
          <w:p w14:paraId="03B3A51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4"/>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保护</w:t>
            </w:r>
          </w:p>
          <w:p w14:paraId="5FA06EE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Cs w:val="21"/>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措施</w:t>
            </w:r>
          </w:p>
        </w:tc>
        <w:tc>
          <w:tcPr>
            <w:tcW w:w="4691" w:type="pct"/>
            <w:vAlign w:val="center"/>
          </w:tcPr>
          <w:p w14:paraId="2A78332D">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b/>
                <w:bCs/>
                <w:color w:val="000000" w:themeColor="text1"/>
                <w:sz w:val="24"/>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1、大气环境影响和保护措施分析</w:t>
            </w:r>
          </w:p>
          <w:p w14:paraId="0662649A">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color w:val="000000" w:themeColor="text1"/>
                <w:sz w:val="24"/>
                <w14:textFill>
                  <w14:solidFill>
                    <w14:schemeClr w14:val="tx1"/>
                  </w14:solidFill>
                </w14:textFill>
              </w:rPr>
            </w:pPr>
            <w:r>
              <w:rPr>
                <w:rFonts w:hint="default" w:ascii="Times New Roman" w:hAnsi="Times New Roman" w:eastAsia="宋体" w:cs="Times New Roman"/>
                <w:b/>
                <w:color w:val="000000" w:themeColor="text1"/>
                <w:sz w:val="24"/>
                <w14:textFill>
                  <w14:solidFill>
                    <w14:schemeClr w14:val="tx1"/>
                  </w14:solidFill>
                </w14:textFill>
              </w:rPr>
              <w:t>（1）废气污染源及源强分析</w:t>
            </w:r>
          </w:p>
          <w:p w14:paraId="4AE201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eastAsia"/>
                <w:b w:val="0"/>
                <w:bCs w:val="0"/>
                <w:highlight w:val="none"/>
                <w:lang w:val="en-US" w:eastAsia="zh-CN"/>
              </w:rPr>
            </w:pPr>
            <w:r>
              <w:rPr>
                <w:rFonts w:hint="eastAsia"/>
                <w:b w:val="0"/>
                <w:bCs w:val="0"/>
                <w:highlight w:val="none"/>
                <w:lang w:val="en-US" w:eastAsia="zh-CN"/>
              </w:rPr>
              <w:t>本项目废气主要为生物质锅炉燃烧废气、污水处理站恶臭、干黄花菜生产过程杀青及烘干挥发性有机物以及各生产车间异味。</w:t>
            </w:r>
          </w:p>
          <w:p w14:paraId="621DD0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right="0" w:firstLine="480" w:firstLineChars="200"/>
              <w:textAlignment w:val="auto"/>
              <w:rPr>
                <w:rFonts w:hint="default"/>
                <w:b w:val="0"/>
                <w:bCs w:val="0"/>
                <w:highlight w:val="none"/>
                <w:lang w:val="en-US" w:eastAsia="zh-CN"/>
              </w:rPr>
            </w:pPr>
            <w:r>
              <w:rPr>
                <w:rFonts w:hint="eastAsia" w:ascii="宋体" w:hAnsi="宋体" w:eastAsia="宋体" w:cs="宋体"/>
                <w:b w:val="0"/>
                <w:bCs w:val="0"/>
                <w:highlight w:val="none"/>
                <w:lang w:val="en-US" w:eastAsia="zh-CN"/>
              </w:rPr>
              <w:t>①</w:t>
            </w:r>
            <w:r>
              <w:rPr>
                <w:rFonts w:hint="eastAsia"/>
                <w:b w:val="0"/>
                <w:bCs w:val="0"/>
                <w:highlight w:val="none"/>
                <w:lang w:val="en-US" w:eastAsia="zh-CN"/>
              </w:rPr>
              <w:t>生物质锅炉燃料废气</w:t>
            </w:r>
          </w:p>
          <w:p w14:paraId="3C32D2AE">
            <w:pPr>
              <w:keepNext w:val="0"/>
              <w:keepLines w:val="0"/>
              <w:suppressLineNumbers w:val="0"/>
              <w:adjustRightInd w:val="0"/>
              <w:snapToGrid w:val="0"/>
              <w:spacing w:before="0" w:beforeAutospacing="0" w:after="0" w:afterAutospacing="0" w:line="360" w:lineRule="auto"/>
              <w:ind w:left="0" w:right="0" w:firstLine="440" w:firstLineChars="200"/>
              <w:rPr>
                <w:rFonts w:hint="eastAsia"/>
                <w:bCs/>
                <w:color w:val="auto"/>
                <w:spacing w:val="-10"/>
                <w:szCs w:val="21"/>
                <w:highlight w:val="none"/>
                <w:u w:val="none" w:color="auto"/>
                <w:lang w:eastAsia="zh-CN"/>
              </w:rPr>
            </w:pPr>
            <w:r>
              <w:rPr>
                <w:rFonts w:hint="eastAsia"/>
                <w:bCs/>
                <w:color w:val="000000" w:themeColor="text1"/>
                <w:spacing w:val="-10"/>
                <w:szCs w:val="21"/>
                <w:highlight w:val="none"/>
                <w:u w:val="none" w:color="auto"/>
                <w14:textFill>
                  <w14:solidFill>
                    <w14:schemeClr w14:val="tx1"/>
                  </w14:solidFill>
                </w14:textFill>
              </w:rPr>
              <w:t>本项目</w:t>
            </w:r>
            <w:r>
              <w:rPr>
                <w:rFonts w:hint="eastAsia"/>
                <w:bCs/>
                <w:color w:val="000000" w:themeColor="text1"/>
                <w:spacing w:val="-10"/>
                <w:szCs w:val="21"/>
                <w:highlight w:val="none"/>
                <w:u w:val="none" w:color="auto"/>
                <w:lang w:val="en-US" w:eastAsia="zh-CN"/>
                <w14:textFill>
                  <w14:solidFill>
                    <w14:schemeClr w14:val="tx1"/>
                  </w14:solidFill>
                </w14:textFill>
              </w:rPr>
              <w:t>设置1台3t/h</w:t>
            </w:r>
            <w:r>
              <w:rPr>
                <w:rFonts w:hint="eastAsia"/>
                <w:bCs/>
                <w:color w:val="000000" w:themeColor="text1"/>
                <w:spacing w:val="-10"/>
                <w:szCs w:val="21"/>
                <w:highlight w:val="none"/>
                <w:u w:val="none" w:color="auto"/>
                <w14:textFill>
                  <w14:solidFill>
                    <w14:schemeClr w14:val="tx1"/>
                  </w14:solidFill>
                </w14:textFill>
              </w:rPr>
              <w:t>生物质锅炉</w:t>
            </w:r>
            <w:r>
              <w:rPr>
                <w:rFonts w:hint="eastAsia"/>
                <w:bCs/>
                <w:color w:val="000000" w:themeColor="text1"/>
                <w:spacing w:val="-10"/>
                <w:szCs w:val="21"/>
                <w:highlight w:val="none"/>
                <w:u w:val="none" w:color="auto"/>
                <w:lang w:eastAsia="zh-CN"/>
                <w14:textFill>
                  <w14:solidFill>
                    <w14:schemeClr w14:val="tx1"/>
                  </w14:solidFill>
                </w14:textFill>
              </w:rPr>
              <w:t>，</w:t>
            </w:r>
            <w:r>
              <w:rPr>
                <w:rFonts w:hint="eastAsia"/>
                <w:bCs/>
                <w:color w:val="000000" w:themeColor="text1"/>
                <w:spacing w:val="-10"/>
                <w:szCs w:val="21"/>
                <w:highlight w:val="none"/>
                <w:u w:val="none" w:color="auto"/>
                <w14:textFill>
                  <w14:solidFill>
                    <w14:schemeClr w14:val="tx1"/>
                  </w14:solidFill>
                </w14:textFill>
              </w:rPr>
              <w:t>使用燃料为生物质</w:t>
            </w:r>
            <w:r>
              <w:rPr>
                <w:rFonts w:hint="eastAsia"/>
                <w:bCs/>
                <w:color w:val="000000" w:themeColor="text1"/>
                <w:spacing w:val="-10"/>
                <w:szCs w:val="21"/>
                <w:highlight w:val="none"/>
                <w:u w:val="none" w:color="auto"/>
                <w:lang w:val="en-US" w:eastAsia="zh-CN"/>
                <w14:textFill>
                  <w14:solidFill>
                    <w14:schemeClr w14:val="tx1"/>
                  </w14:solidFill>
                </w14:textFill>
              </w:rPr>
              <w:t>颗粒</w:t>
            </w:r>
            <w:r>
              <w:rPr>
                <w:rFonts w:hint="eastAsia"/>
                <w:bCs/>
                <w:color w:val="000000" w:themeColor="text1"/>
                <w:spacing w:val="-10"/>
                <w:szCs w:val="21"/>
                <w:highlight w:val="none"/>
                <w:u w:val="none" w:color="auto"/>
                <w14:textFill>
                  <w14:solidFill>
                    <w14:schemeClr w14:val="tx1"/>
                  </w14:solidFill>
                </w14:textFill>
              </w:rPr>
              <w:t>燃料</w:t>
            </w:r>
            <w:r>
              <w:rPr>
                <w:rFonts w:hint="eastAsia"/>
                <w:bCs/>
                <w:color w:val="000000" w:themeColor="text1"/>
                <w:szCs w:val="21"/>
                <w:highlight w:val="none"/>
                <w:u w:val="none" w:color="auto"/>
                <w:lang w:val="en-US" w:eastAsia="zh-CN"/>
                <w14:textFill>
                  <w14:solidFill>
                    <w14:schemeClr w14:val="tx1"/>
                  </w14:solidFill>
                </w14:textFill>
              </w:rPr>
              <w:t>，年运行40d、8h/d（320h/a）</w:t>
            </w:r>
            <w:r>
              <w:rPr>
                <w:rFonts w:hint="eastAsia"/>
                <w:bCs/>
                <w:color w:val="auto"/>
                <w:szCs w:val="21"/>
                <w:highlight w:val="none"/>
                <w:u w:val="none" w:color="auto"/>
                <w:lang w:val="en-US" w:eastAsia="zh-CN"/>
              </w:rPr>
              <w:t>，本项目生物质燃料消耗量约500kg/h，则锅炉生物质燃料年用量约160t/a，</w:t>
            </w:r>
            <w:r>
              <w:rPr>
                <w:rFonts w:hint="eastAsia"/>
                <w:bCs/>
                <w:color w:val="auto"/>
                <w:spacing w:val="-10"/>
                <w:szCs w:val="21"/>
                <w:highlight w:val="none"/>
                <w:u w:val="none" w:color="auto"/>
              </w:rPr>
              <w:t>根据</w:t>
            </w:r>
            <w:r>
              <w:rPr>
                <w:rFonts w:hint="eastAsia"/>
                <w:bCs/>
                <w:color w:val="auto"/>
                <w:spacing w:val="-10"/>
                <w:szCs w:val="21"/>
                <w:highlight w:val="none"/>
                <w:u w:val="none" w:color="auto"/>
                <w:lang w:val="en-US" w:eastAsia="zh-CN"/>
              </w:rPr>
              <w:t>建设单位提供的生物质颗粒检测报告</w:t>
            </w:r>
            <w:r>
              <w:rPr>
                <w:rFonts w:hint="eastAsia"/>
                <w:bCs/>
                <w:color w:val="auto"/>
                <w:spacing w:val="-10"/>
                <w:szCs w:val="21"/>
                <w:highlight w:val="none"/>
                <w:u w:val="none" w:color="auto"/>
              </w:rPr>
              <w:t>，</w:t>
            </w:r>
            <w:r>
              <w:rPr>
                <w:rFonts w:hint="eastAsia"/>
                <w:bCs/>
                <w:color w:val="auto"/>
                <w:spacing w:val="-10"/>
                <w:szCs w:val="21"/>
                <w:highlight w:val="none"/>
                <w:u w:val="none" w:color="auto"/>
                <w:lang w:val="en-US" w:eastAsia="zh-CN"/>
              </w:rPr>
              <w:t>项目所使用的</w:t>
            </w:r>
            <w:r>
              <w:rPr>
                <w:rFonts w:hint="eastAsia"/>
                <w:bCs/>
                <w:color w:val="auto"/>
                <w:spacing w:val="-10"/>
                <w:szCs w:val="21"/>
                <w:highlight w:val="none"/>
                <w:u w:val="none" w:color="auto"/>
              </w:rPr>
              <w:t>生物质燃料含硫量 0.0</w:t>
            </w:r>
            <w:r>
              <w:rPr>
                <w:rFonts w:hint="eastAsia"/>
                <w:bCs/>
                <w:color w:val="auto"/>
                <w:spacing w:val="-10"/>
                <w:szCs w:val="21"/>
                <w:highlight w:val="none"/>
                <w:u w:val="none" w:color="auto"/>
                <w:lang w:val="en-US" w:eastAsia="zh-CN"/>
              </w:rPr>
              <w:t>45</w:t>
            </w:r>
            <w:r>
              <w:rPr>
                <w:rFonts w:hint="eastAsia"/>
                <w:bCs/>
                <w:color w:val="auto"/>
                <w:spacing w:val="-10"/>
                <w:szCs w:val="21"/>
                <w:highlight w:val="none"/>
                <w:u w:val="none" w:color="auto"/>
              </w:rPr>
              <w:t>%</w:t>
            </w:r>
            <w:r>
              <w:rPr>
                <w:rFonts w:hint="eastAsia"/>
                <w:bCs/>
                <w:color w:val="auto"/>
                <w:spacing w:val="-10"/>
                <w:szCs w:val="21"/>
                <w:highlight w:val="none"/>
                <w:u w:val="none" w:color="auto"/>
                <w:lang w:eastAsia="zh-CN"/>
              </w:rPr>
              <w:t>。</w:t>
            </w:r>
          </w:p>
          <w:p w14:paraId="444BC43C">
            <w:pPr>
              <w:keepNext w:val="0"/>
              <w:keepLines w:val="0"/>
              <w:suppressLineNumbers w:val="0"/>
              <w:adjustRightInd w:val="0"/>
              <w:snapToGrid w:val="0"/>
              <w:spacing w:before="0" w:beforeAutospacing="0" w:after="0" w:afterAutospacing="0" w:line="360" w:lineRule="auto"/>
              <w:ind w:left="0" w:right="0" w:firstLine="480" w:firstLineChars="200"/>
              <w:rPr>
                <w:rFonts w:hint="eastAsia" w:ascii="Times New Roman" w:hAnsi="Times New Roman" w:eastAsia="宋体" w:cs="Times New Roman"/>
                <w:color w:val="FF0000"/>
                <w:sz w:val="24"/>
                <w:szCs w:val="24"/>
                <w:highlight w:val="none"/>
                <w:u w:val="none" w:color="auto"/>
                <w:lang w:eastAsia="zh-CN"/>
              </w:rPr>
            </w:pPr>
            <w:r>
              <w:rPr>
                <w:rFonts w:hint="default"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参照《排放源统计调查产排污核算方法和系数手册》（生态环境部，公告2021年第24号）4430工业锅炉（热力供应）行业系数手册中“4430工业锅炉（热力生产和供应行业）产污系数表-</w:t>
            </w:r>
            <w:r>
              <w:rPr>
                <w:rFonts w:hint="eastAsia"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生物质</w:t>
            </w:r>
            <w:r>
              <w:rPr>
                <w:rFonts w:hint="default"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工业</w:t>
            </w:r>
            <w:r>
              <w:rPr>
                <w:rFonts w:hint="default" w:ascii="Times New Roman" w:hAnsi="Times New Roman" w:eastAsia="宋体" w:cs="Times New Roman"/>
                <w:b w:val="0"/>
                <w:bCs w:val="0"/>
                <w:color w:val="auto"/>
                <w:spacing w:val="0"/>
                <w:position w:val="0"/>
                <w:sz w:val="24"/>
                <w:szCs w:val="24"/>
                <w:highlight w:val="none"/>
                <w:u w:val="none" w:color="auto"/>
                <w:lang w:val="en-US" w:eastAsia="zh-CN"/>
              </w:rPr>
              <w:t>锅炉”，二氧化硫</w:t>
            </w:r>
            <w:r>
              <w:rPr>
                <w:rFonts w:hint="eastAsia" w:cs="Times New Roman"/>
                <w:b w:val="0"/>
                <w:bCs w:val="0"/>
                <w:color w:val="auto"/>
                <w:spacing w:val="0"/>
                <w:position w:val="0"/>
                <w:sz w:val="24"/>
                <w:szCs w:val="24"/>
                <w:highlight w:val="none"/>
                <w:u w:val="none" w:color="auto"/>
                <w:lang w:val="en-US" w:eastAsia="zh-CN"/>
              </w:rPr>
              <w:t>17</w:t>
            </w:r>
            <w:r>
              <w:rPr>
                <w:rFonts w:hint="default" w:ascii="Times New Roman" w:hAnsi="Times New Roman" w:eastAsia="宋体" w:cs="Times New Roman"/>
                <w:b w:val="0"/>
                <w:bCs w:val="0"/>
                <w:color w:val="auto"/>
                <w:spacing w:val="0"/>
                <w:position w:val="0"/>
                <w:sz w:val="24"/>
                <w:szCs w:val="24"/>
                <w:highlight w:val="none"/>
                <w:u w:val="none" w:color="auto"/>
                <w:lang w:val="en-US" w:eastAsia="zh-CN"/>
              </w:rPr>
              <w:t>S</w:t>
            </w:r>
            <w:r>
              <w:rPr>
                <w:rFonts w:hint="default" w:ascii="Times New Roman" w:hAnsi="Times New Roman" w:eastAsia="宋体" w:cs="Times New Roman"/>
                <w:b w:val="0"/>
                <w:bCs w:val="0"/>
                <w:color w:val="auto"/>
                <w:spacing w:val="0"/>
                <w:position w:val="0"/>
                <w:sz w:val="24"/>
                <w:szCs w:val="24"/>
                <w:highlight w:val="none"/>
                <w:u w:val="none" w:color="auto"/>
                <w:vertAlign w:val="baseline"/>
                <w:lang w:val="en-US" w:eastAsia="zh-CN"/>
              </w:rPr>
              <w:t>kg</w:t>
            </w:r>
            <w:r>
              <w:rPr>
                <w:rFonts w:hint="default" w:ascii="Times New Roman" w:hAnsi="Times New Roman" w:eastAsia="宋体" w:cs="Times New Roman"/>
                <w:b w:val="0"/>
                <w:bCs w:val="0"/>
                <w:color w:val="auto"/>
                <w:spacing w:val="0"/>
                <w:position w:val="0"/>
                <w:sz w:val="24"/>
                <w:szCs w:val="24"/>
                <w:highlight w:val="none"/>
                <w:u w:val="none" w:color="auto"/>
                <w:lang w:val="en-US" w:eastAsia="zh-CN"/>
              </w:rPr>
              <w:t>/</w:t>
            </w:r>
            <w:r>
              <w:rPr>
                <w:rFonts w:hint="eastAsia" w:cs="Times New Roman"/>
                <w:b w:val="0"/>
                <w:bCs w:val="0"/>
                <w:color w:val="auto"/>
                <w:spacing w:val="0"/>
                <w:position w:val="0"/>
                <w:sz w:val="24"/>
                <w:szCs w:val="24"/>
                <w:highlight w:val="none"/>
                <w:u w:val="none" w:color="auto"/>
                <w:lang w:val="en-US" w:eastAsia="zh-CN"/>
              </w:rPr>
              <w:t>吨</w:t>
            </w:r>
            <w:r>
              <w:rPr>
                <w:rFonts w:hint="default" w:ascii="Times New Roman" w:hAnsi="Times New Roman" w:eastAsia="宋体" w:cs="Times New Roman"/>
                <w:b w:val="0"/>
                <w:bCs w:val="0"/>
                <w:color w:val="auto"/>
                <w:spacing w:val="0"/>
                <w:position w:val="0"/>
                <w:sz w:val="24"/>
                <w:szCs w:val="24"/>
                <w:highlight w:val="none"/>
                <w:u w:val="none" w:color="auto"/>
                <w:lang w:val="en-US" w:eastAsia="zh-CN"/>
              </w:rPr>
              <w:t>-原料</w:t>
            </w:r>
            <w:r>
              <w:rPr>
                <w:rFonts w:hint="eastAsia" w:cs="Times New Roman"/>
                <w:b w:val="0"/>
                <w:bCs w:val="0"/>
                <w:color w:val="auto"/>
                <w:spacing w:val="0"/>
                <w:position w:val="0"/>
                <w:sz w:val="24"/>
                <w:szCs w:val="24"/>
                <w:highlight w:val="none"/>
                <w:u w:val="none" w:color="auto"/>
                <w:lang w:val="en-US" w:eastAsia="zh-CN"/>
              </w:rPr>
              <w:t>（生物质燃料含硫率为0.045%，则17S=0.765）</w:t>
            </w:r>
            <w:r>
              <w:rPr>
                <w:rFonts w:hint="default" w:ascii="Times New Roman" w:hAnsi="Times New Roman" w:eastAsia="宋体" w:cs="Times New Roman"/>
                <w:b w:val="0"/>
                <w:bCs w:val="0"/>
                <w:color w:val="auto"/>
                <w:spacing w:val="0"/>
                <w:position w:val="0"/>
                <w:sz w:val="24"/>
                <w:szCs w:val="24"/>
                <w:highlight w:val="none"/>
                <w:u w:val="none" w:color="auto"/>
                <w:lang w:val="en-US" w:eastAsia="zh-CN"/>
              </w:rPr>
              <w:t>，氮</w:t>
            </w:r>
            <w:r>
              <w:rPr>
                <w:rFonts w:hint="default"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氧化物</w:t>
            </w:r>
            <w:r>
              <w:rPr>
                <w:rFonts w:hint="eastAsia"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1.02</w:t>
            </w:r>
            <w:r>
              <w:rPr>
                <w:rFonts w:hint="default"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kg/</w:t>
            </w:r>
            <w:r>
              <w:rPr>
                <w:rFonts w:hint="eastAsia"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吨-</w:t>
            </w:r>
            <w:r>
              <w:rPr>
                <w:rFonts w:hint="default"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原料</w:t>
            </w:r>
            <w:r>
              <w:rPr>
                <w:rFonts w:hint="eastAsia"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、颗粒物0.5</w:t>
            </w:r>
            <w:r>
              <w:rPr>
                <w:rFonts w:hint="eastAsia"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kg/</w:t>
            </w:r>
            <w:r>
              <w:rPr>
                <w:rFonts w:hint="eastAsia"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吨-</w:t>
            </w:r>
            <w:r>
              <w:rPr>
                <w:rFonts w:hint="default"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原料，废气量</w:t>
            </w:r>
            <w:r>
              <w:rPr>
                <w:rFonts w:hint="eastAsia"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6240</w:t>
            </w:r>
            <w:r>
              <w:rPr>
                <w:rFonts w:hint="default"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Nm</w:t>
            </w:r>
            <w:r>
              <w:rPr>
                <w:rFonts w:hint="default" w:ascii="Times New Roman" w:hAnsi="Times New Roman" w:eastAsia="宋体" w:cs="Times New Roman"/>
                <w:b w:val="0"/>
                <w:bCs w:val="0"/>
                <w:color w:val="000000" w:themeColor="text1"/>
                <w:spacing w:val="0"/>
                <w:position w:val="0"/>
                <w:sz w:val="24"/>
                <w:szCs w:val="24"/>
                <w:highlight w:val="none"/>
                <w:u w:val="none" w:color="auto"/>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w:t>
            </w:r>
            <w:r>
              <w:rPr>
                <w:rFonts w:hint="eastAsia"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吨-</w:t>
            </w:r>
            <w:r>
              <w:rPr>
                <w:rFonts w:hint="default"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原料</w:t>
            </w:r>
            <w:r>
              <w:rPr>
                <w:rFonts w:hint="eastAsia" w:ascii="Times New Roman" w:hAnsi="Times New Roman" w:eastAsia="宋体" w:cs="Times New Roman"/>
                <w:b w:val="0"/>
                <w:bCs w:val="0"/>
                <w:color w:val="000000" w:themeColor="text1"/>
                <w:spacing w:val="0"/>
                <w:position w:val="0"/>
                <w:sz w:val="24"/>
                <w:szCs w:val="24"/>
                <w:highlight w:val="none"/>
                <w:u w:val="none" w:color="auto"/>
                <w:lang w:val="en-US" w:eastAsia="zh-CN"/>
                <w14:textFill>
                  <w14:solidFill>
                    <w14:schemeClr w14:val="tx1"/>
                  </w14:solidFill>
                </w14:textFill>
              </w:rPr>
              <w:t>。</w:t>
            </w:r>
          </w:p>
          <w:p w14:paraId="459B096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b/>
                <w:bCs w:val="0"/>
                <w:color w:val="000000" w:themeColor="text1"/>
                <w:spacing w:val="-10"/>
                <w:sz w:val="21"/>
                <w:szCs w:val="21"/>
                <w:highlight w:val="none"/>
                <w:u w:val="none" w:color="auto"/>
                <w14:textFill>
                  <w14:solidFill>
                    <w14:schemeClr w14:val="tx1"/>
                  </w14:solidFill>
                </w14:textFill>
              </w:rPr>
            </w:pPr>
            <w:r>
              <w:rPr>
                <w:rFonts w:hint="default"/>
                <w:b/>
                <w:bCs w:val="0"/>
                <w:color w:val="000000" w:themeColor="text1"/>
                <w:spacing w:val="-10"/>
                <w:sz w:val="21"/>
                <w:szCs w:val="21"/>
                <w:highlight w:val="none"/>
                <w:u w:val="none" w:color="auto"/>
                <w14:textFill>
                  <w14:solidFill>
                    <w14:schemeClr w14:val="tx1"/>
                  </w14:solidFill>
                </w14:textFill>
              </w:rPr>
              <w:t xml:space="preserve">表4-1 </w:t>
            </w:r>
            <w:r>
              <w:rPr>
                <w:rFonts w:hint="eastAsia"/>
                <w:b/>
                <w:bCs w:val="0"/>
                <w:color w:val="000000" w:themeColor="text1"/>
                <w:spacing w:val="-10"/>
                <w:sz w:val="21"/>
                <w:szCs w:val="21"/>
                <w:highlight w:val="none"/>
                <w:u w:val="none" w:color="auto"/>
                <w:lang w:val="en-US" w:eastAsia="zh-CN"/>
                <w14:textFill>
                  <w14:solidFill>
                    <w14:schemeClr w14:val="tx1"/>
                  </w14:solidFill>
                </w14:textFill>
              </w:rPr>
              <w:t xml:space="preserve"> 锅炉烟气产生排放</w:t>
            </w:r>
            <w:r>
              <w:rPr>
                <w:rFonts w:hint="default"/>
                <w:b/>
                <w:bCs w:val="0"/>
                <w:color w:val="000000" w:themeColor="text1"/>
                <w:spacing w:val="-10"/>
                <w:sz w:val="21"/>
                <w:szCs w:val="21"/>
                <w:highlight w:val="none"/>
                <w:u w:val="none" w:color="auto"/>
                <w14:textFill>
                  <w14:solidFill>
                    <w14:schemeClr w14:val="tx1"/>
                  </w14:solidFill>
                </w14:textFill>
              </w:rPr>
              <w:t>情况一览表</w:t>
            </w:r>
          </w:p>
          <w:tbl>
            <w:tblPr>
              <w:tblStyle w:val="2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4"/>
              <w:gridCol w:w="1752"/>
              <w:gridCol w:w="1426"/>
              <w:gridCol w:w="1790"/>
              <w:gridCol w:w="1352"/>
            </w:tblGrid>
            <w:tr w14:paraId="33EE5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5D8A780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项目</w:t>
                  </w:r>
                </w:p>
              </w:tc>
              <w:tc>
                <w:tcPr>
                  <w:tcW w:w="1030" w:type="pct"/>
                  <w:noWrap w:val="0"/>
                  <w:vAlign w:val="center"/>
                </w:tcPr>
                <w:p w14:paraId="2EC6B7B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烟气量</w:t>
                  </w:r>
                </w:p>
              </w:tc>
              <w:tc>
                <w:tcPr>
                  <w:tcW w:w="838" w:type="pct"/>
                  <w:noWrap w:val="0"/>
                  <w:vAlign w:val="center"/>
                </w:tcPr>
                <w:p w14:paraId="01AD835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颗粒物</w:t>
                  </w:r>
                </w:p>
              </w:tc>
              <w:tc>
                <w:tcPr>
                  <w:tcW w:w="1052" w:type="pct"/>
                  <w:noWrap w:val="0"/>
                  <w:vAlign w:val="center"/>
                </w:tcPr>
                <w:p w14:paraId="4DF7335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NOx</w:t>
                  </w:r>
                </w:p>
              </w:tc>
              <w:tc>
                <w:tcPr>
                  <w:tcW w:w="793" w:type="pct"/>
                  <w:noWrap w:val="0"/>
                  <w:vAlign w:val="center"/>
                </w:tcPr>
                <w:p w14:paraId="5791828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SO</w:t>
                  </w:r>
                  <w:r>
                    <w:rPr>
                      <w:rFonts w:hint="eastAsia" w:ascii="Times New Roman" w:hAnsi="Times New Roman" w:eastAsia="宋体" w:cs="Times New Roman"/>
                      <w:bCs/>
                      <w:color w:val="auto"/>
                      <w:spacing w:val="-10"/>
                      <w:sz w:val="21"/>
                      <w:szCs w:val="21"/>
                      <w:highlight w:val="none"/>
                      <w:u w:val="none" w:color="auto"/>
                      <w:vertAlign w:val="subscript"/>
                      <w:lang w:val="en-US" w:eastAsia="zh-CN"/>
                    </w:rPr>
                    <w:t>2</w:t>
                  </w:r>
                </w:p>
              </w:tc>
            </w:tr>
            <w:tr w14:paraId="5D2CD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3F51585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生物质燃烧产污系数（kg/t-原料）</w:t>
                  </w:r>
                </w:p>
              </w:tc>
              <w:tc>
                <w:tcPr>
                  <w:tcW w:w="1030" w:type="pct"/>
                  <w:noWrap w:val="0"/>
                  <w:vAlign w:val="center"/>
                </w:tcPr>
                <w:p w14:paraId="0D40BBC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6240m³/t-原料</w:t>
                  </w:r>
                </w:p>
              </w:tc>
              <w:tc>
                <w:tcPr>
                  <w:tcW w:w="838" w:type="pct"/>
                  <w:noWrap w:val="0"/>
                  <w:vAlign w:val="center"/>
                </w:tcPr>
                <w:p w14:paraId="4DFEFF5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0.5</w:t>
                  </w:r>
                </w:p>
              </w:tc>
              <w:tc>
                <w:tcPr>
                  <w:tcW w:w="1052" w:type="pct"/>
                  <w:noWrap w:val="0"/>
                  <w:vAlign w:val="center"/>
                </w:tcPr>
                <w:p w14:paraId="3AC49D5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1.02</w:t>
                  </w:r>
                </w:p>
              </w:tc>
              <w:tc>
                <w:tcPr>
                  <w:tcW w:w="793" w:type="pct"/>
                  <w:noWrap w:val="0"/>
                  <w:vAlign w:val="center"/>
                </w:tcPr>
                <w:p w14:paraId="4D2ED96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17S=0.</w:t>
                  </w:r>
                  <w:r>
                    <w:rPr>
                      <w:rFonts w:hint="eastAsia" w:cs="Times New Roman"/>
                      <w:bCs/>
                      <w:color w:val="auto"/>
                      <w:spacing w:val="-10"/>
                      <w:sz w:val="21"/>
                      <w:szCs w:val="21"/>
                      <w:highlight w:val="none"/>
                      <w:u w:val="none" w:color="auto"/>
                      <w:lang w:val="en-US" w:eastAsia="zh-CN"/>
                    </w:rPr>
                    <w:t>765</w:t>
                  </w:r>
                </w:p>
              </w:tc>
            </w:tr>
            <w:tr w14:paraId="075D8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31C7A78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生物质用量</w:t>
                  </w:r>
                </w:p>
              </w:tc>
              <w:tc>
                <w:tcPr>
                  <w:tcW w:w="3715" w:type="pct"/>
                  <w:gridSpan w:val="4"/>
                  <w:noWrap w:val="0"/>
                  <w:vAlign w:val="center"/>
                </w:tcPr>
                <w:p w14:paraId="47F21D2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eastAsia"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160</w:t>
                  </w:r>
                  <w:r>
                    <w:rPr>
                      <w:rFonts w:hint="eastAsia" w:ascii="Times New Roman" w:hAnsi="Times New Roman" w:eastAsia="宋体" w:cs="Times New Roman"/>
                      <w:bCs/>
                      <w:color w:val="auto"/>
                      <w:spacing w:val="-10"/>
                      <w:sz w:val="21"/>
                      <w:szCs w:val="21"/>
                      <w:highlight w:val="none"/>
                      <w:u w:val="none" w:color="auto"/>
                      <w:lang w:val="en-US" w:eastAsia="zh-CN"/>
                    </w:rPr>
                    <w:t>t/a</w:t>
                  </w:r>
                </w:p>
              </w:tc>
            </w:tr>
            <w:tr w14:paraId="54F73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3086EF1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产生量（t/a）</w:t>
                  </w:r>
                </w:p>
              </w:tc>
              <w:tc>
                <w:tcPr>
                  <w:tcW w:w="1030" w:type="pct"/>
                  <w:noWrap w:val="0"/>
                  <w:vAlign w:val="center"/>
                </w:tcPr>
                <w:p w14:paraId="2CD6F73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998400</w:t>
                  </w:r>
                  <w:r>
                    <w:rPr>
                      <w:rFonts w:hint="eastAsia" w:ascii="Times New Roman" w:hAnsi="Times New Roman" w:eastAsia="宋体" w:cs="Times New Roman"/>
                      <w:bCs/>
                      <w:color w:val="auto"/>
                      <w:spacing w:val="-10"/>
                      <w:sz w:val="21"/>
                      <w:szCs w:val="21"/>
                      <w:highlight w:val="none"/>
                      <w:u w:val="none" w:color="auto"/>
                      <w:lang w:val="en-US" w:eastAsia="zh-CN"/>
                    </w:rPr>
                    <w:t>m</w:t>
                  </w:r>
                  <w:r>
                    <w:rPr>
                      <w:rFonts w:hint="eastAsia" w:ascii="Times New Roman" w:hAnsi="Times New Roman" w:eastAsia="宋体" w:cs="Times New Roman"/>
                      <w:bCs/>
                      <w:color w:val="auto"/>
                      <w:spacing w:val="-10"/>
                      <w:sz w:val="21"/>
                      <w:szCs w:val="21"/>
                      <w:highlight w:val="none"/>
                      <w:u w:val="none" w:color="auto"/>
                      <w:vertAlign w:val="superscript"/>
                      <w:lang w:val="en-US" w:eastAsia="zh-CN"/>
                    </w:rPr>
                    <w:t>3</w:t>
                  </w:r>
                  <w:r>
                    <w:rPr>
                      <w:rFonts w:hint="eastAsia" w:ascii="Times New Roman" w:hAnsi="Times New Roman" w:eastAsia="宋体" w:cs="Times New Roman"/>
                      <w:bCs/>
                      <w:color w:val="auto"/>
                      <w:spacing w:val="-10"/>
                      <w:sz w:val="21"/>
                      <w:szCs w:val="21"/>
                      <w:highlight w:val="none"/>
                      <w:u w:val="none" w:color="auto"/>
                      <w:lang w:val="en-US" w:eastAsia="zh-CN"/>
                    </w:rPr>
                    <w:t>/a</w:t>
                  </w:r>
                </w:p>
              </w:tc>
              <w:tc>
                <w:tcPr>
                  <w:tcW w:w="838" w:type="pct"/>
                  <w:noWrap w:val="0"/>
                  <w:vAlign w:val="center"/>
                </w:tcPr>
                <w:p w14:paraId="0032097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0.08</w:t>
                  </w:r>
                </w:p>
              </w:tc>
              <w:tc>
                <w:tcPr>
                  <w:tcW w:w="1052" w:type="pct"/>
                  <w:noWrap w:val="0"/>
                  <w:vAlign w:val="center"/>
                </w:tcPr>
                <w:p w14:paraId="3B7BE3F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0.163</w:t>
                  </w:r>
                </w:p>
              </w:tc>
              <w:tc>
                <w:tcPr>
                  <w:tcW w:w="793" w:type="pct"/>
                  <w:noWrap w:val="0"/>
                  <w:vAlign w:val="center"/>
                </w:tcPr>
                <w:p w14:paraId="12B8695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0.122</w:t>
                  </w:r>
                </w:p>
              </w:tc>
            </w:tr>
            <w:tr w14:paraId="6ADE1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7E8048C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产生浓度（mg/m</w:t>
                  </w:r>
                  <w:r>
                    <w:rPr>
                      <w:rFonts w:hint="eastAsia" w:cs="Times New Roman"/>
                      <w:bCs/>
                      <w:color w:val="auto"/>
                      <w:spacing w:val="-10"/>
                      <w:sz w:val="21"/>
                      <w:szCs w:val="21"/>
                      <w:highlight w:val="none"/>
                      <w:u w:val="none" w:color="auto"/>
                      <w:vertAlign w:val="superscript"/>
                      <w:lang w:val="en-US" w:eastAsia="zh-CN"/>
                    </w:rPr>
                    <w:t>3</w:t>
                  </w:r>
                  <w:r>
                    <w:rPr>
                      <w:rFonts w:hint="eastAsia" w:cs="Times New Roman"/>
                      <w:bCs/>
                      <w:color w:val="auto"/>
                      <w:spacing w:val="-10"/>
                      <w:sz w:val="21"/>
                      <w:szCs w:val="21"/>
                      <w:highlight w:val="none"/>
                      <w:u w:val="none" w:color="auto"/>
                      <w:lang w:val="en-US" w:eastAsia="zh-CN"/>
                    </w:rPr>
                    <w:t>）</w:t>
                  </w:r>
                </w:p>
              </w:tc>
              <w:tc>
                <w:tcPr>
                  <w:tcW w:w="1030" w:type="pct"/>
                  <w:noWrap w:val="0"/>
                  <w:vAlign w:val="center"/>
                </w:tcPr>
                <w:p w14:paraId="7053642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3120m</w:t>
                  </w:r>
                  <w:r>
                    <w:rPr>
                      <w:rFonts w:hint="eastAsia" w:cs="Times New Roman"/>
                      <w:bCs/>
                      <w:color w:val="auto"/>
                      <w:spacing w:val="-10"/>
                      <w:sz w:val="21"/>
                      <w:szCs w:val="21"/>
                      <w:highlight w:val="none"/>
                      <w:u w:val="none" w:color="auto"/>
                      <w:vertAlign w:val="superscript"/>
                      <w:lang w:val="en-US" w:eastAsia="zh-CN"/>
                    </w:rPr>
                    <w:t>3</w:t>
                  </w:r>
                  <w:r>
                    <w:rPr>
                      <w:rFonts w:hint="eastAsia" w:cs="Times New Roman"/>
                      <w:bCs/>
                      <w:color w:val="auto"/>
                      <w:spacing w:val="-10"/>
                      <w:sz w:val="21"/>
                      <w:szCs w:val="21"/>
                      <w:highlight w:val="none"/>
                      <w:u w:val="none" w:color="auto"/>
                      <w:lang w:val="en-US" w:eastAsia="zh-CN"/>
                    </w:rPr>
                    <w:t>/h（废气量）</w:t>
                  </w:r>
                </w:p>
              </w:tc>
              <w:tc>
                <w:tcPr>
                  <w:tcW w:w="838" w:type="pct"/>
                  <w:noWrap w:val="0"/>
                  <w:vAlign w:val="center"/>
                </w:tcPr>
                <w:p w14:paraId="33E3946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80.13</w:t>
                  </w:r>
                </w:p>
              </w:tc>
              <w:tc>
                <w:tcPr>
                  <w:tcW w:w="1052" w:type="pct"/>
                  <w:noWrap w:val="0"/>
                  <w:vAlign w:val="center"/>
                </w:tcPr>
                <w:p w14:paraId="1D5DB0F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163.46</w:t>
                  </w:r>
                </w:p>
              </w:tc>
              <w:tc>
                <w:tcPr>
                  <w:tcW w:w="793" w:type="pct"/>
                  <w:noWrap w:val="0"/>
                  <w:vAlign w:val="center"/>
                </w:tcPr>
                <w:p w14:paraId="492D5FD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122.6</w:t>
                  </w:r>
                </w:p>
              </w:tc>
            </w:tr>
            <w:tr w14:paraId="71B66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02E53DF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处理措施</w:t>
                  </w:r>
                </w:p>
              </w:tc>
              <w:tc>
                <w:tcPr>
                  <w:tcW w:w="3715" w:type="pct"/>
                  <w:gridSpan w:val="4"/>
                  <w:noWrap w:val="0"/>
                  <w:vAlign w:val="center"/>
                </w:tcPr>
                <w:p w14:paraId="1D03BE7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旋风+布袋除尘</w:t>
                  </w:r>
                </w:p>
              </w:tc>
            </w:tr>
            <w:tr w14:paraId="49E49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29C8F11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处理效率（%）</w:t>
                  </w:r>
                </w:p>
              </w:tc>
              <w:tc>
                <w:tcPr>
                  <w:tcW w:w="1030" w:type="pct"/>
                  <w:noWrap w:val="0"/>
                  <w:vAlign w:val="center"/>
                </w:tcPr>
                <w:p w14:paraId="038EF57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w:t>
                  </w:r>
                </w:p>
              </w:tc>
              <w:tc>
                <w:tcPr>
                  <w:tcW w:w="838" w:type="pct"/>
                  <w:noWrap w:val="0"/>
                  <w:vAlign w:val="center"/>
                </w:tcPr>
                <w:p w14:paraId="404812F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80</w:t>
                  </w:r>
                  <w:r>
                    <w:rPr>
                      <w:rFonts w:hint="eastAsia" w:ascii="Times New Roman" w:hAnsi="Times New Roman" w:eastAsia="宋体" w:cs="Times New Roman"/>
                      <w:bCs/>
                      <w:color w:val="auto"/>
                      <w:spacing w:val="-10"/>
                      <w:sz w:val="21"/>
                      <w:szCs w:val="21"/>
                      <w:highlight w:val="none"/>
                      <w:u w:val="none" w:color="auto"/>
                      <w:lang w:val="en-US" w:eastAsia="zh-CN"/>
                    </w:rPr>
                    <w:t>%</w:t>
                  </w:r>
                </w:p>
              </w:tc>
              <w:tc>
                <w:tcPr>
                  <w:tcW w:w="1052" w:type="pct"/>
                  <w:noWrap w:val="0"/>
                  <w:vAlign w:val="center"/>
                </w:tcPr>
                <w:p w14:paraId="726DB99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0</w:t>
                  </w:r>
                </w:p>
              </w:tc>
              <w:tc>
                <w:tcPr>
                  <w:tcW w:w="793" w:type="pct"/>
                  <w:noWrap w:val="0"/>
                  <w:vAlign w:val="center"/>
                </w:tcPr>
                <w:p w14:paraId="06F909E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0</w:t>
                  </w:r>
                </w:p>
              </w:tc>
            </w:tr>
            <w:tr w14:paraId="4D18A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6364E24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处理量（t/a）</w:t>
                  </w:r>
                </w:p>
              </w:tc>
              <w:tc>
                <w:tcPr>
                  <w:tcW w:w="1030" w:type="pct"/>
                  <w:noWrap w:val="0"/>
                  <w:vAlign w:val="center"/>
                </w:tcPr>
                <w:p w14:paraId="1093560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w:t>
                  </w:r>
                </w:p>
              </w:tc>
              <w:tc>
                <w:tcPr>
                  <w:tcW w:w="838" w:type="pct"/>
                  <w:noWrap w:val="0"/>
                  <w:vAlign w:val="center"/>
                </w:tcPr>
                <w:p w14:paraId="6153FDE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0.064</w:t>
                  </w:r>
                </w:p>
              </w:tc>
              <w:tc>
                <w:tcPr>
                  <w:tcW w:w="1726" w:type="dxa"/>
                  <w:noWrap w:val="0"/>
                  <w:vAlign w:val="center"/>
                </w:tcPr>
                <w:p w14:paraId="233A547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w:t>
                  </w:r>
                </w:p>
              </w:tc>
              <w:tc>
                <w:tcPr>
                  <w:tcW w:w="1302" w:type="dxa"/>
                  <w:noWrap w:val="0"/>
                  <w:vAlign w:val="center"/>
                </w:tcPr>
                <w:p w14:paraId="0A4B0DB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w:t>
                  </w:r>
                </w:p>
              </w:tc>
            </w:tr>
            <w:tr w14:paraId="580BA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7C5E855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排放量（t/a）</w:t>
                  </w:r>
                </w:p>
              </w:tc>
              <w:tc>
                <w:tcPr>
                  <w:tcW w:w="1030" w:type="pct"/>
                  <w:noWrap w:val="0"/>
                  <w:vAlign w:val="center"/>
                </w:tcPr>
                <w:p w14:paraId="50FB02A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w:t>
                  </w:r>
                </w:p>
              </w:tc>
              <w:tc>
                <w:tcPr>
                  <w:tcW w:w="838" w:type="pct"/>
                  <w:noWrap w:val="0"/>
                  <w:vAlign w:val="center"/>
                </w:tcPr>
                <w:p w14:paraId="18EB95A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0.016</w:t>
                  </w:r>
                </w:p>
              </w:tc>
              <w:tc>
                <w:tcPr>
                  <w:tcW w:w="1052" w:type="pct"/>
                  <w:shd w:val="clear" w:color="auto" w:fill="auto"/>
                  <w:noWrap w:val="0"/>
                  <w:vAlign w:val="center"/>
                </w:tcPr>
                <w:p w14:paraId="5ABD06C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kern w:val="2"/>
                      <w:sz w:val="21"/>
                      <w:szCs w:val="21"/>
                      <w:highlight w:val="none"/>
                      <w:u w:val="none" w:color="auto"/>
                      <w:lang w:val="en-US" w:eastAsia="zh-CN" w:bidi="ar-SA"/>
                    </w:rPr>
                  </w:pPr>
                  <w:r>
                    <w:rPr>
                      <w:rFonts w:hint="eastAsia" w:cs="Times New Roman"/>
                      <w:bCs/>
                      <w:color w:val="auto"/>
                      <w:spacing w:val="-10"/>
                      <w:kern w:val="2"/>
                      <w:sz w:val="21"/>
                      <w:szCs w:val="21"/>
                      <w:highlight w:val="none"/>
                      <w:u w:val="none" w:color="auto"/>
                      <w:lang w:val="en-US" w:eastAsia="zh-CN" w:bidi="ar-SA"/>
                    </w:rPr>
                    <w:t>0.163</w:t>
                  </w:r>
                </w:p>
              </w:tc>
              <w:tc>
                <w:tcPr>
                  <w:tcW w:w="793" w:type="pct"/>
                  <w:shd w:val="clear" w:color="auto" w:fill="auto"/>
                  <w:noWrap w:val="0"/>
                  <w:vAlign w:val="center"/>
                </w:tcPr>
                <w:p w14:paraId="34BF97D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kern w:val="2"/>
                      <w:sz w:val="21"/>
                      <w:szCs w:val="21"/>
                      <w:highlight w:val="none"/>
                      <w:u w:val="none" w:color="auto"/>
                      <w:lang w:val="en-US" w:eastAsia="zh-CN" w:bidi="ar-SA"/>
                    </w:rPr>
                  </w:pPr>
                  <w:r>
                    <w:rPr>
                      <w:rFonts w:hint="eastAsia" w:cs="Times New Roman"/>
                      <w:bCs/>
                      <w:color w:val="auto"/>
                      <w:spacing w:val="-10"/>
                      <w:kern w:val="2"/>
                      <w:sz w:val="21"/>
                      <w:szCs w:val="21"/>
                      <w:highlight w:val="none"/>
                      <w:u w:val="none" w:color="auto"/>
                      <w:lang w:val="en-US" w:eastAsia="zh-CN" w:bidi="ar-SA"/>
                    </w:rPr>
                    <w:t>0.122</w:t>
                  </w:r>
                </w:p>
              </w:tc>
            </w:tr>
            <w:tr w14:paraId="22B71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496614B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排放速率（kg/h）</w:t>
                  </w:r>
                </w:p>
              </w:tc>
              <w:tc>
                <w:tcPr>
                  <w:tcW w:w="1030" w:type="pct"/>
                  <w:noWrap w:val="0"/>
                  <w:vAlign w:val="center"/>
                </w:tcPr>
                <w:p w14:paraId="189EEC8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w:t>
                  </w:r>
                </w:p>
              </w:tc>
              <w:tc>
                <w:tcPr>
                  <w:tcW w:w="838" w:type="pct"/>
                  <w:noWrap w:val="0"/>
                  <w:vAlign w:val="center"/>
                </w:tcPr>
                <w:p w14:paraId="68DB39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0.05</w:t>
                  </w:r>
                </w:p>
              </w:tc>
              <w:tc>
                <w:tcPr>
                  <w:tcW w:w="1052" w:type="pct"/>
                  <w:noWrap w:val="0"/>
                  <w:vAlign w:val="center"/>
                </w:tcPr>
                <w:p w14:paraId="23A3F22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0.51</w:t>
                  </w:r>
                </w:p>
              </w:tc>
              <w:tc>
                <w:tcPr>
                  <w:tcW w:w="793" w:type="pct"/>
                  <w:noWrap w:val="0"/>
                  <w:vAlign w:val="center"/>
                </w:tcPr>
                <w:p w14:paraId="45B1E92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0.38</w:t>
                  </w:r>
                </w:p>
              </w:tc>
            </w:tr>
            <w:tr w14:paraId="5F3B7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31A3CD1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排放浓度（mg/m³）</w:t>
                  </w:r>
                </w:p>
              </w:tc>
              <w:tc>
                <w:tcPr>
                  <w:tcW w:w="1030" w:type="pct"/>
                  <w:noWrap w:val="0"/>
                  <w:vAlign w:val="center"/>
                </w:tcPr>
                <w:p w14:paraId="393822B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3120m</w:t>
                  </w:r>
                  <w:r>
                    <w:rPr>
                      <w:rFonts w:hint="eastAsia" w:cs="Times New Roman"/>
                      <w:bCs/>
                      <w:color w:val="auto"/>
                      <w:spacing w:val="-10"/>
                      <w:sz w:val="21"/>
                      <w:szCs w:val="21"/>
                      <w:highlight w:val="none"/>
                      <w:u w:val="none" w:color="auto"/>
                      <w:vertAlign w:val="superscript"/>
                      <w:lang w:val="en-US" w:eastAsia="zh-CN"/>
                    </w:rPr>
                    <w:t>3</w:t>
                  </w:r>
                  <w:r>
                    <w:rPr>
                      <w:rFonts w:hint="eastAsia" w:cs="Times New Roman"/>
                      <w:bCs/>
                      <w:color w:val="auto"/>
                      <w:spacing w:val="-10"/>
                      <w:sz w:val="21"/>
                      <w:szCs w:val="21"/>
                      <w:highlight w:val="none"/>
                      <w:u w:val="none" w:color="auto"/>
                      <w:lang w:val="en-US" w:eastAsia="zh-CN"/>
                    </w:rPr>
                    <w:t>/h（废气量）</w:t>
                  </w:r>
                </w:p>
              </w:tc>
              <w:tc>
                <w:tcPr>
                  <w:tcW w:w="838" w:type="pct"/>
                  <w:noWrap w:val="0"/>
                  <w:vAlign w:val="center"/>
                </w:tcPr>
                <w:p w14:paraId="6238D59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16.03</w:t>
                  </w:r>
                </w:p>
              </w:tc>
              <w:tc>
                <w:tcPr>
                  <w:tcW w:w="1052" w:type="pct"/>
                  <w:noWrap w:val="0"/>
                  <w:vAlign w:val="center"/>
                </w:tcPr>
                <w:p w14:paraId="316346A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163.46</w:t>
                  </w:r>
                </w:p>
              </w:tc>
              <w:tc>
                <w:tcPr>
                  <w:tcW w:w="793" w:type="pct"/>
                  <w:noWrap w:val="0"/>
                  <w:vAlign w:val="center"/>
                </w:tcPr>
                <w:p w14:paraId="19AE994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cs="Times New Roman"/>
                      <w:bCs/>
                      <w:color w:val="auto"/>
                      <w:spacing w:val="-10"/>
                      <w:sz w:val="21"/>
                      <w:szCs w:val="21"/>
                      <w:highlight w:val="none"/>
                      <w:u w:val="none" w:color="auto"/>
                      <w:lang w:val="en-US" w:eastAsia="zh-CN"/>
                    </w:rPr>
                    <w:t>122.6</w:t>
                  </w:r>
                </w:p>
              </w:tc>
            </w:tr>
            <w:tr w14:paraId="0F283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4" w:type="pct"/>
                  <w:noWrap w:val="0"/>
                  <w:vAlign w:val="center"/>
                </w:tcPr>
                <w:p w14:paraId="595FCCF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标准限值（mg/m³）</w:t>
                  </w:r>
                </w:p>
              </w:tc>
              <w:tc>
                <w:tcPr>
                  <w:tcW w:w="1030" w:type="pct"/>
                  <w:noWrap w:val="0"/>
                  <w:vAlign w:val="center"/>
                </w:tcPr>
                <w:p w14:paraId="2C24439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w:t>
                  </w:r>
                </w:p>
              </w:tc>
              <w:tc>
                <w:tcPr>
                  <w:tcW w:w="838" w:type="pct"/>
                  <w:noWrap w:val="0"/>
                  <w:vAlign w:val="center"/>
                </w:tcPr>
                <w:p w14:paraId="4E015EE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50</w:t>
                  </w:r>
                </w:p>
              </w:tc>
              <w:tc>
                <w:tcPr>
                  <w:tcW w:w="1052" w:type="pct"/>
                  <w:noWrap w:val="0"/>
                  <w:vAlign w:val="center"/>
                </w:tcPr>
                <w:p w14:paraId="79C6062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300</w:t>
                  </w:r>
                </w:p>
              </w:tc>
              <w:tc>
                <w:tcPr>
                  <w:tcW w:w="793" w:type="pct"/>
                  <w:noWrap w:val="0"/>
                  <w:vAlign w:val="center"/>
                </w:tcPr>
                <w:p w14:paraId="3A1ADB0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auto"/>
                    <w:rPr>
                      <w:rFonts w:hint="default" w:ascii="Times New Roman" w:hAnsi="Times New Roman" w:eastAsia="宋体" w:cs="Times New Roman"/>
                      <w:bCs/>
                      <w:color w:val="auto"/>
                      <w:spacing w:val="-10"/>
                      <w:sz w:val="21"/>
                      <w:szCs w:val="21"/>
                      <w:highlight w:val="none"/>
                      <w:u w:val="none" w:color="auto"/>
                      <w:lang w:val="en-US" w:eastAsia="zh-CN"/>
                    </w:rPr>
                  </w:pPr>
                  <w:r>
                    <w:rPr>
                      <w:rFonts w:hint="eastAsia" w:ascii="Times New Roman" w:hAnsi="Times New Roman" w:eastAsia="宋体" w:cs="Times New Roman"/>
                      <w:bCs/>
                      <w:color w:val="auto"/>
                      <w:spacing w:val="-10"/>
                      <w:sz w:val="21"/>
                      <w:szCs w:val="21"/>
                      <w:highlight w:val="none"/>
                      <w:u w:val="none" w:color="auto"/>
                      <w:lang w:val="en-US" w:eastAsia="zh-CN"/>
                    </w:rPr>
                    <w:t>300</w:t>
                  </w:r>
                </w:p>
              </w:tc>
            </w:tr>
          </w:tbl>
          <w:p w14:paraId="103EFEFC">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kern w:val="0"/>
                <w:sz w:val="24"/>
                <w14:textFill>
                  <w14:solidFill>
                    <w14:schemeClr w14:val="tx1"/>
                  </w14:solidFill>
                </w14:textFill>
              </w:rPr>
            </w:pPr>
          </w:p>
          <w:p w14:paraId="27D0625C">
            <w:pPr>
              <w:pStyle w:val="15"/>
              <w:keepNext w:val="0"/>
              <w:keepLines w:val="0"/>
              <w:suppressLineNumbers w:val="0"/>
              <w:tabs>
                <w:tab w:val="left" w:pos="1634"/>
              </w:tabs>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由上表可知</w:t>
            </w:r>
            <w:r>
              <w:rPr>
                <w:rFonts w:hint="default" w:ascii="Times New Roman" w:hAnsi="Times New Roman" w:eastAsia="宋体" w:cs="Times New Roman"/>
                <w:color w:val="auto"/>
                <w:sz w:val="24"/>
                <w:highlight w:val="none"/>
              </w:rPr>
              <w:t>，锅炉</w:t>
            </w:r>
            <w:r>
              <w:rPr>
                <w:rFonts w:hint="default" w:ascii="Times New Roman" w:hAnsi="Times New Roman" w:eastAsia="宋体" w:cs="Times New Roman"/>
                <w:color w:val="auto"/>
                <w:sz w:val="24"/>
                <w:highlight w:val="none"/>
                <w:lang w:eastAsia="zh-CN"/>
              </w:rPr>
              <w:t>烟气</w:t>
            </w:r>
            <w:r>
              <w:rPr>
                <w:rFonts w:hint="default" w:ascii="Times New Roman" w:hAnsi="Times New Roman" w:eastAsia="宋体" w:cs="Times New Roman"/>
                <w:color w:val="auto"/>
                <w:sz w:val="24"/>
                <w:highlight w:val="none"/>
              </w:rPr>
              <w:t>经</w:t>
            </w:r>
            <w:r>
              <w:rPr>
                <w:rFonts w:hint="default" w:ascii="Times New Roman" w:hAnsi="Times New Roman" w:eastAsia="宋体" w:cs="Times New Roman"/>
                <w:color w:val="auto"/>
                <w:sz w:val="24"/>
                <w:highlight w:val="none"/>
                <w:lang w:eastAsia="zh-CN"/>
              </w:rPr>
              <w:t>“旋风</w:t>
            </w:r>
            <w:r>
              <w:rPr>
                <w:rFonts w:hint="default" w:ascii="Times New Roman" w:hAnsi="Times New Roman" w:eastAsia="宋体" w:cs="Times New Roman"/>
                <w:color w:val="auto"/>
                <w:sz w:val="24"/>
                <w:highlight w:val="none"/>
                <w:lang w:val="en-US" w:eastAsia="zh-CN"/>
              </w:rPr>
              <w:t>除尘+</w:t>
            </w:r>
            <w:r>
              <w:rPr>
                <w:rFonts w:hint="default" w:ascii="Times New Roman" w:hAnsi="Times New Roman" w:eastAsia="宋体" w:cs="Times New Roman"/>
                <w:color w:val="auto"/>
                <w:sz w:val="24"/>
                <w:highlight w:val="none"/>
                <w:lang w:eastAsia="zh-CN"/>
              </w:rPr>
              <w:t>布袋除尘”</w:t>
            </w:r>
            <w:r>
              <w:rPr>
                <w:rFonts w:hint="default" w:ascii="Times New Roman" w:hAnsi="Times New Roman" w:eastAsia="宋体" w:cs="Times New Roman"/>
                <w:color w:val="auto"/>
                <w:sz w:val="24"/>
                <w:highlight w:val="none"/>
                <w:lang w:val="en-US" w:eastAsia="zh-CN"/>
              </w:rPr>
              <w:t>处理</w:t>
            </w:r>
            <w:r>
              <w:rPr>
                <w:rFonts w:hint="default" w:ascii="Times New Roman" w:hAnsi="Times New Roman" w:eastAsia="宋体" w:cs="Times New Roman"/>
                <w:color w:val="auto"/>
                <w:sz w:val="24"/>
                <w:highlight w:val="none"/>
              </w:rPr>
              <w:t>后再经过</w:t>
            </w:r>
            <w:r>
              <w:rPr>
                <w:rFonts w:hint="eastAsia" w:ascii="Times New Roman" w:hAnsi="Times New Roman" w:cs="Times New Roman"/>
                <w:color w:val="auto"/>
                <w:sz w:val="24"/>
                <w:highlight w:val="none"/>
                <w:lang w:val="en-US" w:eastAsia="zh-CN"/>
              </w:rPr>
              <w:t>30</w:t>
            </w:r>
            <w:r>
              <w:rPr>
                <w:rFonts w:hint="default" w:ascii="Times New Roman" w:hAnsi="Times New Roman" w:eastAsia="宋体" w:cs="Times New Roman"/>
                <w:color w:val="auto"/>
                <w:sz w:val="24"/>
                <w:highlight w:val="none"/>
                <w:lang w:val="en-US" w:eastAsia="zh-CN"/>
              </w:rPr>
              <w:t>m排气筒</w:t>
            </w:r>
            <w:r>
              <w:rPr>
                <w:rFonts w:hint="default" w:ascii="Times New Roman" w:hAnsi="Times New Roman" w:eastAsia="宋体" w:cs="Times New Roman"/>
                <w:snapToGrid w:val="0"/>
                <w:color w:val="auto"/>
                <w:sz w:val="24"/>
                <w:highlight w:val="none"/>
              </w:rPr>
              <w:t>（</w:t>
            </w:r>
            <w:r>
              <w:rPr>
                <w:rFonts w:hint="default" w:ascii="Times New Roman" w:hAnsi="Times New Roman" w:eastAsia="宋体" w:cs="Times New Roman"/>
                <w:color w:val="auto"/>
                <w:sz w:val="24"/>
                <w:highlight w:val="none"/>
              </w:rPr>
              <w:t>DA001）</w:t>
            </w:r>
            <w:r>
              <w:rPr>
                <w:rFonts w:hint="eastAsia" w:ascii="Times New Roman" w:hAnsi="Times New Roman" w:cs="Times New Roman"/>
                <w:color w:val="auto"/>
                <w:sz w:val="24"/>
                <w:highlight w:val="none"/>
                <w:lang w:val="en-US" w:eastAsia="zh-CN"/>
              </w:rPr>
              <w:t>排放，</w:t>
            </w:r>
            <w:r>
              <w:rPr>
                <w:rFonts w:hint="default" w:ascii="Times New Roman" w:hAnsi="Times New Roman" w:eastAsia="宋体" w:cs="Times New Roman"/>
                <w:color w:val="auto"/>
                <w:sz w:val="24"/>
                <w:highlight w:val="none"/>
              </w:rPr>
              <w:t>可达到《锅炉大气污染物排放标准》（GB13271-2014）表2中的燃煤锅炉（燃生物质锅炉参照燃煤锅炉排放限值）的排放限值标准</w:t>
            </w:r>
            <w:r>
              <w:rPr>
                <w:rFonts w:hint="default" w:ascii="Times New Roman" w:hAnsi="Times New Roman" w:eastAsia="宋体" w:cs="Times New Roman"/>
                <w:color w:val="auto"/>
                <w:sz w:val="24"/>
                <w:highlight w:val="none"/>
                <w:lang w:eastAsia="zh-CN"/>
              </w:rPr>
              <w:t>。</w:t>
            </w:r>
          </w:p>
          <w:p w14:paraId="62EB7EF4">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kern w:val="0"/>
                <w:sz w:val="24"/>
                <w:highlight w:val="none"/>
              </w:rPr>
            </w:pPr>
            <w:r>
              <w:rPr>
                <w:rFonts w:hint="default" w:ascii="Times New Roman" w:hAnsi="Times New Roman" w:eastAsia="宋体" w:cs="Times New Roman"/>
                <w:color w:val="auto"/>
                <w:kern w:val="0"/>
                <w:sz w:val="24"/>
                <w:highlight w:val="none"/>
                <w:u w:val="none"/>
              </w:rPr>
              <w:t>②</w:t>
            </w:r>
            <w:r>
              <w:rPr>
                <w:rFonts w:hint="default" w:ascii="Times New Roman" w:hAnsi="Times New Roman" w:eastAsia="宋体" w:cs="Times New Roman"/>
                <w:color w:val="auto"/>
                <w:kern w:val="0"/>
                <w:sz w:val="24"/>
                <w:highlight w:val="none"/>
              </w:rPr>
              <w:t>污水处理站恶臭</w:t>
            </w:r>
          </w:p>
          <w:p w14:paraId="22B1FBA2">
            <w:pPr>
              <w:keepNext w:val="0"/>
              <w:keepLines w:val="0"/>
              <w:suppressLineNumbers w:val="0"/>
              <w:spacing w:before="0" w:beforeAutospacing="0" w:after="0" w:afterAutospacing="0" w:line="360" w:lineRule="auto"/>
              <w:ind w:left="0" w:right="0" w:firstLine="480" w:firstLineChars="200"/>
              <w:jc w:val="left"/>
              <w:rPr>
                <w:rFonts w:hint="eastAsia" w:cs="Times New Roman"/>
                <w:color w:val="auto"/>
                <w:sz w:val="24"/>
                <w:highlight w:val="none"/>
                <w:lang w:val="en-US" w:eastAsia="zh-CN"/>
              </w:rPr>
            </w:pPr>
            <w:r>
              <w:rPr>
                <w:rFonts w:hint="default" w:ascii="Times New Roman" w:hAnsi="Times New Roman" w:eastAsia="宋体" w:cs="Times New Roman"/>
                <w:color w:val="auto"/>
                <w:kern w:val="0"/>
                <w:sz w:val="24"/>
                <w:highlight w:val="none"/>
              </w:rPr>
              <w:t>项目</w:t>
            </w:r>
            <w:r>
              <w:rPr>
                <w:rFonts w:hint="eastAsia" w:cs="Times New Roman"/>
                <w:color w:val="auto"/>
                <w:kern w:val="0"/>
                <w:sz w:val="24"/>
                <w:highlight w:val="none"/>
                <w:lang w:eastAsia="zh-CN"/>
              </w:rPr>
              <w:t>已建</w:t>
            </w:r>
            <w:r>
              <w:rPr>
                <w:rFonts w:hint="default" w:ascii="Times New Roman" w:hAnsi="Times New Roman" w:eastAsia="宋体" w:cs="Times New Roman"/>
                <w:color w:val="auto"/>
                <w:kern w:val="0"/>
                <w:sz w:val="24"/>
                <w:highlight w:val="none"/>
              </w:rPr>
              <w:t>一个污水处理站，运营后厂内</w:t>
            </w:r>
            <w:r>
              <w:rPr>
                <w:rFonts w:hint="eastAsia" w:cs="Times New Roman"/>
                <w:color w:val="auto"/>
                <w:kern w:val="0"/>
                <w:sz w:val="24"/>
                <w:highlight w:val="none"/>
                <w:lang w:eastAsia="zh-CN"/>
              </w:rPr>
              <w:t>生活污水和</w:t>
            </w:r>
            <w:r>
              <w:rPr>
                <w:rFonts w:hint="default" w:ascii="Times New Roman" w:hAnsi="Times New Roman" w:eastAsia="宋体" w:cs="Times New Roman"/>
                <w:color w:val="auto"/>
                <w:kern w:val="0"/>
                <w:sz w:val="24"/>
                <w:highlight w:val="none"/>
              </w:rPr>
              <w:t>生产废水经收集后统一进入自建的污水处理站处理</w:t>
            </w:r>
            <w:r>
              <w:rPr>
                <w:rFonts w:hint="eastAsia" w:cs="Times New Roman"/>
                <w:color w:val="auto"/>
                <w:kern w:val="0"/>
                <w:sz w:val="24"/>
                <w:highlight w:val="none"/>
                <w:lang w:eastAsia="zh-CN"/>
              </w:rPr>
              <w:t>达标</w:t>
            </w:r>
            <w:r>
              <w:rPr>
                <w:rFonts w:hint="default" w:ascii="Times New Roman" w:hAnsi="Times New Roman" w:eastAsia="宋体" w:cs="Times New Roman"/>
                <w:color w:val="auto"/>
                <w:kern w:val="0"/>
                <w:sz w:val="24"/>
                <w:highlight w:val="none"/>
                <w:lang w:val="en-US" w:eastAsia="zh-CN"/>
              </w:rPr>
              <w:t>后</w:t>
            </w:r>
            <w:r>
              <w:rPr>
                <w:rFonts w:hint="eastAsia" w:cs="Times New Roman"/>
                <w:color w:val="auto"/>
                <w:kern w:val="0"/>
                <w:sz w:val="24"/>
                <w:highlight w:val="none"/>
                <w:lang w:val="en-US" w:eastAsia="zh-CN"/>
              </w:rPr>
              <w:t>排入官家嘴镇污水处理站进一步处理</w:t>
            </w:r>
            <w:r>
              <w:rPr>
                <w:rFonts w:hint="default" w:ascii="Times New Roman" w:hAnsi="Times New Roman" w:eastAsia="宋体" w:cs="Times New Roman"/>
                <w:color w:val="auto"/>
                <w:kern w:val="0"/>
                <w:sz w:val="24"/>
                <w:highlight w:val="none"/>
              </w:rPr>
              <w:t>，污水处理站在运营时会产生少量恶臭气体，主要成分是氨和硫化氢</w:t>
            </w:r>
            <w:r>
              <w:rPr>
                <w:rFonts w:hint="eastAsia" w:cs="Times New Roman"/>
                <w:color w:val="auto"/>
                <w:kern w:val="0"/>
                <w:sz w:val="24"/>
                <w:highlight w:val="none"/>
                <w:lang w:eastAsia="zh-CN"/>
              </w:rPr>
              <w:t>。</w:t>
            </w:r>
            <w:r>
              <w:rPr>
                <w:rFonts w:hint="eastAsia" w:cs="Times New Roman"/>
                <w:color w:val="auto"/>
                <w:kern w:val="0"/>
                <w:sz w:val="24"/>
                <w:highlight w:val="none"/>
                <w:lang w:val="en-US" w:eastAsia="zh-CN"/>
              </w:rPr>
              <w:t>产生恶臭的主要部位是调节池和生化池，</w:t>
            </w:r>
            <w:r>
              <w:rPr>
                <w:rFonts w:hint="default"/>
                <w:b w:val="0"/>
                <w:bCs w:val="0"/>
                <w:highlight w:val="none"/>
                <w:u w:val="none"/>
                <w:lang w:val="en-US" w:eastAsia="zh-CN"/>
              </w:rPr>
              <w:t>恶臭污染源源强采用类比法确定，数据引用文献《</w:t>
            </w:r>
            <w:r>
              <w:rPr>
                <w:rFonts w:hint="eastAsia"/>
                <w:b w:val="0"/>
                <w:bCs w:val="0"/>
                <w:highlight w:val="none"/>
                <w:u w:val="none"/>
                <w:lang w:val="en-US" w:eastAsia="zh-CN"/>
              </w:rPr>
              <w:t>城市污水处理厂恶臭排放特征及污染源强研究</w:t>
            </w:r>
            <w:r>
              <w:rPr>
                <w:rFonts w:hint="default"/>
                <w:b w:val="0"/>
                <w:bCs w:val="0"/>
                <w:highlight w:val="none"/>
                <w:u w:val="none"/>
                <w:lang w:val="en-US" w:eastAsia="zh-CN"/>
              </w:rPr>
              <w:t>》（</w:t>
            </w:r>
            <w:r>
              <w:rPr>
                <w:rFonts w:hint="eastAsia"/>
                <w:b w:val="0"/>
                <w:bCs w:val="0"/>
                <w:highlight w:val="none"/>
                <w:u w:val="none"/>
                <w:lang w:val="en-US" w:eastAsia="zh-CN"/>
              </w:rPr>
              <w:t>王宸</w:t>
            </w:r>
            <w:r>
              <w:rPr>
                <w:rFonts w:hint="default"/>
                <w:b w:val="0"/>
                <w:bCs w:val="0"/>
                <w:highlight w:val="none"/>
                <w:u w:val="none"/>
                <w:lang w:val="en-US" w:eastAsia="zh-CN"/>
              </w:rPr>
              <w:t>）中的数据，确定本项目污水处理</w:t>
            </w:r>
            <w:r>
              <w:rPr>
                <w:rFonts w:hint="eastAsia"/>
                <w:b w:val="0"/>
                <w:bCs w:val="0"/>
                <w:highlight w:val="none"/>
                <w:u w:val="none"/>
                <w:lang w:val="en-US" w:eastAsia="zh-CN"/>
              </w:rPr>
              <w:t>站</w:t>
            </w:r>
            <w:r>
              <w:rPr>
                <w:rFonts w:hint="default"/>
                <w:b w:val="0"/>
                <w:bCs w:val="0"/>
                <w:highlight w:val="none"/>
                <w:u w:val="none"/>
                <w:lang w:val="en-US" w:eastAsia="zh-CN"/>
              </w:rPr>
              <w:t>恶臭物质排放源强</w:t>
            </w:r>
            <w:r>
              <w:rPr>
                <w:rFonts w:hint="eastAsia"/>
                <w:b w:val="0"/>
                <w:bCs w:val="0"/>
                <w:highlight w:val="none"/>
                <w:u w:val="none"/>
                <w:lang w:val="en-US" w:eastAsia="zh-CN"/>
              </w:rPr>
              <w:t>NH</w:t>
            </w:r>
            <w:r>
              <w:rPr>
                <w:rFonts w:hint="eastAsia"/>
                <w:b w:val="0"/>
                <w:bCs w:val="0"/>
                <w:highlight w:val="none"/>
                <w:u w:val="none"/>
                <w:vertAlign w:val="subscript"/>
                <w:lang w:val="en-US" w:eastAsia="zh-CN"/>
              </w:rPr>
              <w:t xml:space="preserve">3 </w:t>
            </w:r>
            <w:r>
              <w:rPr>
                <w:rFonts w:hint="eastAsia"/>
                <w:b w:val="0"/>
                <w:bCs w:val="0"/>
                <w:highlight w:val="none"/>
                <w:u w:val="none"/>
                <w:lang w:val="en-US" w:eastAsia="zh-CN"/>
              </w:rPr>
              <w:t>0.12mg/h·m</w:t>
            </w:r>
            <w:r>
              <w:rPr>
                <w:rFonts w:hint="eastAsia"/>
                <w:b w:val="0"/>
                <w:bCs w:val="0"/>
                <w:highlight w:val="none"/>
                <w:u w:val="none"/>
                <w:vertAlign w:val="superscript"/>
                <w:lang w:val="en-US" w:eastAsia="zh-CN"/>
              </w:rPr>
              <w:t>2</w:t>
            </w:r>
            <w:r>
              <w:rPr>
                <w:rFonts w:hint="eastAsia"/>
                <w:b w:val="0"/>
                <w:bCs w:val="0"/>
                <w:highlight w:val="none"/>
                <w:u w:val="none"/>
                <w:lang w:val="en-US" w:eastAsia="zh-CN"/>
              </w:rPr>
              <w:t>、H</w:t>
            </w:r>
            <w:r>
              <w:rPr>
                <w:rFonts w:hint="eastAsia"/>
                <w:b w:val="0"/>
                <w:bCs w:val="0"/>
                <w:highlight w:val="none"/>
                <w:u w:val="none"/>
                <w:vertAlign w:val="subscript"/>
                <w:lang w:val="en-US" w:eastAsia="zh-CN"/>
              </w:rPr>
              <w:t>2</w:t>
            </w:r>
            <w:r>
              <w:rPr>
                <w:rFonts w:hint="eastAsia"/>
                <w:b w:val="0"/>
                <w:bCs w:val="0"/>
                <w:highlight w:val="none"/>
                <w:u w:val="none"/>
                <w:lang w:val="en-US" w:eastAsia="zh-CN"/>
              </w:rPr>
              <w:t>S 1.19mg/h·m</w:t>
            </w:r>
            <w:r>
              <w:rPr>
                <w:rFonts w:hint="eastAsia"/>
                <w:b w:val="0"/>
                <w:bCs w:val="0"/>
                <w:highlight w:val="none"/>
                <w:u w:val="none"/>
                <w:vertAlign w:val="superscript"/>
                <w:lang w:val="en-US" w:eastAsia="zh-CN"/>
              </w:rPr>
              <w:t>2</w:t>
            </w:r>
            <w:r>
              <w:rPr>
                <w:rFonts w:hint="eastAsia"/>
                <w:b w:val="0"/>
                <w:bCs w:val="0"/>
                <w:highlight w:val="none"/>
                <w:u w:val="none"/>
                <w:lang w:val="en-US" w:eastAsia="zh-CN"/>
              </w:rPr>
              <w:t>。本项目污水处理站</w:t>
            </w:r>
            <w:r>
              <w:rPr>
                <w:rFonts w:hint="eastAsia" w:cs="Times New Roman"/>
                <w:color w:val="auto"/>
                <w:kern w:val="0"/>
                <w:sz w:val="24"/>
                <w:highlight w:val="none"/>
                <w:lang w:val="en-US" w:eastAsia="zh-CN"/>
              </w:rPr>
              <w:t>调节池和生化池</w:t>
            </w:r>
            <w:r>
              <w:rPr>
                <w:rFonts w:hint="eastAsia"/>
                <w:b w:val="0"/>
                <w:bCs w:val="0"/>
                <w:highlight w:val="none"/>
                <w:u w:val="none"/>
                <w:lang w:val="en-US" w:eastAsia="zh-CN"/>
              </w:rPr>
              <w:t>面积为193.5m</w:t>
            </w:r>
            <w:r>
              <w:rPr>
                <w:rFonts w:hint="eastAsia"/>
                <w:b w:val="0"/>
                <w:bCs w:val="0"/>
                <w:highlight w:val="none"/>
                <w:u w:val="none"/>
                <w:vertAlign w:val="superscript"/>
                <w:lang w:val="en-US" w:eastAsia="zh-CN"/>
              </w:rPr>
              <w:t>2</w:t>
            </w:r>
            <w:r>
              <w:rPr>
                <w:rFonts w:hint="eastAsia"/>
                <w:b w:val="0"/>
                <w:bCs w:val="0"/>
                <w:highlight w:val="none"/>
                <w:u w:val="none"/>
                <w:lang w:val="en-US" w:eastAsia="zh-CN"/>
              </w:rPr>
              <w:t>，污水处理系统的工作时间以8h/d计，项目全年运行300天，年运行2400h，则NH</w:t>
            </w:r>
            <w:r>
              <w:rPr>
                <w:rFonts w:hint="eastAsia"/>
                <w:b w:val="0"/>
                <w:bCs w:val="0"/>
                <w:highlight w:val="none"/>
                <w:u w:val="none"/>
                <w:vertAlign w:val="subscript"/>
                <w:lang w:val="en-US" w:eastAsia="zh-CN"/>
              </w:rPr>
              <w:t>3</w:t>
            </w:r>
            <w:r>
              <w:rPr>
                <w:rFonts w:hint="eastAsia"/>
                <w:b w:val="0"/>
                <w:bCs w:val="0"/>
                <w:highlight w:val="none"/>
                <w:u w:val="none"/>
                <w:lang w:val="en-US" w:eastAsia="zh-CN"/>
              </w:rPr>
              <w:t>和H</w:t>
            </w:r>
            <w:r>
              <w:rPr>
                <w:rFonts w:hint="eastAsia"/>
                <w:b w:val="0"/>
                <w:bCs w:val="0"/>
                <w:highlight w:val="none"/>
                <w:u w:val="none"/>
                <w:vertAlign w:val="subscript"/>
                <w:lang w:val="en-US" w:eastAsia="zh-CN"/>
              </w:rPr>
              <w:t>2</w:t>
            </w:r>
            <w:r>
              <w:rPr>
                <w:rFonts w:hint="eastAsia"/>
                <w:b w:val="0"/>
                <w:bCs w:val="0"/>
                <w:highlight w:val="none"/>
                <w:u w:val="none"/>
                <w:lang w:val="en-US" w:eastAsia="zh-CN"/>
              </w:rPr>
              <w:t>S的产生量分别为0.056kg/a（0.000023kg/h）、0.55kg/a（0.00023kg/h），</w:t>
            </w:r>
            <w:r>
              <w:rPr>
                <w:rFonts w:hint="default" w:ascii="Times New Roman" w:hAnsi="Times New Roman" w:eastAsia="宋体" w:cs="Times New Roman"/>
                <w:color w:val="auto"/>
                <w:sz w:val="24"/>
                <w:highlight w:val="none"/>
              </w:rPr>
              <w:t>污水处理系统恶臭废气中NH</w:t>
            </w:r>
            <w:r>
              <w:rPr>
                <w:rFonts w:hint="default" w:ascii="Times New Roman" w:hAnsi="Times New Roman" w:eastAsia="宋体" w:cs="Times New Roman"/>
                <w:color w:val="auto"/>
                <w:sz w:val="24"/>
                <w:highlight w:val="none"/>
                <w:vertAlign w:val="subscript"/>
              </w:rPr>
              <w:t>3</w:t>
            </w:r>
            <w:r>
              <w:rPr>
                <w:rFonts w:hint="default" w:ascii="Times New Roman" w:hAnsi="Times New Roman" w:eastAsia="宋体" w:cs="Times New Roman"/>
                <w:color w:val="auto"/>
                <w:sz w:val="24"/>
                <w:highlight w:val="none"/>
              </w:rPr>
              <w:t>和H</w:t>
            </w:r>
            <w:r>
              <w:rPr>
                <w:rFonts w:hint="default" w:ascii="Times New Roman" w:hAnsi="Times New Roman" w:eastAsia="宋体" w:cs="Times New Roman"/>
                <w:color w:val="auto"/>
                <w:sz w:val="24"/>
                <w:highlight w:val="none"/>
                <w:vertAlign w:val="subscript"/>
              </w:rPr>
              <w:t>2</w:t>
            </w:r>
            <w:r>
              <w:rPr>
                <w:rFonts w:hint="default" w:ascii="Times New Roman" w:hAnsi="Times New Roman" w:eastAsia="宋体" w:cs="Times New Roman"/>
                <w:color w:val="auto"/>
                <w:sz w:val="24"/>
                <w:highlight w:val="none"/>
              </w:rPr>
              <w:t>S</w:t>
            </w:r>
            <w:r>
              <w:rPr>
                <w:rFonts w:hint="eastAsia" w:ascii="Times New Roman" w:hAnsi="Times New Roman" w:eastAsia="宋体" w:cs="Times New Roman"/>
                <w:color w:val="auto"/>
                <w:sz w:val="24"/>
                <w:highlight w:val="none"/>
                <w:lang w:val="en-US" w:eastAsia="zh-CN"/>
              </w:rPr>
              <w:t>产生量极少，通过定期喷洒除臭剂无组织排放，对周边环境影响较小</w:t>
            </w:r>
            <w:r>
              <w:rPr>
                <w:rFonts w:hint="eastAsia" w:cs="Times New Roman"/>
                <w:color w:val="auto"/>
                <w:sz w:val="24"/>
                <w:highlight w:val="none"/>
                <w:lang w:val="en-US" w:eastAsia="zh-CN"/>
              </w:rPr>
              <w:t>。</w:t>
            </w:r>
          </w:p>
          <w:p w14:paraId="7619438F">
            <w:pPr>
              <w:keepNext w:val="0"/>
              <w:keepLines w:val="0"/>
              <w:suppressLineNumbers w:val="0"/>
              <w:spacing w:before="0" w:beforeAutospacing="0" w:after="0" w:afterAutospacing="0" w:line="360" w:lineRule="auto"/>
              <w:ind w:left="0" w:right="0" w:firstLine="480" w:firstLineChars="200"/>
              <w:jc w:val="left"/>
              <w:rPr>
                <w:rFonts w:hint="eastAsia"/>
                <w:b w:val="0"/>
                <w:bCs w:val="0"/>
                <w:highlight w:val="none"/>
                <w:lang w:val="en-US" w:eastAsia="zh-CN"/>
              </w:rPr>
            </w:pPr>
            <w:r>
              <w:rPr>
                <w:rFonts w:hint="eastAsia" w:ascii="新宋体" w:hAnsi="新宋体" w:eastAsia="新宋体" w:cs="新宋体"/>
                <w:color w:val="auto"/>
                <w:sz w:val="24"/>
                <w:highlight w:val="none"/>
                <w:lang w:val="en-US" w:eastAsia="zh-CN"/>
              </w:rPr>
              <w:t>③</w:t>
            </w:r>
            <w:r>
              <w:rPr>
                <w:rFonts w:hint="eastAsia"/>
                <w:b w:val="0"/>
                <w:bCs w:val="0"/>
                <w:highlight w:val="none"/>
                <w:lang w:val="en-US" w:eastAsia="zh-CN"/>
              </w:rPr>
              <w:t>干黄花菜生产过程杀青及烘干挥发性有机物以及各生产车间异味</w:t>
            </w:r>
          </w:p>
          <w:p w14:paraId="411653EB">
            <w:pPr>
              <w:keepNext w:val="0"/>
              <w:keepLines w:val="0"/>
              <w:suppressLineNumbers w:val="0"/>
              <w:spacing w:before="0" w:beforeAutospacing="0" w:after="0" w:afterAutospacing="0" w:line="360" w:lineRule="auto"/>
              <w:ind w:left="0" w:right="0" w:firstLine="480" w:firstLineChars="200"/>
              <w:jc w:val="left"/>
              <w:rPr>
                <w:rFonts w:hint="eastAsia" w:cs="Times New Roman"/>
                <w:color w:val="auto"/>
                <w:sz w:val="24"/>
                <w:highlight w:val="none"/>
                <w:lang w:val="en-US" w:eastAsia="zh-CN"/>
              </w:rPr>
            </w:pPr>
            <w:r>
              <w:rPr>
                <w:rFonts w:hint="eastAsia"/>
                <w:b w:val="0"/>
                <w:bCs w:val="0"/>
                <w:highlight w:val="none"/>
                <w:lang w:val="en-US" w:eastAsia="zh-CN"/>
              </w:rPr>
              <w:t>本项目干黄花菜生产杀青烘干过程产生的VOCs主要来源于黄花菜自身含有的挥发性香气物质，年生产时间仅40天，8h/d，产生量较少，浓度较低，通过车间通风无组织排放；各车间异味主要为生产过程中调味料及食品添加剂的投加等过程产生，产生量较少。且各生产车间内均配套通风系统，设备以及车间地面也会定期进行清洗，从而减少异味的产生量和散发到空气中的量，因此本环评仅对干黄花菜生产过程杀青及烘干挥发性有机物以及各生产车间异味进行定性描述。</w:t>
            </w:r>
          </w:p>
          <w:p w14:paraId="29194886">
            <w:pPr>
              <w:keepNext w:val="0"/>
              <w:keepLines w:val="0"/>
              <w:widowControl/>
              <w:suppressLineNumbers w:val="0"/>
              <w:spacing w:before="0" w:beforeAutospacing="0" w:after="0" w:afterAutospacing="0" w:line="360" w:lineRule="auto"/>
              <w:ind w:left="0" w:right="0" w:firstLine="482" w:firstLineChars="200"/>
              <w:jc w:val="left"/>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sz w:val="24"/>
                <w:highlight w:val="none"/>
              </w:rPr>
              <w:t>（</w:t>
            </w:r>
            <w:r>
              <w:rPr>
                <w:rFonts w:hint="eastAsia" w:ascii="Times New Roman" w:hAnsi="Times New Roman" w:eastAsia="宋体" w:cs="Times New Roman"/>
                <w:b/>
                <w:color w:val="auto"/>
                <w:sz w:val="24"/>
                <w:highlight w:val="none"/>
                <w:lang w:val="en-US" w:eastAsia="zh-CN"/>
              </w:rPr>
              <w:t>2</w:t>
            </w:r>
            <w:r>
              <w:rPr>
                <w:rFonts w:hint="default" w:ascii="Times New Roman" w:hAnsi="Times New Roman" w:eastAsia="宋体" w:cs="Times New Roman"/>
                <w:b/>
                <w:color w:val="auto"/>
                <w:sz w:val="24"/>
                <w:highlight w:val="none"/>
              </w:rPr>
              <w:t>）污染物排放量核算</w:t>
            </w:r>
            <w:bookmarkStart w:id="28" w:name="4.3.1_有组织排放量核算"/>
            <w:bookmarkEnd w:id="28"/>
          </w:p>
          <w:p w14:paraId="78DD20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kern w:val="0"/>
                <w:sz w:val="21"/>
                <w:szCs w:val="16"/>
                <w:highlight w:val="none"/>
                <w:lang w:val="en-US" w:eastAsia="zh-CN"/>
              </w:rPr>
            </w:pPr>
            <w:r>
              <w:rPr>
                <w:rFonts w:hint="eastAsia" w:ascii="Times New Roman" w:hAnsi="Times New Roman" w:eastAsia="宋体" w:cs="Times New Roman"/>
                <w:b/>
                <w:bCs/>
                <w:color w:val="auto"/>
                <w:kern w:val="0"/>
                <w:sz w:val="21"/>
                <w:szCs w:val="16"/>
                <w:highlight w:val="none"/>
                <w:lang w:val="en-US" w:eastAsia="zh-CN"/>
              </w:rPr>
              <w:t>表4-2 项目废气治理设施一览表</w:t>
            </w:r>
          </w:p>
          <w:tbl>
            <w:tblPr>
              <w:tblStyle w:val="29"/>
              <w:tblW w:w="82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6"/>
              <w:gridCol w:w="1026"/>
              <w:gridCol w:w="1026"/>
              <w:gridCol w:w="1026"/>
              <w:gridCol w:w="1026"/>
              <w:gridCol w:w="1145"/>
              <w:gridCol w:w="908"/>
              <w:gridCol w:w="1027"/>
            </w:tblGrid>
            <w:tr w14:paraId="4BEAD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14:paraId="325B2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废气类别</w:t>
                  </w:r>
                </w:p>
              </w:tc>
              <w:tc>
                <w:tcPr>
                  <w:tcW w:w="1026" w:type="dxa"/>
                  <w:vAlign w:val="center"/>
                </w:tcPr>
                <w:p w14:paraId="3584C3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污染因子</w:t>
                  </w:r>
                </w:p>
              </w:tc>
              <w:tc>
                <w:tcPr>
                  <w:tcW w:w="1026" w:type="dxa"/>
                  <w:vAlign w:val="center"/>
                </w:tcPr>
                <w:p w14:paraId="4F9F5A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收集效率</w:t>
                  </w:r>
                </w:p>
              </w:tc>
              <w:tc>
                <w:tcPr>
                  <w:tcW w:w="1026" w:type="dxa"/>
                  <w:vAlign w:val="center"/>
                </w:tcPr>
                <w:p w14:paraId="3662A7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治理工艺</w:t>
                  </w:r>
                </w:p>
              </w:tc>
              <w:tc>
                <w:tcPr>
                  <w:tcW w:w="1026" w:type="dxa"/>
                  <w:vAlign w:val="center"/>
                </w:tcPr>
                <w:p w14:paraId="38D3F3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治理效率</w:t>
                  </w:r>
                </w:p>
              </w:tc>
              <w:tc>
                <w:tcPr>
                  <w:tcW w:w="1145" w:type="dxa"/>
                  <w:vAlign w:val="center"/>
                </w:tcPr>
                <w:p w14:paraId="76E5E0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是否为可行技术</w:t>
                  </w:r>
                </w:p>
              </w:tc>
              <w:tc>
                <w:tcPr>
                  <w:tcW w:w="908" w:type="dxa"/>
                  <w:vAlign w:val="center"/>
                </w:tcPr>
                <w:p w14:paraId="1A9C4A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排放形式</w:t>
                  </w:r>
                </w:p>
              </w:tc>
              <w:tc>
                <w:tcPr>
                  <w:tcW w:w="1027" w:type="dxa"/>
                  <w:vAlign w:val="center"/>
                </w:tcPr>
                <w:p w14:paraId="5F9001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排放口编号</w:t>
                  </w:r>
                </w:p>
              </w:tc>
            </w:tr>
            <w:tr w14:paraId="4CE11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Merge w:val="restart"/>
                  <w:vAlign w:val="center"/>
                </w:tcPr>
                <w:p w14:paraId="534D1A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生物质锅炉废气</w:t>
                  </w:r>
                </w:p>
              </w:tc>
              <w:tc>
                <w:tcPr>
                  <w:tcW w:w="1026" w:type="dxa"/>
                  <w:vAlign w:val="center"/>
                </w:tcPr>
                <w:p w14:paraId="2C6E97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颗粒物</w:t>
                  </w:r>
                </w:p>
              </w:tc>
              <w:tc>
                <w:tcPr>
                  <w:tcW w:w="1026" w:type="dxa"/>
                  <w:vMerge w:val="restart"/>
                  <w:vAlign w:val="center"/>
                </w:tcPr>
                <w:p w14:paraId="535E04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100%</w:t>
                  </w:r>
                </w:p>
              </w:tc>
              <w:tc>
                <w:tcPr>
                  <w:tcW w:w="1026" w:type="dxa"/>
                  <w:vMerge w:val="restart"/>
                  <w:vAlign w:val="center"/>
                </w:tcPr>
                <w:p w14:paraId="0DD6CE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旋风+布袋除尘</w:t>
                  </w:r>
                </w:p>
              </w:tc>
              <w:tc>
                <w:tcPr>
                  <w:tcW w:w="1026" w:type="dxa"/>
                  <w:vAlign w:val="center"/>
                </w:tcPr>
                <w:p w14:paraId="71C240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cs="Times New Roman"/>
                      <w:color w:val="auto"/>
                      <w:kern w:val="0"/>
                      <w:sz w:val="21"/>
                      <w:szCs w:val="16"/>
                      <w:highlight w:val="none"/>
                      <w:vertAlign w:val="baseline"/>
                      <w:lang w:val="en-US" w:eastAsia="zh-CN"/>
                    </w:rPr>
                    <w:t>80</w:t>
                  </w:r>
                  <w:r>
                    <w:rPr>
                      <w:rFonts w:hint="eastAsia" w:ascii="Times New Roman" w:hAnsi="Times New Roman" w:eastAsia="宋体" w:cs="Times New Roman"/>
                      <w:color w:val="auto"/>
                      <w:kern w:val="0"/>
                      <w:sz w:val="21"/>
                      <w:szCs w:val="16"/>
                      <w:highlight w:val="none"/>
                      <w:vertAlign w:val="baseline"/>
                      <w:lang w:val="en-US" w:eastAsia="zh-CN"/>
                    </w:rPr>
                    <w:t>%</w:t>
                  </w:r>
                </w:p>
              </w:tc>
              <w:tc>
                <w:tcPr>
                  <w:tcW w:w="1145" w:type="dxa"/>
                  <w:vMerge w:val="restart"/>
                  <w:vAlign w:val="center"/>
                </w:tcPr>
                <w:p w14:paraId="7798B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是</w:t>
                  </w:r>
                </w:p>
              </w:tc>
              <w:tc>
                <w:tcPr>
                  <w:tcW w:w="908" w:type="dxa"/>
                  <w:vMerge w:val="restart"/>
                  <w:vAlign w:val="center"/>
                </w:tcPr>
                <w:p w14:paraId="30B226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有组织</w:t>
                  </w:r>
                </w:p>
              </w:tc>
              <w:tc>
                <w:tcPr>
                  <w:tcW w:w="1027" w:type="dxa"/>
                  <w:vMerge w:val="restart"/>
                  <w:vAlign w:val="center"/>
                </w:tcPr>
                <w:p w14:paraId="3B92A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DA001</w:t>
                  </w:r>
                </w:p>
              </w:tc>
            </w:tr>
            <w:tr w14:paraId="0B179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Merge w:val="continue"/>
                  <w:vAlign w:val="center"/>
                </w:tcPr>
                <w:p w14:paraId="5DD2C4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1026" w:type="dxa"/>
                  <w:vAlign w:val="center"/>
                </w:tcPr>
                <w:p w14:paraId="7D816F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r>
                    <w:rPr>
                      <w:rFonts w:hint="default" w:ascii="Times New Roman" w:hAnsi="Times New Roman" w:eastAsia="宋体" w:cs="Times New Roman"/>
                      <w:color w:val="auto"/>
                      <w:kern w:val="0"/>
                      <w:sz w:val="21"/>
                      <w:szCs w:val="16"/>
                      <w:highlight w:val="none"/>
                      <w:vertAlign w:val="baseline"/>
                      <w:lang w:val="en-US" w:eastAsia="zh-CN"/>
                    </w:rPr>
                    <w:t>SO</w:t>
                  </w:r>
                  <w:r>
                    <w:rPr>
                      <w:rFonts w:hint="default" w:ascii="Times New Roman" w:hAnsi="Times New Roman" w:eastAsia="宋体" w:cs="Times New Roman"/>
                      <w:color w:val="auto"/>
                      <w:kern w:val="0"/>
                      <w:sz w:val="21"/>
                      <w:szCs w:val="16"/>
                      <w:highlight w:val="none"/>
                      <w:vertAlign w:val="subscript"/>
                      <w:lang w:val="en-US" w:eastAsia="zh-CN"/>
                    </w:rPr>
                    <w:t>2</w:t>
                  </w:r>
                </w:p>
              </w:tc>
              <w:tc>
                <w:tcPr>
                  <w:tcW w:w="1026" w:type="dxa"/>
                  <w:vMerge w:val="continue"/>
                  <w:vAlign w:val="center"/>
                </w:tcPr>
                <w:p w14:paraId="5D5DF1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1026" w:type="dxa"/>
                  <w:vMerge w:val="continue"/>
                  <w:vAlign w:val="center"/>
                </w:tcPr>
                <w:p w14:paraId="0B29CD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1026" w:type="dxa"/>
                  <w:vAlign w:val="center"/>
                </w:tcPr>
                <w:p w14:paraId="579A9F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0</w:t>
                  </w:r>
                </w:p>
              </w:tc>
              <w:tc>
                <w:tcPr>
                  <w:tcW w:w="1145" w:type="dxa"/>
                  <w:vMerge w:val="continue"/>
                  <w:vAlign w:val="center"/>
                </w:tcPr>
                <w:p w14:paraId="16257B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908" w:type="dxa"/>
                  <w:vMerge w:val="continue"/>
                  <w:vAlign w:val="center"/>
                </w:tcPr>
                <w:p w14:paraId="413FE3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1027" w:type="dxa"/>
                  <w:vMerge w:val="continue"/>
                  <w:vAlign w:val="center"/>
                </w:tcPr>
                <w:p w14:paraId="681104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r>
            <w:tr w14:paraId="706C0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Merge w:val="continue"/>
                  <w:vAlign w:val="center"/>
                </w:tcPr>
                <w:p w14:paraId="3CBB79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1026" w:type="dxa"/>
                  <w:vAlign w:val="center"/>
                </w:tcPr>
                <w:p w14:paraId="13761F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NOx</w:t>
                  </w:r>
                </w:p>
              </w:tc>
              <w:tc>
                <w:tcPr>
                  <w:tcW w:w="1026" w:type="dxa"/>
                  <w:vMerge w:val="continue"/>
                  <w:vAlign w:val="center"/>
                </w:tcPr>
                <w:p w14:paraId="7F6DB0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1026" w:type="dxa"/>
                  <w:vMerge w:val="continue"/>
                  <w:vAlign w:val="center"/>
                </w:tcPr>
                <w:p w14:paraId="71FA6F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1026" w:type="dxa"/>
                  <w:vAlign w:val="center"/>
                </w:tcPr>
                <w:p w14:paraId="7CA4C5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16"/>
                      <w:highlight w:val="none"/>
                      <w:vertAlign w:val="baseline"/>
                      <w:lang w:val="en-US" w:eastAsia="zh-CN"/>
                    </w:rPr>
                  </w:pPr>
                  <w:r>
                    <w:rPr>
                      <w:rFonts w:hint="eastAsia" w:ascii="Times New Roman" w:hAnsi="Times New Roman" w:eastAsia="宋体" w:cs="Times New Roman"/>
                      <w:color w:val="auto"/>
                      <w:kern w:val="0"/>
                      <w:sz w:val="21"/>
                      <w:szCs w:val="16"/>
                      <w:highlight w:val="none"/>
                      <w:vertAlign w:val="baseline"/>
                      <w:lang w:val="en-US" w:eastAsia="zh-CN"/>
                    </w:rPr>
                    <w:t>0</w:t>
                  </w:r>
                </w:p>
              </w:tc>
              <w:tc>
                <w:tcPr>
                  <w:tcW w:w="1145" w:type="dxa"/>
                  <w:vMerge w:val="continue"/>
                  <w:vAlign w:val="center"/>
                </w:tcPr>
                <w:p w14:paraId="1239CF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908" w:type="dxa"/>
                  <w:vMerge w:val="continue"/>
                  <w:vAlign w:val="center"/>
                </w:tcPr>
                <w:p w14:paraId="6E5ED4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c>
                <w:tcPr>
                  <w:tcW w:w="1027" w:type="dxa"/>
                  <w:vMerge w:val="continue"/>
                  <w:vAlign w:val="center"/>
                </w:tcPr>
                <w:p w14:paraId="3B9467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16"/>
                      <w:highlight w:val="none"/>
                      <w:vertAlign w:val="baseline"/>
                    </w:rPr>
                  </w:pPr>
                </w:p>
              </w:tc>
            </w:tr>
          </w:tbl>
          <w:p w14:paraId="62BD4721">
            <w:pPr>
              <w:keepNext w:val="0"/>
              <w:keepLines w:val="0"/>
              <w:pageBreakBefore w:val="0"/>
              <w:widowControl w:val="0"/>
              <w:suppressLineNumbers w:val="0"/>
              <w:kinsoku/>
              <w:wordWrap/>
              <w:overflowPunct/>
              <w:topLinePunct w:val="0"/>
              <w:autoSpaceDE/>
              <w:autoSpaceDN/>
              <w:bidi w:val="0"/>
              <w:adjustRightInd/>
              <w:snapToGrid/>
              <w:spacing w:before="157" w:beforeLines="50" w:beforeAutospacing="0" w:after="0" w:afterAutospacing="0" w:line="240" w:lineRule="auto"/>
              <w:ind w:left="0" w:right="0"/>
              <w:jc w:val="center"/>
              <w:textAlignment w:val="auto"/>
              <w:rPr>
                <w:rFonts w:hint="default" w:ascii="Times New Roman" w:hAnsi="Times New Roman" w:eastAsia="宋体" w:cs="Times New Roman"/>
                <w:b/>
                <w:bCs/>
                <w:color w:val="auto"/>
                <w:spacing w:val="0"/>
                <w:position w:val="0"/>
                <w:sz w:val="21"/>
                <w:szCs w:val="21"/>
                <w:u w:val="wave" w:color="auto"/>
                <w:lang w:val="en-US" w:eastAsia="zh-CN"/>
              </w:rPr>
            </w:pPr>
            <w:r>
              <w:rPr>
                <w:rFonts w:hint="default" w:ascii="Times New Roman" w:hAnsi="Times New Roman" w:eastAsia="宋体" w:cs="Times New Roman"/>
                <w:b/>
                <w:bCs/>
                <w:color w:val="auto"/>
                <w:spacing w:val="0"/>
                <w:position w:val="0"/>
                <w:sz w:val="21"/>
                <w:szCs w:val="21"/>
                <w:u w:val="none" w:color="auto"/>
                <w:lang w:val="en-US" w:eastAsia="zh-CN"/>
              </w:rPr>
              <w:t>表4-3项目有组织废气参数一览表</w:t>
            </w:r>
          </w:p>
          <w:tbl>
            <w:tblPr>
              <w:tblStyle w:val="2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108" w:type="dxa"/>
                <w:bottom w:w="0" w:type="dxa"/>
                <w:right w:w="108" w:type="dxa"/>
              </w:tblCellMar>
            </w:tblPr>
            <w:tblGrid>
              <w:gridCol w:w="483"/>
              <w:gridCol w:w="992"/>
              <w:gridCol w:w="1112"/>
              <w:gridCol w:w="935"/>
              <w:gridCol w:w="891"/>
              <w:gridCol w:w="1214"/>
              <w:gridCol w:w="968"/>
              <w:gridCol w:w="917"/>
              <w:gridCol w:w="989"/>
            </w:tblGrid>
            <w:tr w14:paraId="57DBC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trHeight w:val="23" w:hRule="atLeast"/>
              </w:trPr>
              <w:tc>
                <w:tcPr>
                  <w:tcW w:w="284" w:type="pct"/>
                  <w:vMerge w:val="restart"/>
                  <w:tcBorders>
                    <w:tl2br w:val="nil"/>
                    <w:tr2bl w:val="nil"/>
                  </w:tcBorders>
                  <w:shd w:val="clear" w:color="auto" w:fill="FFFFFF"/>
                  <w:noWrap w:val="0"/>
                  <w:vAlign w:val="center"/>
                </w:tcPr>
                <w:p w14:paraId="725741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default" w:ascii="Times New Roman" w:hAnsi="Times New Roman" w:eastAsia="宋体" w:cs="Times New Roman"/>
                      <w:b w:val="0"/>
                      <w:bCs/>
                      <w:color w:val="auto"/>
                      <w:sz w:val="18"/>
                      <w:szCs w:val="18"/>
                      <w:highlight w:val="none"/>
                      <w:u w:val="none" w:color="auto"/>
                    </w:rPr>
                    <w:t>编号</w:t>
                  </w:r>
                </w:p>
              </w:tc>
              <w:tc>
                <w:tcPr>
                  <w:tcW w:w="583" w:type="pct"/>
                  <w:vMerge w:val="restart"/>
                  <w:tcBorders>
                    <w:tl2br w:val="nil"/>
                    <w:tr2bl w:val="nil"/>
                  </w:tcBorders>
                  <w:shd w:val="clear" w:color="auto" w:fill="FFFFFF"/>
                  <w:noWrap w:val="0"/>
                  <w:vAlign w:val="center"/>
                </w:tcPr>
                <w:p w14:paraId="1CA1EA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default" w:ascii="Times New Roman" w:hAnsi="Times New Roman" w:eastAsia="宋体" w:cs="Times New Roman"/>
                      <w:b w:val="0"/>
                      <w:bCs/>
                      <w:color w:val="auto"/>
                      <w:sz w:val="18"/>
                      <w:szCs w:val="18"/>
                      <w:highlight w:val="none"/>
                      <w:u w:val="none" w:color="auto"/>
                    </w:rPr>
                    <w:t>污染物名称</w:t>
                  </w:r>
                </w:p>
              </w:tc>
              <w:tc>
                <w:tcPr>
                  <w:tcW w:w="654" w:type="pct"/>
                  <w:vMerge w:val="restart"/>
                  <w:tcBorders>
                    <w:tl2br w:val="nil"/>
                    <w:tr2bl w:val="nil"/>
                  </w:tcBorders>
                  <w:shd w:val="clear" w:color="auto" w:fill="FFFFFF"/>
                  <w:noWrap w:val="0"/>
                  <w:vAlign w:val="center"/>
                </w:tcPr>
                <w:p w14:paraId="3DB290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default" w:ascii="Times New Roman" w:hAnsi="Times New Roman" w:eastAsia="宋体" w:cs="Times New Roman"/>
                      <w:b w:val="0"/>
                      <w:bCs/>
                      <w:color w:val="auto"/>
                      <w:sz w:val="18"/>
                      <w:szCs w:val="18"/>
                      <w:highlight w:val="none"/>
                      <w:u w:val="none" w:color="auto"/>
                    </w:rPr>
                    <w:t>处理方式</w:t>
                  </w:r>
                </w:p>
              </w:tc>
              <w:tc>
                <w:tcPr>
                  <w:tcW w:w="2357" w:type="pct"/>
                  <w:gridSpan w:val="4"/>
                  <w:tcBorders>
                    <w:tl2br w:val="nil"/>
                    <w:tr2bl w:val="nil"/>
                  </w:tcBorders>
                  <w:shd w:val="clear" w:color="auto" w:fill="FFFFFF"/>
                  <w:noWrap w:val="0"/>
                  <w:vAlign w:val="center"/>
                </w:tcPr>
                <w:p w14:paraId="24546C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default" w:ascii="Times New Roman" w:hAnsi="Times New Roman" w:eastAsia="宋体" w:cs="Times New Roman"/>
                      <w:b w:val="0"/>
                      <w:bCs/>
                      <w:color w:val="auto"/>
                      <w:sz w:val="18"/>
                      <w:szCs w:val="18"/>
                      <w:highlight w:val="none"/>
                      <w:u w:val="none" w:color="auto"/>
                    </w:rPr>
                    <w:t>排放参数</w:t>
                  </w:r>
                </w:p>
              </w:tc>
              <w:tc>
                <w:tcPr>
                  <w:tcW w:w="539" w:type="pct"/>
                  <w:vMerge w:val="restart"/>
                  <w:tcBorders>
                    <w:tl2br w:val="nil"/>
                    <w:tr2bl w:val="nil"/>
                  </w:tcBorders>
                  <w:shd w:val="clear" w:color="auto" w:fill="FFFFFF"/>
                  <w:noWrap w:val="0"/>
                  <w:vAlign w:val="center"/>
                </w:tcPr>
                <w:p w14:paraId="522959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lang w:val="en-US" w:eastAsia="zh-CN"/>
                    </w:rPr>
                  </w:pPr>
                  <w:r>
                    <w:rPr>
                      <w:rFonts w:hint="default" w:ascii="Times New Roman" w:hAnsi="Times New Roman" w:eastAsia="宋体" w:cs="Times New Roman"/>
                      <w:b w:val="0"/>
                      <w:bCs/>
                      <w:color w:val="auto"/>
                      <w:sz w:val="18"/>
                      <w:szCs w:val="18"/>
                      <w:highlight w:val="none"/>
                      <w:u w:val="none" w:color="auto"/>
                      <w:lang w:val="en-US" w:eastAsia="zh-CN"/>
                    </w:rPr>
                    <w:t>工作时间（h）</w:t>
                  </w:r>
                </w:p>
              </w:tc>
              <w:tc>
                <w:tcPr>
                  <w:tcW w:w="581" w:type="pct"/>
                  <w:vMerge w:val="restart"/>
                  <w:tcBorders>
                    <w:tl2br w:val="nil"/>
                    <w:tr2bl w:val="nil"/>
                  </w:tcBorders>
                  <w:shd w:val="clear" w:color="auto" w:fill="FFFFFF"/>
                  <w:noWrap w:val="0"/>
                  <w:vAlign w:val="center"/>
                </w:tcPr>
                <w:p w14:paraId="1E97E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lang w:val="en-US" w:eastAsia="zh-CN"/>
                    </w:rPr>
                  </w:pPr>
                  <w:r>
                    <w:rPr>
                      <w:rFonts w:hint="default" w:ascii="Times New Roman" w:hAnsi="Times New Roman" w:eastAsia="宋体" w:cs="Times New Roman"/>
                      <w:b w:val="0"/>
                      <w:bCs/>
                      <w:color w:val="auto"/>
                      <w:sz w:val="18"/>
                      <w:szCs w:val="18"/>
                      <w:highlight w:val="none"/>
                      <w:u w:val="none" w:color="auto"/>
                      <w:lang w:val="en-US" w:eastAsia="zh-CN"/>
                    </w:rPr>
                    <w:t>排气筒编号</w:t>
                  </w:r>
                </w:p>
              </w:tc>
            </w:tr>
            <w:tr w14:paraId="6AB56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3" w:hRule="atLeast"/>
              </w:trPr>
              <w:tc>
                <w:tcPr>
                  <w:tcW w:w="284" w:type="pct"/>
                  <w:vMerge w:val="continue"/>
                  <w:tcBorders>
                    <w:tl2br w:val="nil"/>
                    <w:tr2bl w:val="nil"/>
                  </w:tcBorders>
                  <w:shd w:val="clear" w:color="auto" w:fill="FFFFFF"/>
                  <w:noWrap w:val="0"/>
                  <w:vAlign w:val="center"/>
                </w:tcPr>
                <w:p w14:paraId="65089D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p>
              </w:tc>
              <w:tc>
                <w:tcPr>
                  <w:tcW w:w="583" w:type="pct"/>
                  <w:vMerge w:val="continue"/>
                  <w:tcBorders>
                    <w:tl2br w:val="nil"/>
                    <w:tr2bl w:val="nil"/>
                  </w:tcBorders>
                  <w:shd w:val="clear" w:color="auto" w:fill="FFFFFF"/>
                  <w:noWrap w:val="0"/>
                  <w:vAlign w:val="center"/>
                </w:tcPr>
                <w:p w14:paraId="46B19D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p>
              </w:tc>
              <w:tc>
                <w:tcPr>
                  <w:tcW w:w="654" w:type="pct"/>
                  <w:vMerge w:val="continue"/>
                  <w:tcBorders>
                    <w:tl2br w:val="nil"/>
                    <w:tr2bl w:val="nil"/>
                  </w:tcBorders>
                  <w:shd w:val="clear" w:color="auto" w:fill="FFFFFF"/>
                  <w:noWrap w:val="0"/>
                  <w:vAlign w:val="center"/>
                </w:tcPr>
                <w:p w14:paraId="74D06D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p>
              </w:tc>
              <w:tc>
                <w:tcPr>
                  <w:tcW w:w="550" w:type="pct"/>
                  <w:tcBorders>
                    <w:tl2br w:val="nil"/>
                    <w:tr2bl w:val="nil"/>
                  </w:tcBorders>
                  <w:shd w:val="clear" w:color="auto" w:fill="FFFFFF"/>
                  <w:noWrap w:val="0"/>
                  <w:vAlign w:val="center"/>
                </w:tcPr>
                <w:p w14:paraId="0F6FE2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default" w:ascii="Times New Roman" w:hAnsi="Times New Roman" w:eastAsia="宋体" w:cs="Times New Roman"/>
                      <w:b w:val="0"/>
                      <w:bCs/>
                      <w:color w:val="auto"/>
                      <w:sz w:val="18"/>
                      <w:szCs w:val="18"/>
                      <w:highlight w:val="none"/>
                      <w:u w:val="none" w:color="auto"/>
                    </w:rPr>
                    <w:t>高度（m）</w:t>
                  </w:r>
                </w:p>
              </w:tc>
              <w:tc>
                <w:tcPr>
                  <w:tcW w:w="524" w:type="pct"/>
                  <w:tcBorders>
                    <w:tl2br w:val="nil"/>
                    <w:tr2bl w:val="nil"/>
                  </w:tcBorders>
                  <w:shd w:val="clear" w:color="auto" w:fill="FFFFFF"/>
                  <w:noWrap w:val="0"/>
                  <w:vAlign w:val="center"/>
                </w:tcPr>
                <w:p w14:paraId="5DA70B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default" w:ascii="Times New Roman" w:hAnsi="Times New Roman" w:eastAsia="宋体" w:cs="Times New Roman"/>
                      <w:b w:val="0"/>
                      <w:bCs/>
                      <w:color w:val="auto"/>
                      <w:sz w:val="18"/>
                      <w:szCs w:val="18"/>
                      <w:highlight w:val="none"/>
                      <w:u w:val="none" w:color="auto"/>
                    </w:rPr>
                    <w:t>内径（m）</w:t>
                  </w:r>
                </w:p>
              </w:tc>
              <w:tc>
                <w:tcPr>
                  <w:tcW w:w="714" w:type="pct"/>
                  <w:tcBorders>
                    <w:tl2br w:val="nil"/>
                    <w:tr2bl w:val="nil"/>
                  </w:tcBorders>
                  <w:shd w:val="clear" w:color="auto" w:fill="FFFFFF"/>
                  <w:noWrap w:val="0"/>
                  <w:vAlign w:val="center"/>
                </w:tcPr>
                <w:p w14:paraId="342588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eastAsia" w:cs="Times New Roman"/>
                      <w:b w:val="0"/>
                      <w:bCs/>
                      <w:color w:val="auto"/>
                      <w:sz w:val="18"/>
                      <w:szCs w:val="18"/>
                      <w:highlight w:val="none"/>
                      <w:u w:val="none" w:color="auto"/>
                      <w:lang w:val="en-US" w:eastAsia="zh-CN"/>
                    </w:rPr>
                    <w:t>烟气量</w:t>
                  </w:r>
                  <w:r>
                    <w:rPr>
                      <w:rFonts w:hint="default" w:ascii="Times New Roman" w:hAnsi="Times New Roman" w:eastAsia="宋体" w:cs="Times New Roman"/>
                      <w:b w:val="0"/>
                      <w:bCs/>
                      <w:color w:val="auto"/>
                      <w:sz w:val="18"/>
                      <w:szCs w:val="18"/>
                      <w:highlight w:val="none"/>
                      <w:u w:val="none" w:color="auto"/>
                    </w:rPr>
                    <w:t>（m</w:t>
                  </w:r>
                  <w:r>
                    <w:rPr>
                      <w:rFonts w:hint="default" w:ascii="Times New Roman" w:hAnsi="Times New Roman" w:eastAsia="宋体" w:cs="Times New Roman"/>
                      <w:b w:val="0"/>
                      <w:bCs/>
                      <w:color w:val="auto"/>
                      <w:sz w:val="18"/>
                      <w:szCs w:val="18"/>
                      <w:highlight w:val="none"/>
                      <w:u w:val="none" w:color="auto"/>
                      <w:vertAlign w:val="superscript"/>
                    </w:rPr>
                    <w:t>3</w:t>
                  </w:r>
                  <w:r>
                    <w:rPr>
                      <w:rFonts w:hint="default" w:ascii="Times New Roman" w:hAnsi="Times New Roman" w:eastAsia="宋体" w:cs="Times New Roman"/>
                      <w:b w:val="0"/>
                      <w:bCs/>
                      <w:color w:val="auto"/>
                      <w:sz w:val="18"/>
                      <w:szCs w:val="18"/>
                      <w:highlight w:val="none"/>
                      <w:u w:val="none" w:color="auto"/>
                    </w:rPr>
                    <w:t>/h）</w:t>
                  </w:r>
                </w:p>
              </w:tc>
              <w:tc>
                <w:tcPr>
                  <w:tcW w:w="568" w:type="pct"/>
                  <w:tcBorders>
                    <w:tl2br w:val="nil"/>
                    <w:tr2bl w:val="nil"/>
                  </w:tcBorders>
                  <w:shd w:val="clear" w:color="auto" w:fill="FFFFFF"/>
                  <w:noWrap w:val="0"/>
                  <w:vAlign w:val="center"/>
                </w:tcPr>
                <w:p w14:paraId="2E8DDD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default" w:ascii="Times New Roman" w:hAnsi="Times New Roman" w:eastAsia="宋体" w:cs="Times New Roman"/>
                      <w:b w:val="0"/>
                      <w:bCs/>
                      <w:color w:val="auto"/>
                      <w:sz w:val="18"/>
                      <w:szCs w:val="18"/>
                      <w:highlight w:val="none"/>
                      <w:u w:val="none" w:color="auto"/>
                    </w:rPr>
                    <w:t>排放温度（℃）</w:t>
                  </w:r>
                </w:p>
              </w:tc>
              <w:tc>
                <w:tcPr>
                  <w:tcW w:w="539" w:type="pct"/>
                  <w:vMerge w:val="continue"/>
                  <w:tcBorders>
                    <w:tl2br w:val="nil"/>
                    <w:tr2bl w:val="nil"/>
                  </w:tcBorders>
                  <w:shd w:val="clear" w:color="auto" w:fill="FFFFFF"/>
                  <w:noWrap w:val="0"/>
                  <w:vAlign w:val="center"/>
                </w:tcPr>
                <w:p w14:paraId="177FB7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p>
              </w:tc>
              <w:tc>
                <w:tcPr>
                  <w:tcW w:w="581" w:type="pct"/>
                  <w:vMerge w:val="continue"/>
                  <w:tcBorders>
                    <w:tl2br w:val="nil"/>
                    <w:tr2bl w:val="nil"/>
                  </w:tcBorders>
                  <w:shd w:val="clear" w:color="auto" w:fill="FFFFFF"/>
                  <w:noWrap w:val="0"/>
                  <w:vAlign w:val="center"/>
                </w:tcPr>
                <w:p w14:paraId="28775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p>
              </w:tc>
            </w:tr>
            <w:tr w14:paraId="239C0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930" w:hRule="atLeast"/>
              </w:trPr>
              <w:tc>
                <w:tcPr>
                  <w:tcW w:w="284" w:type="pct"/>
                  <w:tcBorders>
                    <w:tl2br w:val="nil"/>
                    <w:tr2bl w:val="nil"/>
                  </w:tcBorders>
                  <w:shd w:val="clear" w:color="auto" w:fill="FFFFFF"/>
                  <w:noWrap w:val="0"/>
                  <w:vAlign w:val="center"/>
                </w:tcPr>
                <w:p w14:paraId="0945BA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lang w:val="en-US" w:eastAsia="zh-CN"/>
                    </w:rPr>
                  </w:pPr>
                  <w:r>
                    <w:rPr>
                      <w:rFonts w:hint="default" w:ascii="Times New Roman" w:hAnsi="Times New Roman" w:eastAsia="宋体" w:cs="Times New Roman"/>
                      <w:b w:val="0"/>
                      <w:bCs/>
                      <w:color w:val="auto"/>
                      <w:sz w:val="18"/>
                      <w:szCs w:val="18"/>
                      <w:highlight w:val="none"/>
                      <w:u w:val="none" w:color="auto"/>
                      <w:lang w:val="en-US" w:eastAsia="zh-CN"/>
                    </w:rPr>
                    <w:t>1</w:t>
                  </w:r>
                </w:p>
              </w:tc>
              <w:tc>
                <w:tcPr>
                  <w:tcW w:w="583" w:type="pct"/>
                  <w:tcBorders>
                    <w:tl2br w:val="nil"/>
                    <w:tr2bl w:val="nil"/>
                  </w:tcBorders>
                  <w:shd w:val="clear" w:color="auto" w:fill="FFFFFF"/>
                  <w:noWrap w:val="0"/>
                  <w:vAlign w:val="center"/>
                </w:tcPr>
                <w:p w14:paraId="5A957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lang w:val="en-US" w:eastAsia="zh-CN"/>
                    </w:rPr>
                  </w:pPr>
                  <w:r>
                    <w:rPr>
                      <w:rFonts w:hint="eastAsia" w:ascii="Times New Roman" w:hAnsi="Times New Roman" w:eastAsia="宋体" w:cs="Times New Roman"/>
                      <w:b w:val="0"/>
                      <w:bCs/>
                      <w:color w:val="auto"/>
                      <w:sz w:val="18"/>
                      <w:szCs w:val="18"/>
                      <w:highlight w:val="none"/>
                      <w:u w:val="none" w:color="auto"/>
                      <w:lang w:val="en-US" w:eastAsia="zh-CN"/>
                    </w:rPr>
                    <w:t>颗粒物、SO</w:t>
                  </w:r>
                  <w:r>
                    <w:rPr>
                      <w:rFonts w:hint="eastAsia" w:ascii="Times New Roman" w:hAnsi="Times New Roman" w:eastAsia="宋体" w:cs="Times New Roman"/>
                      <w:b w:val="0"/>
                      <w:bCs/>
                      <w:color w:val="auto"/>
                      <w:sz w:val="18"/>
                      <w:szCs w:val="18"/>
                      <w:highlight w:val="none"/>
                      <w:u w:val="none" w:color="auto"/>
                      <w:vertAlign w:val="subscript"/>
                      <w:lang w:val="en-US" w:eastAsia="zh-CN"/>
                    </w:rPr>
                    <w:t>2</w:t>
                  </w:r>
                  <w:r>
                    <w:rPr>
                      <w:rFonts w:hint="eastAsia" w:ascii="Times New Roman" w:hAnsi="Times New Roman" w:eastAsia="宋体" w:cs="Times New Roman"/>
                      <w:b w:val="0"/>
                      <w:bCs/>
                      <w:color w:val="auto"/>
                      <w:sz w:val="18"/>
                      <w:szCs w:val="18"/>
                      <w:highlight w:val="none"/>
                      <w:u w:val="none" w:color="auto"/>
                      <w:lang w:val="en-US" w:eastAsia="zh-CN"/>
                    </w:rPr>
                    <w:t>、NOx</w:t>
                  </w:r>
                </w:p>
              </w:tc>
              <w:tc>
                <w:tcPr>
                  <w:tcW w:w="654" w:type="pct"/>
                  <w:tcBorders>
                    <w:tl2br w:val="nil"/>
                    <w:tr2bl w:val="nil"/>
                  </w:tcBorders>
                  <w:shd w:val="clear" w:color="auto" w:fill="FFFFFF"/>
                  <w:noWrap w:val="0"/>
                  <w:vAlign w:val="center"/>
                </w:tcPr>
                <w:p w14:paraId="68A0A7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eastAsia" w:ascii="Times New Roman" w:hAnsi="Times New Roman" w:eastAsia="宋体" w:cs="Times New Roman"/>
                      <w:color w:val="auto"/>
                      <w:kern w:val="0"/>
                      <w:sz w:val="21"/>
                      <w:szCs w:val="16"/>
                      <w:highlight w:val="none"/>
                      <w:vertAlign w:val="baseline"/>
                      <w:lang w:val="en-US" w:eastAsia="zh-CN"/>
                    </w:rPr>
                    <w:t>旋风+布袋除尘</w:t>
                  </w:r>
                </w:p>
              </w:tc>
              <w:tc>
                <w:tcPr>
                  <w:tcW w:w="550" w:type="pct"/>
                  <w:tcBorders>
                    <w:tl2br w:val="nil"/>
                    <w:tr2bl w:val="nil"/>
                  </w:tcBorders>
                  <w:shd w:val="clear" w:color="auto" w:fill="FFFFFF"/>
                  <w:noWrap w:val="0"/>
                  <w:vAlign w:val="center"/>
                </w:tcPr>
                <w:p w14:paraId="6F7FB8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lang w:val="en-US"/>
                    </w:rPr>
                  </w:pPr>
                  <w:r>
                    <w:rPr>
                      <w:rFonts w:hint="eastAsia" w:ascii="Times New Roman" w:hAnsi="Times New Roman" w:eastAsia="宋体" w:cs="Times New Roman"/>
                      <w:b w:val="0"/>
                      <w:bCs/>
                      <w:color w:val="auto"/>
                      <w:sz w:val="18"/>
                      <w:szCs w:val="18"/>
                      <w:highlight w:val="none"/>
                      <w:u w:val="none" w:color="auto"/>
                      <w:lang w:val="en-US" w:eastAsia="zh-CN"/>
                    </w:rPr>
                    <w:t>30</w:t>
                  </w:r>
                </w:p>
              </w:tc>
              <w:tc>
                <w:tcPr>
                  <w:tcW w:w="524" w:type="pct"/>
                  <w:tcBorders>
                    <w:tl2br w:val="nil"/>
                    <w:tr2bl w:val="nil"/>
                  </w:tcBorders>
                  <w:shd w:val="clear" w:color="auto" w:fill="FFFFFF"/>
                  <w:noWrap w:val="0"/>
                  <w:vAlign w:val="center"/>
                </w:tcPr>
                <w:p w14:paraId="728FE9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lang w:val="en-US" w:eastAsia="zh-CN"/>
                    </w:rPr>
                  </w:pPr>
                  <w:r>
                    <w:rPr>
                      <w:rFonts w:hint="eastAsia" w:ascii="Times New Roman" w:hAnsi="Times New Roman" w:eastAsia="宋体" w:cs="Times New Roman"/>
                      <w:b w:val="0"/>
                      <w:bCs/>
                      <w:color w:val="auto"/>
                      <w:sz w:val="18"/>
                      <w:szCs w:val="18"/>
                      <w:highlight w:val="none"/>
                      <w:u w:val="none" w:color="auto"/>
                      <w:lang w:val="en-US" w:eastAsia="zh-CN"/>
                    </w:rPr>
                    <w:t>0.</w:t>
                  </w:r>
                  <w:r>
                    <w:rPr>
                      <w:rFonts w:hint="eastAsia" w:cs="Times New Roman"/>
                      <w:b w:val="0"/>
                      <w:bCs/>
                      <w:color w:val="auto"/>
                      <w:sz w:val="18"/>
                      <w:szCs w:val="18"/>
                      <w:highlight w:val="none"/>
                      <w:u w:val="none" w:color="auto"/>
                      <w:lang w:val="en-US" w:eastAsia="zh-CN"/>
                    </w:rPr>
                    <w:t>4</w:t>
                  </w:r>
                </w:p>
              </w:tc>
              <w:tc>
                <w:tcPr>
                  <w:tcW w:w="714" w:type="pct"/>
                  <w:tcBorders>
                    <w:tl2br w:val="nil"/>
                    <w:tr2bl w:val="nil"/>
                  </w:tcBorders>
                  <w:shd w:val="clear" w:color="auto" w:fill="FFFFFF"/>
                  <w:noWrap w:val="0"/>
                  <w:vAlign w:val="center"/>
                </w:tcPr>
                <w:p w14:paraId="18CE8E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lang w:val="en-US"/>
                    </w:rPr>
                  </w:pPr>
                  <w:r>
                    <w:rPr>
                      <w:rFonts w:hint="eastAsia" w:cs="Times New Roman"/>
                      <w:b w:val="0"/>
                      <w:bCs/>
                      <w:color w:val="auto"/>
                      <w:sz w:val="18"/>
                      <w:szCs w:val="18"/>
                      <w:highlight w:val="none"/>
                      <w:u w:val="none" w:color="auto"/>
                      <w:lang w:val="en-US" w:eastAsia="zh-CN"/>
                    </w:rPr>
                    <w:t>3120</w:t>
                  </w:r>
                </w:p>
              </w:tc>
              <w:tc>
                <w:tcPr>
                  <w:tcW w:w="568" w:type="pct"/>
                  <w:tcBorders>
                    <w:tl2br w:val="nil"/>
                    <w:tr2bl w:val="nil"/>
                  </w:tcBorders>
                  <w:shd w:val="clear" w:color="auto" w:fill="FFFFFF"/>
                  <w:noWrap w:val="0"/>
                  <w:vAlign w:val="center"/>
                </w:tcPr>
                <w:p w14:paraId="4B5E8C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lang w:val="en-US"/>
                    </w:rPr>
                  </w:pPr>
                  <w:r>
                    <w:rPr>
                      <w:rFonts w:hint="eastAsia" w:ascii="Times New Roman" w:hAnsi="Times New Roman" w:eastAsia="宋体" w:cs="Times New Roman"/>
                      <w:b w:val="0"/>
                      <w:bCs/>
                      <w:color w:val="auto"/>
                      <w:sz w:val="18"/>
                      <w:szCs w:val="18"/>
                      <w:highlight w:val="none"/>
                      <w:u w:val="none" w:color="auto"/>
                      <w:lang w:val="en-US" w:eastAsia="zh-CN"/>
                    </w:rPr>
                    <w:t>40</w:t>
                  </w:r>
                </w:p>
              </w:tc>
              <w:tc>
                <w:tcPr>
                  <w:tcW w:w="539" w:type="pct"/>
                  <w:tcBorders>
                    <w:tl2br w:val="nil"/>
                    <w:tr2bl w:val="nil"/>
                  </w:tcBorders>
                  <w:shd w:val="clear" w:color="auto" w:fill="FFFFFF"/>
                  <w:noWrap w:val="0"/>
                  <w:vAlign w:val="center"/>
                </w:tcPr>
                <w:p w14:paraId="494B38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lang w:val="en-US" w:eastAsia="zh-CN"/>
                    </w:rPr>
                  </w:pPr>
                  <w:r>
                    <w:rPr>
                      <w:rFonts w:hint="eastAsia" w:cs="Times New Roman"/>
                      <w:b w:val="0"/>
                      <w:bCs/>
                      <w:color w:val="auto"/>
                      <w:sz w:val="18"/>
                      <w:szCs w:val="18"/>
                      <w:highlight w:val="none"/>
                      <w:u w:val="none" w:color="auto"/>
                      <w:lang w:val="en-US" w:eastAsia="zh-CN"/>
                    </w:rPr>
                    <w:t>320</w:t>
                  </w:r>
                </w:p>
              </w:tc>
              <w:tc>
                <w:tcPr>
                  <w:tcW w:w="581" w:type="pct"/>
                  <w:tcBorders>
                    <w:tl2br w:val="nil"/>
                    <w:tr2bl w:val="nil"/>
                  </w:tcBorders>
                  <w:shd w:val="clear" w:color="auto" w:fill="FFFFFF"/>
                  <w:noWrap w:val="0"/>
                  <w:vAlign w:val="center"/>
                </w:tcPr>
                <w:p w14:paraId="72B652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outlineLvl w:val="9"/>
                    <w:rPr>
                      <w:rFonts w:hint="default" w:ascii="Times New Roman" w:hAnsi="Times New Roman" w:eastAsia="宋体" w:cs="Times New Roman"/>
                      <w:b w:val="0"/>
                      <w:bCs/>
                      <w:color w:val="auto"/>
                      <w:sz w:val="18"/>
                      <w:szCs w:val="18"/>
                      <w:highlight w:val="none"/>
                      <w:u w:val="none" w:color="auto"/>
                    </w:rPr>
                  </w:pPr>
                  <w:r>
                    <w:rPr>
                      <w:rFonts w:hint="default" w:ascii="Times New Roman" w:hAnsi="Times New Roman" w:eastAsia="宋体" w:cs="Times New Roman"/>
                      <w:b w:val="0"/>
                      <w:bCs/>
                      <w:color w:val="auto"/>
                      <w:sz w:val="18"/>
                      <w:szCs w:val="18"/>
                      <w:highlight w:val="none"/>
                      <w:u w:val="none" w:color="auto"/>
                      <w:lang w:val="en-US" w:eastAsia="zh-CN"/>
                    </w:rPr>
                    <w:t>DA001</w:t>
                  </w:r>
                </w:p>
              </w:tc>
            </w:tr>
          </w:tbl>
          <w:p w14:paraId="369880FD">
            <w:pPr>
              <w:keepNext w:val="0"/>
              <w:keepLines w:val="0"/>
              <w:pageBreakBefore w:val="0"/>
              <w:widowControl w:val="0"/>
              <w:suppressLineNumbers w:val="0"/>
              <w:kinsoku/>
              <w:wordWrap/>
              <w:overflowPunct/>
              <w:topLinePunct w:val="0"/>
              <w:autoSpaceDE/>
              <w:autoSpaceDN/>
              <w:bidi w:val="0"/>
              <w:adjustRightInd/>
              <w:snapToGrid/>
              <w:spacing w:before="157" w:beforeLines="50" w:beforeAutospacing="0" w:after="0" w:afterAutospacing="0" w:line="240" w:lineRule="auto"/>
              <w:ind w:left="0" w:right="0"/>
              <w:jc w:val="center"/>
              <w:textAlignment w:val="auto"/>
              <w:rPr>
                <w:rFonts w:hint="default" w:ascii="Times New Roman" w:hAnsi="Times New Roman" w:eastAsia="宋体" w:cs="Times New Roman"/>
                <w:b/>
                <w:bCs/>
                <w:color w:val="auto"/>
                <w:spacing w:val="0"/>
                <w:position w:val="0"/>
                <w:sz w:val="21"/>
                <w:szCs w:val="21"/>
                <w:u w:val="none" w:color="auto"/>
                <w:lang w:val="en-US" w:eastAsia="zh-CN"/>
              </w:rPr>
            </w:pPr>
            <w:r>
              <w:rPr>
                <w:rFonts w:hint="default" w:ascii="Times New Roman" w:hAnsi="Times New Roman" w:eastAsia="宋体" w:cs="Times New Roman"/>
                <w:b/>
                <w:bCs/>
                <w:color w:val="auto"/>
                <w:spacing w:val="0"/>
                <w:position w:val="0"/>
                <w:sz w:val="21"/>
                <w:szCs w:val="21"/>
                <w:u w:val="none" w:color="auto"/>
                <w:lang w:val="en-US" w:eastAsia="zh-CN"/>
              </w:rPr>
              <w:t>表4-</w:t>
            </w:r>
            <w:r>
              <w:rPr>
                <w:rFonts w:hint="eastAsia" w:ascii="Times New Roman" w:hAnsi="Times New Roman" w:eastAsia="宋体" w:cs="Times New Roman"/>
                <w:b/>
                <w:bCs/>
                <w:color w:val="auto"/>
                <w:spacing w:val="0"/>
                <w:position w:val="0"/>
                <w:sz w:val="21"/>
                <w:szCs w:val="21"/>
                <w:u w:val="none" w:color="auto"/>
                <w:lang w:val="en-US" w:eastAsia="zh-CN"/>
              </w:rPr>
              <w:t>4</w:t>
            </w:r>
            <w:r>
              <w:rPr>
                <w:rFonts w:hint="default" w:ascii="Times New Roman" w:hAnsi="Times New Roman" w:eastAsia="宋体" w:cs="Times New Roman"/>
                <w:b/>
                <w:bCs/>
                <w:color w:val="auto"/>
                <w:spacing w:val="0"/>
                <w:position w:val="0"/>
                <w:sz w:val="21"/>
                <w:szCs w:val="21"/>
                <w:u w:val="none" w:color="auto"/>
                <w:lang w:val="en-US" w:eastAsia="zh-CN"/>
              </w:rPr>
              <w:t xml:space="preserve">   大气污染物有组织排放量核算表</w:t>
            </w:r>
          </w:p>
          <w:tbl>
            <w:tblPr>
              <w:tblStyle w:val="28"/>
              <w:tblW w:w="4995"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07"/>
              <w:gridCol w:w="1270"/>
              <w:gridCol w:w="1824"/>
              <w:gridCol w:w="1413"/>
              <w:gridCol w:w="1432"/>
              <w:gridCol w:w="1445"/>
            </w:tblGrid>
            <w:tr w14:paraId="7B1B952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52" w:type="pct"/>
                  <w:tcBorders>
                    <w:top w:val="single" w:color="auto" w:sz="6" w:space="0"/>
                    <w:left w:val="single" w:color="auto" w:sz="6" w:space="0"/>
                    <w:bottom w:val="single" w:color="auto" w:sz="6" w:space="0"/>
                    <w:right w:val="single" w:color="auto" w:sz="6" w:space="0"/>
                  </w:tcBorders>
                  <w:vAlign w:val="center"/>
                </w:tcPr>
                <w:p w14:paraId="63E2A773">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序号</w:t>
                  </w:r>
                </w:p>
              </w:tc>
              <w:tc>
                <w:tcPr>
                  <w:tcW w:w="748" w:type="pct"/>
                  <w:tcBorders>
                    <w:top w:val="single" w:color="auto" w:sz="6" w:space="0"/>
                    <w:left w:val="single" w:color="auto" w:sz="6" w:space="0"/>
                    <w:bottom w:val="single" w:color="auto" w:sz="6" w:space="0"/>
                    <w:right w:val="single" w:color="auto" w:sz="6" w:space="0"/>
                  </w:tcBorders>
                  <w:vAlign w:val="center"/>
                </w:tcPr>
                <w:p w14:paraId="47EE34FD">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排放口编号</w:t>
                  </w:r>
                </w:p>
              </w:tc>
              <w:tc>
                <w:tcPr>
                  <w:tcW w:w="1074" w:type="pct"/>
                  <w:tcBorders>
                    <w:top w:val="single" w:color="auto" w:sz="6" w:space="0"/>
                    <w:left w:val="single" w:color="auto" w:sz="6" w:space="0"/>
                    <w:bottom w:val="single" w:color="auto" w:sz="6" w:space="0"/>
                    <w:right w:val="single" w:color="auto" w:sz="6" w:space="0"/>
                  </w:tcBorders>
                  <w:vAlign w:val="center"/>
                </w:tcPr>
                <w:p w14:paraId="779320B0">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污染物</w:t>
                  </w:r>
                </w:p>
              </w:tc>
              <w:tc>
                <w:tcPr>
                  <w:tcW w:w="832" w:type="pct"/>
                  <w:tcBorders>
                    <w:top w:val="single" w:color="auto" w:sz="6" w:space="0"/>
                    <w:left w:val="single" w:color="auto" w:sz="6" w:space="0"/>
                    <w:bottom w:val="single" w:color="auto" w:sz="6" w:space="0"/>
                    <w:right w:val="single" w:color="auto" w:sz="6" w:space="0"/>
                  </w:tcBorders>
                  <w:vAlign w:val="center"/>
                </w:tcPr>
                <w:p w14:paraId="0193C9AE">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核算排放浓度mg/m</w:t>
                  </w:r>
                  <w:r>
                    <w:rPr>
                      <w:rFonts w:hint="default" w:ascii="Times New Roman" w:hAnsi="Times New Roman" w:eastAsia="宋体" w:cs="Times New Roman"/>
                      <w:b w:val="0"/>
                      <w:bCs w:val="0"/>
                      <w:color w:val="auto"/>
                      <w:sz w:val="21"/>
                      <w:szCs w:val="21"/>
                      <w:highlight w:val="none"/>
                      <w:vertAlign w:val="superscript"/>
                    </w:rPr>
                    <w:t>3</w:t>
                  </w:r>
                </w:p>
              </w:tc>
              <w:tc>
                <w:tcPr>
                  <w:tcW w:w="842" w:type="pct"/>
                  <w:tcBorders>
                    <w:top w:val="single" w:color="auto" w:sz="6" w:space="0"/>
                    <w:left w:val="single" w:color="auto" w:sz="6" w:space="0"/>
                    <w:bottom w:val="single" w:color="auto" w:sz="6" w:space="0"/>
                    <w:right w:val="single" w:color="auto" w:sz="6" w:space="0"/>
                  </w:tcBorders>
                  <w:vAlign w:val="center"/>
                </w:tcPr>
                <w:p w14:paraId="1B361151">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核算排放速率kg/h</w:t>
                  </w:r>
                </w:p>
              </w:tc>
              <w:tc>
                <w:tcPr>
                  <w:tcW w:w="849" w:type="pct"/>
                  <w:tcBorders>
                    <w:top w:val="single" w:color="auto" w:sz="6" w:space="0"/>
                    <w:left w:val="single" w:color="auto" w:sz="6" w:space="0"/>
                    <w:bottom w:val="single" w:color="auto" w:sz="6" w:space="0"/>
                    <w:right w:val="single" w:color="auto" w:sz="6" w:space="0"/>
                  </w:tcBorders>
                  <w:vAlign w:val="center"/>
                </w:tcPr>
                <w:p w14:paraId="5D2B9278">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核算年排放量t/a</w:t>
                  </w:r>
                </w:p>
              </w:tc>
            </w:tr>
            <w:tr w14:paraId="6BC72E3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000" w:type="pct"/>
                  <w:gridSpan w:val="6"/>
                  <w:tcBorders>
                    <w:top w:val="single" w:color="auto" w:sz="6" w:space="0"/>
                    <w:left w:val="single" w:color="auto" w:sz="6" w:space="0"/>
                    <w:bottom w:val="single" w:color="auto" w:sz="6" w:space="0"/>
                    <w:right w:val="single" w:color="auto" w:sz="6" w:space="0"/>
                  </w:tcBorders>
                  <w:vAlign w:val="center"/>
                </w:tcPr>
                <w:p w14:paraId="61C5090C">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一般排放口</w:t>
                  </w:r>
                </w:p>
              </w:tc>
            </w:tr>
            <w:tr w14:paraId="4EA14AD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52" w:type="pct"/>
                  <w:tcBorders>
                    <w:top w:val="single" w:color="auto" w:sz="6" w:space="0"/>
                    <w:left w:val="single" w:color="auto" w:sz="6" w:space="0"/>
                    <w:bottom w:val="single" w:color="auto" w:sz="6" w:space="0"/>
                    <w:right w:val="single" w:color="auto" w:sz="6" w:space="0"/>
                  </w:tcBorders>
                  <w:vAlign w:val="center"/>
                </w:tcPr>
                <w:p w14:paraId="4972BB75">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748" w:type="pct"/>
                  <w:vMerge w:val="restart"/>
                  <w:tcBorders>
                    <w:top w:val="single" w:color="auto" w:sz="6" w:space="0"/>
                    <w:left w:val="single" w:color="auto" w:sz="6" w:space="0"/>
                    <w:bottom w:val="single" w:color="auto" w:sz="6" w:space="0"/>
                    <w:right w:val="single" w:color="auto" w:sz="6" w:space="0"/>
                  </w:tcBorders>
                  <w:vAlign w:val="center"/>
                </w:tcPr>
                <w:p w14:paraId="2036CC93">
                  <w:pPr>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DA001</w:t>
                  </w:r>
                </w:p>
              </w:tc>
              <w:tc>
                <w:tcPr>
                  <w:tcW w:w="1074" w:type="pct"/>
                  <w:tcBorders>
                    <w:top w:val="single" w:color="auto" w:sz="6" w:space="0"/>
                    <w:left w:val="single" w:color="auto" w:sz="6" w:space="0"/>
                    <w:bottom w:val="single" w:color="auto" w:sz="6" w:space="0"/>
                    <w:right w:val="single" w:color="auto" w:sz="6" w:space="0"/>
                  </w:tcBorders>
                  <w:vAlign w:val="center"/>
                </w:tcPr>
                <w:p w14:paraId="297287AA">
                  <w:pPr>
                    <w:pStyle w:val="42"/>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颗粒物</w:t>
                  </w:r>
                </w:p>
              </w:tc>
              <w:tc>
                <w:tcPr>
                  <w:tcW w:w="832" w:type="pct"/>
                  <w:tcBorders>
                    <w:top w:val="single" w:color="auto" w:sz="6" w:space="0"/>
                    <w:left w:val="single" w:color="auto" w:sz="6" w:space="0"/>
                    <w:bottom w:val="single" w:color="auto" w:sz="6" w:space="0"/>
                    <w:right w:val="single" w:color="auto" w:sz="6" w:space="0"/>
                  </w:tcBorders>
                  <w:vAlign w:val="center"/>
                </w:tcPr>
                <w:p w14:paraId="68AA109B">
                  <w:pPr>
                    <w:keepNext w:val="0"/>
                    <w:keepLines w:val="0"/>
                    <w:pageBreakBefore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16.03</w:t>
                  </w:r>
                </w:p>
              </w:tc>
              <w:tc>
                <w:tcPr>
                  <w:tcW w:w="842" w:type="pct"/>
                  <w:tcBorders>
                    <w:top w:val="single" w:color="auto" w:sz="6" w:space="0"/>
                    <w:left w:val="single" w:color="auto" w:sz="6" w:space="0"/>
                    <w:bottom w:val="single" w:color="auto" w:sz="6" w:space="0"/>
                    <w:right w:val="single" w:color="auto" w:sz="6" w:space="0"/>
                  </w:tcBorders>
                  <w:vAlign w:val="center"/>
                </w:tcPr>
                <w:p w14:paraId="0ACB60EE">
                  <w:pPr>
                    <w:keepNext w:val="0"/>
                    <w:keepLines w:val="0"/>
                    <w:pageBreakBefore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0.05</w:t>
                  </w:r>
                </w:p>
              </w:tc>
              <w:tc>
                <w:tcPr>
                  <w:tcW w:w="849" w:type="pct"/>
                  <w:tcBorders>
                    <w:top w:val="single" w:color="auto" w:sz="6" w:space="0"/>
                    <w:left w:val="single" w:color="auto" w:sz="6" w:space="0"/>
                    <w:bottom w:val="single" w:color="auto" w:sz="6" w:space="0"/>
                    <w:right w:val="single" w:color="auto" w:sz="6" w:space="0"/>
                  </w:tcBorders>
                  <w:vAlign w:val="center"/>
                </w:tcPr>
                <w:p w14:paraId="7BE1AA0B">
                  <w:pPr>
                    <w:keepNext w:val="0"/>
                    <w:keepLines w:val="0"/>
                    <w:pageBreakBefore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0.16</w:t>
                  </w:r>
                </w:p>
              </w:tc>
            </w:tr>
            <w:tr w14:paraId="1289CD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52" w:type="pct"/>
                  <w:tcBorders>
                    <w:top w:val="single" w:color="auto" w:sz="6" w:space="0"/>
                    <w:left w:val="single" w:color="auto" w:sz="6" w:space="0"/>
                    <w:bottom w:val="single" w:color="auto" w:sz="6" w:space="0"/>
                    <w:right w:val="single" w:color="auto" w:sz="6" w:space="0"/>
                  </w:tcBorders>
                  <w:vAlign w:val="center"/>
                </w:tcPr>
                <w:p w14:paraId="178F4ACB">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w:t>
                  </w:r>
                </w:p>
              </w:tc>
              <w:tc>
                <w:tcPr>
                  <w:tcW w:w="748" w:type="pct"/>
                  <w:vMerge w:val="continue"/>
                  <w:tcBorders>
                    <w:top w:val="single" w:color="auto" w:sz="6" w:space="0"/>
                    <w:left w:val="single" w:color="auto" w:sz="6" w:space="0"/>
                    <w:bottom w:val="single" w:color="auto" w:sz="6" w:space="0"/>
                    <w:right w:val="single" w:color="auto" w:sz="6" w:space="0"/>
                  </w:tcBorders>
                  <w:vAlign w:val="center"/>
                </w:tcPr>
                <w:p w14:paraId="055E2077">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sz w:val="21"/>
                      <w:szCs w:val="21"/>
                      <w:highlight w:val="none"/>
                    </w:rPr>
                  </w:pPr>
                </w:p>
              </w:tc>
              <w:tc>
                <w:tcPr>
                  <w:tcW w:w="1074" w:type="pct"/>
                  <w:tcBorders>
                    <w:top w:val="single" w:color="auto" w:sz="6" w:space="0"/>
                    <w:left w:val="single" w:color="auto" w:sz="6" w:space="0"/>
                    <w:bottom w:val="single" w:color="auto" w:sz="6" w:space="0"/>
                    <w:right w:val="single" w:color="auto" w:sz="6" w:space="0"/>
                  </w:tcBorders>
                  <w:vAlign w:val="center"/>
                </w:tcPr>
                <w:p w14:paraId="3960D301">
                  <w:pPr>
                    <w:pStyle w:val="42"/>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二氧化硫</w:t>
                  </w:r>
                </w:p>
              </w:tc>
              <w:tc>
                <w:tcPr>
                  <w:tcW w:w="832" w:type="pct"/>
                  <w:tcBorders>
                    <w:top w:val="single" w:color="auto" w:sz="6" w:space="0"/>
                    <w:left w:val="single" w:color="auto" w:sz="6" w:space="0"/>
                    <w:bottom w:val="single" w:color="auto" w:sz="6" w:space="0"/>
                    <w:right w:val="single" w:color="auto" w:sz="6" w:space="0"/>
                  </w:tcBorders>
                  <w:shd w:val="clear" w:color="auto" w:fill="auto"/>
                  <w:vAlign w:val="center"/>
                </w:tcPr>
                <w:p w14:paraId="7E67E0FE">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122.6</w:t>
                  </w:r>
                </w:p>
              </w:tc>
              <w:tc>
                <w:tcPr>
                  <w:tcW w:w="842" w:type="pct"/>
                  <w:tcBorders>
                    <w:top w:val="single" w:color="auto" w:sz="6" w:space="0"/>
                    <w:left w:val="single" w:color="auto" w:sz="6" w:space="0"/>
                    <w:bottom w:val="single" w:color="auto" w:sz="6" w:space="0"/>
                    <w:right w:val="single" w:color="auto" w:sz="6" w:space="0"/>
                  </w:tcBorders>
                  <w:shd w:val="clear" w:color="auto" w:fill="auto"/>
                  <w:vAlign w:val="center"/>
                </w:tcPr>
                <w:p w14:paraId="58FFE0F5">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0.382</w:t>
                  </w:r>
                </w:p>
              </w:tc>
              <w:tc>
                <w:tcPr>
                  <w:tcW w:w="849" w:type="pct"/>
                  <w:tcBorders>
                    <w:top w:val="single" w:color="auto" w:sz="6" w:space="0"/>
                    <w:left w:val="single" w:color="auto" w:sz="6" w:space="0"/>
                    <w:bottom w:val="single" w:color="auto" w:sz="6" w:space="0"/>
                    <w:right w:val="single" w:color="auto" w:sz="6" w:space="0"/>
                  </w:tcBorders>
                  <w:vAlign w:val="center"/>
                </w:tcPr>
                <w:p w14:paraId="7E7319C4">
                  <w:pPr>
                    <w:keepNext w:val="0"/>
                    <w:keepLines w:val="0"/>
                    <w:pageBreakBefore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0.122</w:t>
                  </w:r>
                </w:p>
              </w:tc>
            </w:tr>
            <w:tr w14:paraId="53FF05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52" w:type="pct"/>
                  <w:tcBorders>
                    <w:top w:val="single" w:color="auto" w:sz="6" w:space="0"/>
                    <w:left w:val="single" w:color="auto" w:sz="6" w:space="0"/>
                    <w:bottom w:val="single" w:color="auto" w:sz="6" w:space="0"/>
                    <w:right w:val="single" w:color="auto" w:sz="6" w:space="0"/>
                  </w:tcBorders>
                  <w:vAlign w:val="center"/>
                </w:tcPr>
                <w:p w14:paraId="652CD664">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w:t>
                  </w:r>
                </w:p>
              </w:tc>
              <w:tc>
                <w:tcPr>
                  <w:tcW w:w="748" w:type="pct"/>
                  <w:vMerge w:val="continue"/>
                  <w:tcBorders>
                    <w:top w:val="single" w:color="auto" w:sz="6" w:space="0"/>
                    <w:left w:val="single" w:color="auto" w:sz="6" w:space="0"/>
                    <w:bottom w:val="single" w:color="auto" w:sz="6" w:space="0"/>
                    <w:right w:val="single" w:color="auto" w:sz="6" w:space="0"/>
                  </w:tcBorders>
                  <w:vAlign w:val="center"/>
                </w:tcPr>
                <w:p w14:paraId="274431B3">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sz w:val="21"/>
                      <w:szCs w:val="21"/>
                      <w:highlight w:val="none"/>
                    </w:rPr>
                  </w:pPr>
                </w:p>
              </w:tc>
              <w:tc>
                <w:tcPr>
                  <w:tcW w:w="1074" w:type="pct"/>
                  <w:tcBorders>
                    <w:top w:val="single" w:color="auto" w:sz="6" w:space="0"/>
                    <w:left w:val="single" w:color="auto" w:sz="6" w:space="0"/>
                    <w:bottom w:val="single" w:color="auto" w:sz="6" w:space="0"/>
                    <w:right w:val="single" w:color="auto" w:sz="6" w:space="0"/>
                  </w:tcBorders>
                  <w:vAlign w:val="center"/>
                </w:tcPr>
                <w:p w14:paraId="6B9BB061">
                  <w:pPr>
                    <w:pStyle w:val="42"/>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氮氧化物</w:t>
                  </w:r>
                </w:p>
              </w:tc>
              <w:tc>
                <w:tcPr>
                  <w:tcW w:w="832" w:type="pct"/>
                  <w:tcBorders>
                    <w:top w:val="single" w:color="auto" w:sz="6" w:space="0"/>
                    <w:left w:val="single" w:color="auto" w:sz="6" w:space="0"/>
                    <w:bottom w:val="single" w:color="auto" w:sz="6" w:space="0"/>
                    <w:right w:val="single" w:color="auto" w:sz="6" w:space="0"/>
                  </w:tcBorders>
                  <w:shd w:val="clear" w:color="auto" w:fill="auto"/>
                  <w:vAlign w:val="center"/>
                </w:tcPr>
                <w:p w14:paraId="3ACC4292">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163.46</w:t>
                  </w:r>
                </w:p>
              </w:tc>
              <w:tc>
                <w:tcPr>
                  <w:tcW w:w="842" w:type="pct"/>
                  <w:tcBorders>
                    <w:top w:val="single" w:color="auto" w:sz="6" w:space="0"/>
                    <w:left w:val="single" w:color="auto" w:sz="6" w:space="0"/>
                    <w:bottom w:val="single" w:color="auto" w:sz="6" w:space="0"/>
                    <w:right w:val="single" w:color="auto" w:sz="6" w:space="0"/>
                  </w:tcBorders>
                  <w:shd w:val="clear" w:color="auto" w:fill="auto"/>
                  <w:vAlign w:val="center"/>
                </w:tcPr>
                <w:p w14:paraId="03530168">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0.51</w:t>
                  </w:r>
                </w:p>
              </w:tc>
              <w:tc>
                <w:tcPr>
                  <w:tcW w:w="849" w:type="pct"/>
                  <w:tcBorders>
                    <w:top w:val="single" w:color="auto" w:sz="6" w:space="0"/>
                    <w:left w:val="single" w:color="auto" w:sz="6" w:space="0"/>
                    <w:bottom w:val="single" w:color="auto" w:sz="6" w:space="0"/>
                    <w:right w:val="single" w:color="auto" w:sz="6" w:space="0"/>
                  </w:tcBorders>
                  <w:vAlign w:val="center"/>
                </w:tcPr>
                <w:p w14:paraId="09E39093">
                  <w:pPr>
                    <w:keepNext w:val="0"/>
                    <w:keepLines w:val="0"/>
                    <w:pageBreakBefore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0.163</w:t>
                  </w:r>
                </w:p>
              </w:tc>
            </w:tr>
            <w:tr w14:paraId="50DC83A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400" w:type="pct"/>
                  <w:gridSpan w:val="2"/>
                  <w:vMerge w:val="restart"/>
                  <w:tcBorders>
                    <w:top w:val="single" w:color="auto" w:sz="6" w:space="0"/>
                    <w:left w:val="single" w:color="auto" w:sz="6" w:space="0"/>
                    <w:bottom w:val="single" w:color="auto" w:sz="6" w:space="0"/>
                    <w:right w:val="single" w:color="auto" w:sz="6" w:space="0"/>
                  </w:tcBorders>
                  <w:vAlign w:val="center"/>
                </w:tcPr>
                <w:p w14:paraId="4BAC05AD">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一般排放口合计</w:t>
                  </w:r>
                </w:p>
              </w:tc>
              <w:tc>
                <w:tcPr>
                  <w:tcW w:w="2749" w:type="pct"/>
                  <w:gridSpan w:val="3"/>
                  <w:tcBorders>
                    <w:top w:val="single" w:color="auto" w:sz="6" w:space="0"/>
                    <w:left w:val="single" w:color="auto" w:sz="6" w:space="0"/>
                    <w:bottom w:val="single" w:color="auto" w:sz="6" w:space="0"/>
                    <w:right w:val="single" w:color="auto" w:sz="6" w:space="0"/>
                  </w:tcBorders>
                  <w:vAlign w:val="center"/>
                </w:tcPr>
                <w:p w14:paraId="00A89180">
                  <w:pPr>
                    <w:pStyle w:val="42"/>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颗粒物</w:t>
                  </w:r>
                </w:p>
              </w:tc>
              <w:tc>
                <w:tcPr>
                  <w:tcW w:w="849" w:type="pct"/>
                  <w:tcBorders>
                    <w:top w:val="single" w:color="auto" w:sz="6" w:space="0"/>
                    <w:left w:val="single" w:color="auto" w:sz="6" w:space="0"/>
                    <w:bottom w:val="single" w:color="auto" w:sz="6" w:space="0"/>
                    <w:right w:val="single" w:color="auto" w:sz="6" w:space="0"/>
                  </w:tcBorders>
                  <w:shd w:val="clear" w:color="auto" w:fill="auto"/>
                  <w:vAlign w:val="center"/>
                </w:tcPr>
                <w:p w14:paraId="075D5E47">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0.16</w:t>
                  </w:r>
                </w:p>
              </w:tc>
            </w:tr>
            <w:tr w14:paraId="057E7E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400" w:type="pct"/>
                  <w:gridSpan w:val="2"/>
                  <w:vMerge w:val="continue"/>
                  <w:tcBorders>
                    <w:top w:val="single" w:color="auto" w:sz="6" w:space="0"/>
                    <w:left w:val="single" w:color="auto" w:sz="6" w:space="0"/>
                    <w:bottom w:val="single" w:color="auto" w:sz="6" w:space="0"/>
                    <w:right w:val="single" w:color="auto" w:sz="6" w:space="0"/>
                  </w:tcBorders>
                  <w:vAlign w:val="center"/>
                </w:tcPr>
                <w:p w14:paraId="44C1F6B0">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sz w:val="21"/>
                      <w:szCs w:val="21"/>
                      <w:highlight w:val="none"/>
                    </w:rPr>
                  </w:pPr>
                </w:p>
              </w:tc>
              <w:tc>
                <w:tcPr>
                  <w:tcW w:w="2749" w:type="pct"/>
                  <w:gridSpan w:val="3"/>
                  <w:tcBorders>
                    <w:top w:val="single" w:color="auto" w:sz="6" w:space="0"/>
                    <w:left w:val="single" w:color="auto" w:sz="6" w:space="0"/>
                    <w:bottom w:val="single" w:color="auto" w:sz="6" w:space="0"/>
                    <w:right w:val="single" w:color="auto" w:sz="6" w:space="0"/>
                  </w:tcBorders>
                  <w:vAlign w:val="center"/>
                </w:tcPr>
                <w:p w14:paraId="1C4885AE">
                  <w:pPr>
                    <w:pStyle w:val="42"/>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二氧化硫</w:t>
                  </w:r>
                </w:p>
              </w:tc>
              <w:tc>
                <w:tcPr>
                  <w:tcW w:w="849" w:type="pct"/>
                  <w:tcBorders>
                    <w:top w:val="single" w:color="auto" w:sz="6" w:space="0"/>
                    <w:left w:val="single" w:color="auto" w:sz="6" w:space="0"/>
                    <w:bottom w:val="single" w:color="auto" w:sz="6" w:space="0"/>
                    <w:right w:val="single" w:color="auto" w:sz="6" w:space="0"/>
                  </w:tcBorders>
                  <w:shd w:val="clear" w:color="auto" w:fill="auto"/>
                  <w:vAlign w:val="center"/>
                </w:tcPr>
                <w:p w14:paraId="51AF69B1">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0.122</w:t>
                  </w:r>
                </w:p>
              </w:tc>
            </w:tr>
            <w:tr w14:paraId="5F637E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400" w:type="pct"/>
                  <w:gridSpan w:val="2"/>
                  <w:vMerge w:val="continue"/>
                  <w:tcBorders>
                    <w:top w:val="single" w:color="auto" w:sz="6" w:space="0"/>
                    <w:left w:val="single" w:color="auto" w:sz="6" w:space="0"/>
                    <w:bottom w:val="single" w:color="auto" w:sz="6" w:space="0"/>
                    <w:right w:val="single" w:color="auto" w:sz="6" w:space="0"/>
                  </w:tcBorders>
                  <w:vAlign w:val="center"/>
                </w:tcPr>
                <w:p w14:paraId="03192E60">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sz w:val="21"/>
                      <w:szCs w:val="21"/>
                      <w:highlight w:val="none"/>
                    </w:rPr>
                  </w:pPr>
                </w:p>
              </w:tc>
              <w:tc>
                <w:tcPr>
                  <w:tcW w:w="2749" w:type="pct"/>
                  <w:gridSpan w:val="3"/>
                  <w:tcBorders>
                    <w:top w:val="single" w:color="auto" w:sz="6" w:space="0"/>
                    <w:left w:val="single" w:color="auto" w:sz="6" w:space="0"/>
                    <w:bottom w:val="single" w:color="auto" w:sz="6" w:space="0"/>
                    <w:right w:val="single" w:color="auto" w:sz="6" w:space="0"/>
                  </w:tcBorders>
                  <w:vAlign w:val="center"/>
                </w:tcPr>
                <w:p w14:paraId="6D566B54">
                  <w:pPr>
                    <w:pStyle w:val="42"/>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氮氧化物</w:t>
                  </w:r>
                </w:p>
              </w:tc>
              <w:tc>
                <w:tcPr>
                  <w:tcW w:w="849" w:type="pct"/>
                  <w:tcBorders>
                    <w:top w:val="single" w:color="auto" w:sz="6" w:space="0"/>
                    <w:left w:val="single" w:color="auto" w:sz="6" w:space="0"/>
                    <w:bottom w:val="single" w:color="auto" w:sz="6" w:space="0"/>
                    <w:right w:val="single" w:color="auto" w:sz="6" w:space="0"/>
                  </w:tcBorders>
                  <w:shd w:val="clear" w:color="auto" w:fill="auto"/>
                  <w:vAlign w:val="center"/>
                </w:tcPr>
                <w:p w14:paraId="3BF62095">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0.163</w:t>
                  </w:r>
                </w:p>
              </w:tc>
            </w:tr>
          </w:tbl>
          <w:p w14:paraId="7BC0B551">
            <w:pPr>
              <w:keepNext w:val="0"/>
              <w:keepLines w:val="0"/>
              <w:pageBreakBefore w:val="0"/>
              <w:widowControl w:val="0"/>
              <w:suppressLineNumbers w:val="0"/>
              <w:kinsoku/>
              <w:wordWrap/>
              <w:overflowPunct/>
              <w:topLinePunct w:val="0"/>
              <w:autoSpaceDE/>
              <w:autoSpaceDN/>
              <w:bidi w:val="0"/>
              <w:adjustRightInd/>
              <w:snapToGrid/>
              <w:spacing w:before="157" w:beforeLines="50" w:beforeAutospacing="0" w:after="0" w:afterAutospacing="0" w:line="240" w:lineRule="auto"/>
              <w:ind w:left="0" w:right="0"/>
              <w:jc w:val="center"/>
              <w:textAlignment w:val="auto"/>
              <w:rPr>
                <w:rFonts w:hint="default" w:ascii="Times New Roman" w:hAnsi="Times New Roman" w:eastAsia="宋体" w:cs="Times New Roman"/>
                <w:b/>
                <w:bCs/>
                <w:color w:val="auto"/>
                <w:spacing w:val="0"/>
                <w:position w:val="0"/>
                <w:sz w:val="21"/>
                <w:szCs w:val="21"/>
                <w:u w:val="none" w:color="auto"/>
                <w:lang w:val="en-US" w:eastAsia="zh-CN"/>
              </w:rPr>
            </w:pPr>
            <w:r>
              <w:rPr>
                <w:rFonts w:hint="default" w:ascii="Times New Roman" w:hAnsi="Times New Roman" w:eastAsia="宋体" w:cs="Times New Roman"/>
                <w:b/>
                <w:bCs/>
                <w:color w:val="auto"/>
                <w:spacing w:val="0"/>
                <w:position w:val="0"/>
                <w:sz w:val="21"/>
                <w:szCs w:val="21"/>
                <w:u w:val="none" w:color="auto"/>
                <w:lang w:val="en-US" w:eastAsia="zh-CN"/>
              </w:rPr>
              <w:t>表4-</w:t>
            </w:r>
            <w:r>
              <w:rPr>
                <w:rFonts w:hint="eastAsia" w:ascii="Times New Roman" w:hAnsi="Times New Roman" w:eastAsia="宋体" w:cs="Times New Roman"/>
                <w:b/>
                <w:bCs/>
                <w:color w:val="auto"/>
                <w:spacing w:val="0"/>
                <w:position w:val="0"/>
                <w:sz w:val="21"/>
                <w:szCs w:val="21"/>
                <w:u w:val="none" w:color="auto"/>
                <w:lang w:val="en-US" w:eastAsia="zh-CN"/>
              </w:rPr>
              <w:t>5</w:t>
            </w:r>
            <w:r>
              <w:rPr>
                <w:rFonts w:hint="default" w:ascii="Times New Roman" w:hAnsi="Times New Roman" w:eastAsia="宋体" w:cs="Times New Roman"/>
                <w:b/>
                <w:bCs/>
                <w:color w:val="auto"/>
                <w:spacing w:val="0"/>
                <w:position w:val="0"/>
                <w:sz w:val="21"/>
                <w:szCs w:val="21"/>
                <w:u w:val="none" w:color="auto"/>
                <w:lang w:val="en-US" w:eastAsia="zh-CN"/>
              </w:rPr>
              <w:t xml:space="preserve">   大气污染物无组织排放量核算表</w:t>
            </w:r>
          </w:p>
          <w:tbl>
            <w:tblPr>
              <w:tblStyle w:val="28"/>
              <w:tblW w:w="5000" w:type="pct"/>
              <w:tblInd w:w="0" w:type="dxa"/>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autofit"/>
              <w:tblCellMar>
                <w:top w:w="0" w:type="dxa"/>
                <w:left w:w="57" w:type="dxa"/>
                <w:bottom w:w="0" w:type="dxa"/>
                <w:right w:w="57" w:type="dxa"/>
              </w:tblCellMar>
            </w:tblPr>
            <w:tblGrid>
              <w:gridCol w:w="325"/>
              <w:gridCol w:w="741"/>
              <w:gridCol w:w="839"/>
              <w:gridCol w:w="861"/>
              <w:gridCol w:w="1302"/>
              <w:gridCol w:w="2302"/>
              <w:gridCol w:w="1099"/>
              <w:gridCol w:w="1025"/>
            </w:tblGrid>
            <w:tr w14:paraId="088A554A">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57" w:type="dxa"/>
                  <w:bottom w:w="0" w:type="dxa"/>
                  <w:right w:w="57" w:type="dxa"/>
                </w:tblCellMar>
              </w:tblPrEx>
              <w:trPr>
                <w:trHeight w:val="397" w:hRule="atLeast"/>
              </w:trPr>
              <w:tc>
                <w:tcPr>
                  <w:tcW w:w="191" w:type="pct"/>
                  <w:vMerge w:val="restart"/>
                  <w:tcBorders>
                    <w:top w:val="single" w:color="auto" w:sz="8" w:space="0"/>
                    <w:left w:val="single" w:color="auto" w:sz="8" w:space="0"/>
                    <w:bottom w:val="single" w:color="auto" w:sz="6" w:space="0"/>
                    <w:right w:val="single" w:color="auto" w:sz="6" w:space="0"/>
                  </w:tcBorders>
                  <w:vAlign w:val="center"/>
                </w:tcPr>
                <w:p w14:paraId="6A1BA32E">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序号</w:t>
                  </w:r>
                </w:p>
              </w:tc>
              <w:tc>
                <w:tcPr>
                  <w:tcW w:w="436" w:type="pct"/>
                  <w:vMerge w:val="restart"/>
                  <w:tcBorders>
                    <w:top w:val="single" w:color="auto" w:sz="8" w:space="0"/>
                    <w:left w:val="single" w:color="auto" w:sz="6" w:space="0"/>
                    <w:bottom w:val="single" w:color="auto" w:sz="6" w:space="0"/>
                    <w:right w:val="single" w:color="auto" w:sz="6" w:space="0"/>
                  </w:tcBorders>
                  <w:vAlign w:val="center"/>
                </w:tcPr>
                <w:p w14:paraId="571D08DC">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排放口编号</w:t>
                  </w:r>
                </w:p>
              </w:tc>
              <w:tc>
                <w:tcPr>
                  <w:tcW w:w="494" w:type="pct"/>
                  <w:vMerge w:val="restart"/>
                  <w:tcBorders>
                    <w:top w:val="single" w:color="auto" w:sz="8" w:space="0"/>
                    <w:left w:val="single" w:color="auto" w:sz="6" w:space="0"/>
                    <w:bottom w:val="single" w:color="auto" w:sz="6" w:space="0"/>
                    <w:right w:val="single" w:color="auto" w:sz="6" w:space="0"/>
                  </w:tcBorders>
                  <w:vAlign w:val="center"/>
                </w:tcPr>
                <w:p w14:paraId="1A15E485">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产污环节</w:t>
                  </w:r>
                </w:p>
              </w:tc>
              <w:tc>
                <w:tcPr>
                  <w:tcW w:w="506" w:type="pct"/>
                  <w:vMerge w:val="restart"/>
                  <w:tcBorders>
                    <w:top w:val="single" w:color="auto" w:sz="8" w:space="0"/>
                    <w:left w:val="single" w:color="auto" w:sz="6" w:space="0"/>
                    <w:bottom w:val="single" w:color="auto" w:sz="6" w:space="0"/>
                    <w:right w:val="single" w:color="auto" w:sz="6" w:space="0"/>
                  </w:tcBorders>
                  <w:vAlign w:val="center"/>
                </w:tcPr>
                <w:p w14:paraId="6F35E0B4">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w:t>
                  </w:r>
                </w:p>
              </w:tc>
              <w:tc>
                <w:tcPr>
                  <w:tcW w:w="766" w:type="pct"/>
                  <w:vMerge w:val="restart"/>
                  <w:tcBorders>
                    <w:top w:val="single" w:color="auto" w:sz="8" w:space="0"/>
                    <w:left w:val="single" w:color="auto" w:sz="6" w:space="0"/>
                    <w:bottom w:val="single" w:color="auto" w:sz="6" w:space="0"/>
                    <w:right w:val="single" w:color="auto" w:sz="6" w:space="0"/>
                  </w:tcBorders>
                  <w:vAlign w:val="center"/>
                </w:tcPr>
                <w:p w14:paraId="043C15F5">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主要污染防治措施</w:t>
                  </w:r>
                </w:p>
              </w:tc>
              <w:tc>
                <w:tcPr>
                  <w:tcW w:w="2002" w:type="pct"/>
                  <w:gridSpan w:val="2"/>
                  <w:tcBorders>
                    <w:top w:val="single" w:color="auto" w:sz="8" w:space="0"/>
                    <w:left w:val="single" w:color="auto" w:sz="6" w:space="0"/>
                    <w:bottom w:val="single" w:color="auto" w:sz="6" w:space="0"/>
                    <w:right w:val="single" w:color="auto" w:sz="6" w:space="0"/>
                  </w:tcBorders>
                  <w:vAlign w:val="center"/>
                </w:tcPr>
                <w:p w14:paraId="40A5C4E8">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国家或地方污染物排放标准</w:t>
                  </w:r>
                </w:p>
              </w:tc>
              <w:tc>
                <w:tcPr>
                  <w:tcW w:w="603" w:type="pct"/>
                  <w:vMerge w:val="restart"/>
                  <w:tcBorders>
                    <w:top w:val="single" w:color="auto" w:sz="8" w:space="0"/>
                    <w:left w:val="single" w:color="auto" w:sz="6" w:space="0"/>
                    <w:bottom w:val="single" w:color="auto" w:sz="6" w:space="0"/>
                    <w:right w:val="single" w:color="auto" w:sz="8" w:space="0"/>
                  </w:tcBorders>
                  <w:vAlign w:val="center"/>
                </w:tcPr>
                <w:p w14:paraId="09E93B63">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年排放量</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kg/a</w:t>
                  </w:r>
                  <w:r>
                    <w:rPr>
                      <w:rFonts w:hint="eastAsia" w:ascii="Times New Roman" w:hAnsi="Times New Roman" w:eastAsia="宋体" w:cs="Times New Roman"/>
                      <w:color w:val="auto"/>
                      <w:sz w:val="21"/>
                      <w:szCs w:val="21"/>
                      <w:highlight w:val="none"/>
                      <w:lang w:eastAsia="zh-CN"/>
                    </w:rPr>
                    <w:t>）</w:t>
                  </w:r>
                </w:p>
              </w:tc>
            </w:tr>
            <w:tr w14:paraId="150F8A2C">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57" w:type="dxa"/>
                  <w:bottom w:w="0" w:type="dxa"/>
                  <w:right w:w="57" w:type="dxa"/>
                </w:tblCellMar>
              </w:tblPrEx>
              <w:trPr>
                <w:trHeight w:val="397" w:hRule="atLeast"/>
              </w:trPr>
              <w:tc>
                <w:tcPr>
                  <w:tcW w:w="191" w:type="pct"/>
                  <w:vMerge w:val="continue"/>
                  <w:tcBorders>
                    <w:top w:val="single" w:color="auto" w:sz="8" w:space="0"/>
                    <w:left w:val="single" w:color="auto" w:sz="8" w:space="0"/>
                    <w:bottom w:val="single" w:color="auto" w:sz="6" w:space="0"/>
                    <w:right w:val="single" w:color="auto" w:sz="6" w:space="0"/>
                  </w:tcBorders>
                  <w:vAlign w:val="center"/>
                </w:tcPr>
                <w:p w14:paraId="37DBEEBB">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436" w:type="pct"/>
                  <w:vMerge w:val="continue"/>
                  <w:tcBorders>
                    <w:top w:val="single" w:color="auto" w:sz="8" w:space="0"/>
                    <w:left w:val="single" w:color="auto" w:sz="6" w:space="0"/>
                    <w:bottom w:val="single" w:color="auto" w:sz="6" w:space="0"/>
                    <w:right w:val="single" w:color="auto" w:sz="6" w:space="0"/>
                  </w:tcBorders>
                  <w:vAlign w:val="center"/>
                </w:tcPr>
                <w:p w14:paraId="223A6A79">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494" w:type="pct"/>
                  <w:vMerge w:val="continue"/>
                  <w:tcBorders>
                    <w:top w:val="single" w:color="auto" w:sz="8" w:space="0"/>
                    <w:left w:val="single" w:color="auto" w:sz="6" w:space="0"/>
                    <w:bottom w:val="single" w:color="auto" w:sz="6" w:space="0"/>
                    <w:right w:val="single" w:color="auto" w:sz="6" w:space="0"/>
                  </w:tcBorders>
                  <w:vAlign w:val="center"/>
                </w:tcPr>
                <w:p w14:paraId="46072A6C">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506" w:type="pct"/>
                  <w:vMerge w:val="continue"/>
                  <w:tcBorders>
                    <w:top w:val="single" w:color="auto" w:sz="8" w:space="0"/>
                    <w:left w:val="single" w:color="auto" w:sz="6" w:space="0"/>
                    <w:bottom w:val="single" w:color="auto" w:sz="6" w:space="0"/>
                    <w:right w:val="single" w:color="auto" w:sz="6" w:space="0"/>
                  </w:tcBorders>
                  <w:vAlign w:val="center"/>
                </w:tcPr>
                <w:p w14:paraId="06C730A8">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766" w:type="pct"/>
                  <w:vMerge w:val="continue"/>
                  <w:tcBorders>
                    <w:top w:val="single" w:color="auto" w:sz="8" w:space="0"/>
                    <w:left w:val="single" w:color="auto" w:sz="6" w:space="0"/>
                    <w:bottom w:val="single" w:color="auto" w:sz="6" w:space="0"/>
                    <w:right w:val="single" w:color="auto" w:sz="6" w:space="0"/>
                  </w:tcBorders>
                  <w:vAlign w:val="center"/>
                </w:tcPr>
                <w:p w14:paraId="06C618D5">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1355" w:type="pct"/>
                  <w:tcBorders>
                    <w:top w:val="single" w:color="auto" w:sz="6" w:space="0"/>
                    <w:left w:val="single" w:color="auto" w:sz="6" w:space="0"/>
                    <w:bottom w:val="single" w:color="auto" w:sz="6" w:space="0"/>
                    <w:right w:val="single" w:color="auto" w:sz="6" w:space="0"/>
                  </w:tcBorders>
                  <w:vAlign w:val="center"/>
                </w:tcPr>
                <w:p w14:paraId="5BFCE7B1">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标准名称</w:t>
                  </w:r>
                </w:p>
              </w:tc>
              <w:tc>
                <w:tcPr>
                  <w:tcW w:w="646" w:type="pct"/>
                  <w:tcBorders>
                    <w:top w:val="single" w:color="auto" w:sz="6" w:space="0"/>
                    <w:left w:val="single" w:color="auto" w:sz="6" w:space="0"/>
                    <w:bottom w:val="single" w:color="auto" w:sz="6" w:space="0"/>
                    <w:right w:val="single" w:color="auto" w:sz="6" w:space="0"/>
                  </w:tcBorders>
                  <w:vAlign w:val="center"/>
                </w:tcPr>
                <w:p w14:paraId="4EE72DC4">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浓度限值（</w:t>
                  </w:r>
                  <w:r>
                    <w:rPr>
                      <w:rFonts w:hint="eastAsia"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rPr>
                    <w:t>g/m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w:t>
                  </w:r>
                </w:p>
              </w:tc>
              <w:tc>
                <w:tcPr>
                  <w:tcW w:w="603" w:type="pct"/>
                  <w:vMerge w:val="continue"/>
                  <w:tcBorders>
                    <w:top w:val="single" w:color="auto" w:sz="8" w:space="0"/>
                    <w:left w:val="single" w:color="auto" w:sz="6" w:space="0"/>
                    <w:bottom w:val="single" w:color="auto" w:sz="6" w:space="0"/>
                    <w:right w:val="single" w:color="auto" w:sz="8" w:space="0"/>
                  </w:tcBorders>
                  <w:vAlign w:val="center"/>
                </w:tcPr>
                <w:p w14:paraId="180CD9D5">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r>
            <w:tr w14:paraId="2C2A8AE2">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57" w:type="dxa"/>
                  <w:bottom w:w="0" w:type="dxa"/>
                  <w:right w:w="57" w:type="dxa"/>
                </w:tblCellMar>
              </w:tblPrEx>
              <w:trPr>
                <w:trHeight w:val="401" w:hRule="atLeast"/>
              </w:trPr>
              <w:tc>
                <w:tcPr>
                  <w:tcW w:w="191" w:type="pct"/>
                  <w:vMerge w:val="restart"/>
                  <w:tcBorders>
                    <w:top w:val="single" w:color="auto" w:sz="6" w:space="0"/>
                    <w:left w:val="single" w:color="auto" w:sz="8" w:space="0"/>
                    <w:right w:val="single" w:color="auto" w:sz="6" w:space="0"/>
                  </w:tcBorders>
                  <w:vAlign w:val="center"/>
                </w:tcPr>
                <w:p w14:paraId="77548004">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436" w:type="pct"/>
                  <w:vMerge w:val="restart"/>
                  <w:tcBorders>
                    <w:top w:val="single" w:color="auto" w:sz="6" w:space="0"/>
                    <w:left w:val="single" w:color="auto" w:sz="6" w:space="0"/>
                    <w:right w:val="single" w:color="auto" w:sz="6" w:space="0"/>
                  </w:tcBorders>
                  <w:vAlign w:val="center"/>
                </w:tcPr>
                <w:p w14:paraId="233BE80A">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494" w:type="pct"/>
                  <w:vMerge w:val="restart"/>
                  <w:tcBorders>
                    <w:top w:val="single" w:color="auto" w:sz="6" w:space="0"/>
                    <w:left w:val="single" w:color="auto" w:sz="6" w:space="0"/>
                    <w:right w:val="single" w:color="auto" w:sz="6" w:space="0"/>
                  </w:tcBorders>
                  <w:vAlign w:val="center"/>
                </w:tcPr>
                <w:p w14:paraId="3D55B6F4">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污水处理站</w:t>
                  </w:r>
                </w:p>
              </w:tc>
              <w:tc>
                <w:tcPr>
                  <w:tcW w:w="506" w:type="pct"/>
                  <w:tcBorders>
                    <w:top w:val="single" w:color="auto" w:sz="6" w:space="0"/>
                    <w:left w:val="single" w:color="auto" w:sz="6" w:space="0"/>
                    <w:right w:val="single" w:color="auto" w:sz="6" w:space="0"/>
                  </w:tcBorders>
                  <w:vAlign w:val="center"/>
                </w:tcPr>
                <w:p w14:paraId="40B1CC2A">
                  <w:pPr>
                    <w:keepNext w:val="0"/>
                    <w:keepLines w:val="0"/>
                    <w:pageBreakBefore w:val="0"/>
                    <w:widowControl/>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766" w:type="pct"/>
                  <w:vMerge w:val="restart"/>
                  <w:tcBorders>
                    <w:top w:val="single" w:color="auto" w:sz="6" w:space="0"/>
                    <w:left w:val="single" w:color="auto" w:sz="6" w:space="0"/>
                    <w:right w:val="single" w:color="auto" w:sz="6" w:space="0"/>
                  </w:tcBorders>
                  <w:vAlign w:val="center"/>
                </w:tcPr>
                <w:p w14:paraId="1BEC3B93">
                  <w:pPr>
                    <w:pStyle w:val="42"/>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定期喷洒除臭剂、自然通风扩散</w:t>
                  </w:r>
                </w:p>
              </w:tc>
              <w:tc>
                <w:tcPr>
                  <w:tcW w:w="1355" w:type="pct"/>
                  <w:vMerge w:val="restart"/>
                  <w:tcBorders>
                    <w:top w:val="single" w:color="auto" w:sz="6" w:space="0"/>
                    <w:left w:val="single" w:color="auto" w:sz="6" w:space="0"/>
                    <w:right w:val="single" w:color="auto" w:sz="6" w:space="0"/>
                  </w:tcBorders>
                  <w:vAlign w:val="center"/>
                </w:tcPr>
                <w:p w14:paraId="037A9498">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《恶臭污染物排放标准》（GB14554-93）中的二级厂界标准</w:t>
                  </w:r>
                </w:p>
              </w:tc>
              <w:tc>
                <w:tcPr>
                  <w:tcW w:w="646" w:type="pct"/>
                  <w:tcBorders>
                    <w:top w:val="single" w:color="auto" w:sz="6" w:space="0"/>
                    <w:left w:val="single" w:color="auto" w:sz="6" w:space="0"/>
                    <w:bottom w:val="single" w:color="auto" w:sz="6" w:space="0"/>
                    <w:right w:val="single" w:color="auto" w:sz="6" w:space="0"/>
                  </w:tcBorders>
                  <w:vAlign w:val="center"/>
                </w:tcPr>
                <w:p w14:paraId="4EDC2AA0">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1.5</w:t>
                  </w:r>
                </w:p>
              </w:tc>
              <w:tc>
                <w:tcPr>
                  <w:tcW w:w="603" w:type="pct"/>
                  <w:tcBorders>
                    <w:top w:val="single" w:color="auto" w:sz="6" w:space="0"/>
                    <w:left w:val="single" w:color="auto" w:sz="6" w:space="0"/>
                    <w:right w:val="single" w:color="auto" w:sz="8" w:space="0"/>
                  </w:tcBorders>
                  <w:vAlign w:val="center"/>
                </w:tcPr>
                <w:p w14:paraId="5CCBD756">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0.056</w:t>
                  </w:r>
                </w:p>
              </w:tc>
            </w:tr>
            <w:tr w14:paraId="57563F51">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57" w:type="dxa"/>
                  <w:bottom w:w="0" w:type="dxa"/>
                  <w:right w:w="57" w:type="dxa"/>
                </w:tblCellMar>
              </w:tblPrEx>
              <w:trPr>
                <w:trHeight w:val="401" w:hRule="atLeast"/>
              </w:trPr>
              <w:tc>
                <w:tcPr>
                  <w:tcW w:w="191" w:type="pct"/>
                  <w:vMerge w:val="continue"/>
                  <w:tcBorders>
                    <w:left w:val="single" w:color="auto" w:sz="8" w:space="0"/>
                    <w:bottom w:val="single" w:color="auto" w:sz="6" w:space="0"/>
                    <w:right w:val="single" w:color="auto" w:sz="6" w:space="0"/>
                  </w:tcBorders>
                  <w:vAlign w:val="center"/>
                </w:tcPr>
                <w:p w14:paraId="4A6B5CA9">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highlight w:val="none"/>
                    </w:rPr>
                  </w:pPr>
                </w:p>
              </w:tc>
              <w:tc>
                <w:tcPr>
                  <w:tcW w:w="436" w:type="pct"/>
                  <w:vMerge w:val="continue"/>
                  <w:tcBorders>
                    <w:left w:val="single" w:color="auto" w:sz="6" w:space="0"/>
                    <w:bottom w:val="single" w:color="auto" w:sz="6" w:space="0"/>
                    <w:right w:val="single" w:color="auto" w:sz="6" w:space="0"/>
                  </w:tcBorders>
                  <w:vAlign w:val="center"/>
                </w:tcPr>
                <w:p w14:paraId="0F97BED9">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highlight w:val="none"/>
                    </w:rPr>
                  </w:pPr>
                </w:p>
              </w:tc>
              <w:tc>
                <w:tcPr>
                  <w:tcW w:w="494" w:type="pct"/>
                  <w:vMerge w:val="continue"/>
                  <w:tcBorders>
                    <w:left w:val="single" w:color="auto" w:sz="6" w:space="0"/>
                    <w:bottom w:val="single" w:color="auto" w:sz="6" w:space="0"/>
                    <w:right w:val="single" w:color="auto" w:sz="6" w:space="0"/>
                  </w:tcBorders>
                  <w:vAlign w:val="center"/>
                </w:tcPr>
                <w:p w14:paraId="38F1B77D">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highlight w:val="none"/>
                    </w:rPr>
                  </w:pPr>
                </w:p>
              </w:tc>
              <w:tc>
                <w:tcPr>
                  <w:tcW w:w="506" w:type="pct"/>
                  <w:tcBorders>
                    <w:left w:val="single" w:color="auto" w:sz="6" w:space="0"/>
                    <w:bottom w:val="single" w:color="auto" w:sz="6" w:space="0"/>
                    <w:right w:val="single" w:color="auto" w:sz="6" w:space="0"/>
                  </w:tcBorders>
                  <w:vAlign w:val="center"/>
                </w:tcPr>
                <w:p w14:paraId="1B15CE70">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highlight w:val="none"/>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766" w:type="pct"/>
                  <w:vMerge w:val="continue"/>
                  <w:tcBorders>
                    <w:left w:val="single" w:color="auto" w:sz="6" w:space="0"/>
                    <w:bottom w:val="single" w:color="auto" w:sz="6" w:space="0"/>
                    <w:right w:val="single" w:color="auto" w:sz="6" w:space="0"/>
                  </w:tcBorders>
                  <w:vAlign w:val="center"/>
                </w:tcPr>
                <w:p w14:paraId="71A98457">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highlight w:val="none"/>
                    </w:rPr>
                  </w:pPr>
                </w:p>
              </w:tc>
              <w:tc>
                <w:tcPr>
                  <w:tcW w:w="1355" w:type="pct"/>
                  <w:vMerge w:val="continue"/>
                  <w:tcBorders>
                    <w:left w:val="single" w:color="auto" w:sz="6" w:space="0"/>
                    <w:bottom w:val="single" w:color="auto" w:sz="6" w:space="0"/>
                    <w:right w:val="single" w:color="auto" w:sz="6" w:space="0"/>
                  </w:tcBorders>
                  <w:vAlign w:val="center"/>
                </w:tcPr>
                <w:p w14:paraId="08871C8B">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highlight w:val="none"/>
                    </w:rPr>
                  </w:pPr>
                </w:p>
              </w:tc>
              <w:tc>
                <w:tcPr>
                  <w:tcW w:w="646" w:type="pct"/>
                  <w:tcBorders>
                    <w:top w:val="single" w:color="auto" w:sz="6" w:space="0"/>
                    <w:left w:val="single" w:color="auto" w:sz="6" w:space="0"/>
                    <w:bottom w:val="single" w:color="auto" w:sz="6" w:space="0"/>
                    <w:right w:val="single" w:color="auto" w:sz="6" w:space="0"/>
                  </w:tcBorders>
                  <w:vAlign w:val="center"/>
                </w:tcPr>
                <w:p w14:paraId="745D7821">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0.06</w:t>
                  </w:r>
                </w:p>
              </w:tc>
              <w:tc>
                <w:tcPr>
                  <w:tcW w:w="603" w:type="pct"/>
                  <w:tcBorders>
                    <w:left w:val="single" w:color="auto" w:sz="6" w:space="0"/>
                    <w:bottom w:val="single" w:color="auto" w:sz="6" w:space="0"/>
                    <w:right w:val="single" w:color="auto" w:sz="8" w:space="0"/>
                  </w:tcBorders>
                  <w:vAlign w:val="center"/>
                </w:tcPr>
                <w:p w14:paraId="2A93E1C9">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0.55</w:t>
                  </w:r>
                </w:p>
              </w:tc>
            </w:tr>
            <w:tr w14:paraId="6A6F7ABC">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57" w:type="dxa"/>
                  <w:bottom w:w="0" w:type="dxa"/>
                  <w:right w:w="57" w:type="dxa"/>
                </w:tblCellMar>
              </w:tblPrEx>
              <w:trPr>
                <w:trHeight w:val="397" w:hRule="atLeast"/>
              </w:trPr>
              <w:tc>
                <w:tcPr>
                  <w:tcW w:w="1628" w:type="pct"/>
                  <w:gridSpan w:val="4"/>
                  <w:vMerge w:val="restart"/>
                  <w:tcBorders>
                    <w:left w:val="single" w:color="auto" w:sz="8" w:space="0"/>
                    <w:right w:val="single" w:color="auto" w:sz="6" w:space="0"/>
                  </w:tcBorders>
                  <w:vAlign w:val="center"/>
                </w:tcPr>
                <w:p w14:paraId="2DBA5D58">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无组织排放统计</w:t>
                  </w:r>
                </w:p>
              </w:tc>
              <w:tc>
                <w:tcPr>
                  <w:tcW w:w="2121" w:type="pct"/>
                  <w:gridSpan w:val="2"/>
                  <w:tcBorders>
                    <w:top w:val="single" w:color="auto" w:sz="6" w:space="0"/>
                    <w:left w:val="single" w:color="auto" w:sz="6" w:space="0"/>
                    <w:bottom w:val="single" w:color="auto" w:sz="6" w:space="0"/>
                    <w:right w:val="single" w:color="auto" w:sz="6" w:space="0"/>
                  </w:tcBorders>
                  <w:vAlign w:val="center"/>
                </w:tcPr>
                <w:p w14:paraId="42FB9E2E">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1250" w:type="pct"/>
                  <w:gridSpan w:val="2"/>
                  <w:tcBorders>
                    <w:top w:val="single" w:color="auto" w:sz="6" w:space="0"/>
                    <w:left w:val="single" w:color="auto" w:sz="6" w:space="0"/>
                    <w:bottom w:val="single" w:color="auto" w:sz="6" w:space="0"/>
                    <w:right w:val="single" w:color="auto" w:sz="8" w:space="0"/>
                  </w:tcBorders>
                  <w:vAlign w:val="center"/>
                </w:tcPr>
                <w:p w14:paraId="7C82DC6E">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rightChars="0"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0.55</w:t>
                  </w:r>
                  <w:r>
                    <w:rPr>
                      <w:rFonts w:hint="default" w:ascii="Times New Roman" w:hAnsi="Times New Roman" w:eastAsia="宋体" w:cs="Times New Roman"/>
                      <w:color w:val="auto"/>
                      <w:sz w:val="21"/>
                      <w:szCs w:val="21"/>
                      <w:highlight w:val="none"/>
                    </w:rPr>
                    <w:t>kg/a</w:t>
                  </w:r>
                </w:p>
              </w:tc>
            </w:tr>
            <w:tr w14:paraId="409ECE0C">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57" w:type="dxa"/>
                  <w:bottom w:w="0" w:type="dxa"/>
                  <w:right w:w="57" w:type="dxa"/>
                </w:tblCellMar>
              </w:tblPrEx>
              <w:trPr>
                <w:trHeight w:val="397" w:hRule="atLeast"/>
              </w:trPr>
              <w:tc>
                <w:tcPr>
                  <w:tcW w:w="1628" w:type="pct"/>
                  <w:gridSpan w:val="4"/>
                  <w:vMerge w:val="continue"/>
                  <w:tcBorders>
                    <w:left w:val="single" w:color="auto" w:sz="8" w:space="0"/>
                    <w:bottom w:val="single" w:color="auto" w:sz="8" w:space="0"/>
                    <w:right w:val="single" w:color="auto" w:sz="6" w:space="0"/>
                  </w:tcBorders>
                  <w:vAlign w:val="center"/>
                </w:tcPr>
                <w:p w14:paraId="791808E6">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p>
              </w:tc>
              <w:tc>
                <w:tcPr>
                  <w:tcW w:w="2121" w:type="pct"/>
                  <w:gridSpan w:val="2"/>
                  <w:tcBorders>
                    <w:top w:val="single" w:color="auto" w:sz="6" w:space="0"/>
                    <w:left w:val="single" w:color="auto" w:sz="6" w:space="0"/>
                    <w:bottom w:val="single" w:color="auto" w:sz="8" w:space="0"/>
                    <w:right w:val="single" w:color="auto" w:sz="6" w:space="0"/>
                  </w:tcBorders>
                  <w:vAlign w:val="center"/>
                </w:tcPr>
                <w:p w14:paraId="7740DD1D">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1250" w:type="pct"/>
                  <w:gridSpan w:val="2"/>
                  <w:tcBorders>
                    <w:top w:val="single" w:color="auto" w:sz="6" w:space="0"/>
                    <w:left w:val="single" w:color="auto" w:sz="6" w:space="0"/>
                    <w:bottom w:val="single" w:color="auto" w:sz="8" w:space="0"/>
                    <w:right w:val="single" w:color="auto" w:sz="8" w:space="0"/>
                  </w:tcBorders>
                  <w:vAlign w:val="center"/>
                </w:tcPr>
                <w:p w14:paraId="72234B77">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rightChars="0"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0.056</w:t>
                  </w:r>
                  <w:r>
                    <w:rPr>
                      <w:rFonts w:hint="default" w:ascii="Times New Roman" w:hAnsi="Times New Roman" w:eastAsia="宋体" w:cs="Times New Roman"/>
                      <w:color w:val="auto"/>
                      <w:sz w:val="21"/>
                      <w:szCs w:val="21"/>
                      <w:highlight w:val="none"/>
                    </w:rPr>
                    <w:t>kg/a</w:t>
                  </w:r>
                </w:p>
              </w:tc>
            </w:tr>
          </w:tbl>
          <w:p w14:paraId="4BA39358">
            <w:pPr>
              <w:keepNext w:val="0"/>
              <w:keepLines w:val="0"/>
              <w:pageBreakBefore w:val="0"/>
              <w:widowControl w:val="0"/>
              <w:suppressLineNumbers w:val="0"/>
              <w:kinsoku/>
              <w:wordWrap/>
              <w:overflowPunct/>
              <w:topLinePunct w:val="0"/>
              <w:autoSpaceDE/>
              <w:autoSpaceDN/>
              <w:bidi w:val="0"/>
              <w:adjustRightInd/>
              <w:snapToGrid/>
              <w:spacing w:before="157" w:beforeLines="50" w:beforeAutospacing="0" w:after="0" w:afterAutospacing="0" w:line="240" w:lineRule="auto"/>
              <w:ind w:left="0" w:right="0"/>
              <w:jc w:val="center"/>
              <w:textAlignment w:val="auto"/>
              <w:rPr>
                <w:rFonts w:hint="default" w:ascii="Times New Roman" w:hAnsi="Times New Roman" w:eastAsia="宋体" w:cs="Times New Roman"/>
                <w:b/>
                <w:bCs/>
                <w:color w:val="auto"/>
                <w:spacing w:val="0"/>
                <w:position w:val="0"/>
                <w:sz w:val="21"/>
                <w:szCs w:val="21"/>
                <w:u w:val="none" w:color="auto"/>
                <w:lang w:val="en-US" w:eastAsia="zh-CN"/>
              </w:rPr>
            </w:pPr>
            <w:r>
              <w:rPr>
                <w:rFonts w:hint="default" w:ascii="Times New Roman" w:hAnsi="Times New Roman" w:eastAsia="宋体" w:cs="Times New Roman"/>
                <w:b/>
                <w:bCs/>
                <w:color w:val="auto"/>
                <w:spacing w:val="0"/>
                <w:position w:val="0"/>
                <w:sz w:val="21"/>
                <w:szCs w:val="21"/>
                <w:u w:val="none" w:color="auto"/>
                <w:lang w:val="en-US" w:eastAsia="zh-CN"/>
              </w:rPr>
              <w:br w:type="page"/>
            </w:r>
            <w:r>
              <w:rPr>
                <w:rFonts w:hint="default" w:ascii="Times New Roman" w:hAnsi="Times New Roman" w:eastAsia="宋体" w:cs="Times New Roman"/>
                <w:b/>
                <w:bCs/>
                <w:color w:val="auto"/>
                <w:spacing w:val="0"/>
                <w:position w:val="0"/>
                <w:sz w:val="21"/>
                <w:szCs w:val="21"/>
                <w:u w:val="none" w:color="auto"/>
                <w:lang w:val="en-US" w:eastAsia="zh-CN"/>
              </w:rPr>
              <w:t>表4-</w:t>
            </w:r>
            <w:r>
              <w:rPr>
                <w:rFonts w:hint="eastAsia" w:ascii="Times New Roman" w:hAnsi="Times New Roman" w:eastAsia="宋体" w:cs="Times New Roman"/>
                <w:b/>
                <w:bCs/>
                <w:color w:val="auto"/>
                <w:spacing w:val="0"/>
                <w:position w:val="0"/>
                <w:sz w:val="21"/>
                <w:szCs w:val="21"/>
                <w:u w:val="none" w:color="auto"/>
                <w:lang w:val="en-US" w:eastAsia="zh-CN"/>
              </w:rPr>
              <w:t>6</w:t>
            </w:r>
            <w:r>
              <w:rPr>
                <w:rFonts w:hint="default" w:ascii="Times New Roman" w:hAnsi="Times New Roman" w:eastAsia="宋体" w:cs="Times New Roman"/>
                <w:b/>
                <w:bCs/>
                <w:color w:val="auto"/>
                <w:spacing w:val="0"/>
                <w:position w:val="0"/>
                <w:sz w:val="21"/>
                <w:szCs w:val="21"/>
                <w:u w:val="none" w:color="auto"/>
                <w:lang w:val="en-US" w:eastAsia="zh-CN"/>
              </w:rPr>
              <w:t xml:space="preserve">   大气污染物年排放量核算表</w:t>
            </w:r>
          </w:p>
          <w:tbl>
            <w:tblPr>
              <w:tblStyle w:val="28"/>
              <w:tblW w:w="4998" w:type="pct"/>
              <w:tblInd w:w="0" w:type="dxa"/>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autofit"/>
              <w:tblCellMar>
                <w:top w:w="0" w:type="dxa"/>
                <w:left w:w="108" w:type="dxa"/>
                <w:bottom w:w="0" w:type="dxa"/>
                <w:right w:w="108" w:type="dxa"/>
              </w:tblCellMar>
            </w:tblPr>
            <w:tblGrid>
              <w:gridCol w:w="2770"/>
              <w:gridCol w:w="2509"/>
              <w:gridCol w:w="3212"/>
            </w:tblGrid>
            <w:tr w14:paraId="5F4506E6">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70" w:hRule="atLeast"/>
              </w:trPr>
              <w:tc>
                <w:tcPr>
                  <w:tcW w:w="1631" w:type="pct"/>
                  <w:tcBorders>
                    <w:top w:val="single" w:color="auto" w:sz="8" w:space="0"/>
                    <w:left w:val="single" w:color="auto" w:sz="8" w:space="0"/>
                    <w:bottom w:val="single" w:color="auto" w:sz="6" w:space="0"/>
                    <w:right w:val="single" w:color="auto" w:sz="6" w:space="0"/>
                  </w:tcBorders>
                  <w:vAlign w:val="center"/>
                </w:tcPr>
                <w:p w14:paraId="50D115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序号</w:t>
                  </w:r>
                </w:p>
              </w:tc>
              <w:tc>
                <w:tcPr>
                  <w:tcW w:w="1477" w:type="pct"/>
                  <w:tcBorders>
                    <w:top w:val="single" w:color="auto" w:sz="8" w:space="0"/>
                    <w:left w:val="single" w:color="auto" w:sz="6" w:space="0"/>
                    <w:bottom w:val="single" w:color="auto" w:sz="6" w:space="0"/>
                    <w:right w:val="single" w:color="auto" w:sz="6" w:space="0"/>
                  </w:tcBorders>
                  <w:vAlign w:val="center"/>
                </w:tcPr>
                <w:p w14:paraId="3A5541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污染物</w:t>
                  </w:r>
                </w:p>
              </w:tc>
              <w:tc>
                <w:tcPr>
                  <w:tcW w:w="1891" w:type="pct"/>
                  <w:tcBorders>
                    <w:top w:val="single" w:color="auto" w:sz="8" w:space="0"/>
                    <w:left w:val="single" w:color="auto" w:sz="6" w:space="0"/>
                    <w:bottom w:val="single" w:color="auto" w:sz="6" w:space="0"/>
                    <w:right w:val="single" w:color="auto" w:sz="8" w:space="0"/>
                  </w:tcBorders>
                  <w:vAlign w:val="center"/>
                </w:tcPr>
                <w:p w14:paraId="28FDF2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年排放量</w:t>
                  </w:r>
                </w:p>
              </w:tc>
            </w:tr>
            <w:tr w14:paraId="424D4D2F">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70" w:hRule="atLeast"/>
              </w:trPr>
              <w:tc>
                <w:tcPr>
                  <w:tcW w:w="1631" w:type="pct"/>
                  <w:tcBorders>
                    <w:top w:val="single" w:color="auto" w:sz="6" w:space="0"/>
                    <w:left w:val="single" w:color="auto" w:sz="8" w:space="0"/>
                    <w:bottom w:val="single" w:color="auto" w:sz="6" w:space="0"/>
                    <w:right w:val="single" w:color="auto" w:sz="6" w:space="0"/>
                  </w:tcBorders>
                  <w:vAlign w:val="center"/>
                </w:tcPr>
                <w:p w14:paraId="0E6432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1477" w:type="pct"/>
                  <w:tcBorders>
                    <w:top w:val="single" w:color="auto" w:sz="6" w:space="0"/>
                    <w:left w:val="single" w:color="auto" w:sz="6" w:space="0"/>
                    <w:bottom w:val="single" w:color="auto" w:sz="6" w:space="0"/>
                    <w:right w:val="single" w:color="auto" w:sz="6" w:space="0"/>
                  </w:tcBorders>
                  <w:vAlign w:val="center"/>
                </w:tcPr>
                <w:p w14:paraId="50DDA761">
                  <w:pPr>
                    <w:pStyle w:val="4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颗粒物</w:t>
                  </w:r>
                </w:p>
              </w:tc>
              <w:tc>
                <w:tcPr>
                  <w:tcW w:w="1891" w:type="pct"/>
                  <w:tcBorders>
                    <w:top w:val="single" w:color="auto" w:sz="6" w:space="0"/>
                    <w:left w:val="single" w:color="auto" w:sz="6" w:space="0"/>
                    <w:bottom w:val="single" w:color="auto" w:sz="6" w:space="0"/>
                    <w:right w:val="single" w:color="auto" w:sz="8" w:space="0"/>
                  </w:tcBorders>
                  <w:shd w:val="clear" w:color="auto" w:fill="auto"/>
                  <w:vAlign w:val="center"/>
                </w:tcPr>
                <w:p w14:paraId="4A17EC73">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0.16t/a</w:t>
                  </w:r>
                </w:p>
              </w:tc>
            </w:tr>
            <w:tr w14:paraId="5EAEEBB6">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70" w:hRule="atLeast"/>
              </w:trPr>
              <w:tc>
                <w:tcPr>
                  <w:tcW w:w="1631" w:type="pct"/>
                  <w:tcBorders>
                    <w:top w:val="single" w:color="auto" w:sz="6" w:space="0"/>
                    <w:left w:val="single" w:color="auto" w:sz="8" w:space="0"/>
                    <w:bottom w:val="single" w:color="auto" w:sz="6" w:space="0"/>
                    <w:right w:val="single" w:color="auto" w:sz="6" w:space="0"/>
                  </w:tcBorders>
                  <w:vAlign w:val="center"/>
                </w:tcPr>
                <w:p w14:paraId="38F7AA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w:t>
                  </w:r>
                </w:p>
              </w:tc>
              <w:tc>
                <w:tcPr>
                  <w:tcW w:w="1477" w:type="pct"/>
                  <w:tcBorders>
                    <w:top w:val="single" w:color="auto" w:sz="6" w:space="0"/>
                    <w:left w:val="single" w:color="auto" w:sz="6" w:space="0"/>
                    <w:bottom w:val="single" w:color="auto" w:sz="6" w:space="0"/>
                    <w:right w:val="single" w:color="auto" w:sz="6" w:space="0"/>
                  </w:tcBorders>
                  <w:vAlign w:val="center"/>
                </w:tcPr>
                <w:p w14:paraId="5E312893">
                  <w:pPr>
                    <w:pStyle w:val="4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二氧化硫</w:t>
                  </w:r>
                </w:p>
              </w:tc>
              <w:tc>
                <w:tcPr>
                  <w:tcW w:w="1891" w:type="pct"/>
                  <w:tcBorders>
                    <w:top w:val="single" w:color="auto" w:sz="6" w:space="0"/>
                    <w:left w:val="single" w:color="auto" w:sz="6" w:space="0"/>
                    <w:bottom w:val="single" w:color="auto" w:sz="6" w:space="0"/>
                    <w:right w:val="single" w:color="auto" w:sz="8" w:space="0"/>
                  </w:tcBorders>
                  <w:shd w:val="clear" w:color="auto" w:fill="auto"/>
                  <w:vAlign w:val="center"/>
                </w:tcPr>
                <w:p w14:paraId="74D24254">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0.122t/a</w:t>
                  </w:r>
                </w:p>
              </w:tc>
            </w:tr>
            <w:tr w14:paraId="192F34A5">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70" w:hRule="atLeast"/>
              </w:trPr>
              <w:tc>
                <w:tcPr>
                  <w:tcW w:w="1631" w:type="pct"/>
                  <w:tcBorders>
                    <w:top w:val="single" w:color="auto" w:sz="6" w:space="0"/>
                    <w:left w:val="single" w:color="auto" w:sz="8" w:space="0"/>
                    <w:bottom w:val="single" w:color="auto" w:sz="6" w:space="0"/>
                    <w:right w:val="single" w:color="auto" w:sz="6" w:space="0"/>
                  </w:tcBorders>
                  <w:vAlign w:val="center"/>
                </w:tcPr>
                <w:p w14:paraId="06C3E8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w:t>
                  </w:r>
                </w:p>
              </w:tc>
              <w:tc>
                <w:tcPr>
                  <w:tcW w:w="1477" w:type="pct"/>
                  <w:tcBorders>
                    <w:top w:val="single" w:color="auto" w:sz="6" w:space="0"/>
                    <w:left w:val="single" w:color="auto" w:sz="6" w:space="0"/>
                    <w:bottom w:val="single" w:color="auto" w:sz="6" w:space="0"/>
                    <w:right w:val="single" w:color="auto" w:sz="6" w:space="0"/>
                  </w:tcBorders>
                  <w:vAlign w:val="center"/>
                </w:tcPr>
                <w:p w14:paraId="03D3D0CE">
                  <w:pPr>
                    <w:pStyle w:val="4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氮氧化物</w:t>
                  </w:r>
                </w:p>
              </w:tc>
              <w:tc>
                <w:tcPr>
                  <w:tcW w:w="1891" w:type="pct"/>
                  <w:tcBorders>
                    <w:top w:val="single" w:color="auto" w:sz="6" w:space="0"/>
                    <w:left w:val="single" w:color="auto" w:sz="6" w:space="0"/>
                    <w:bottom w:val="single" w:color="auto" w:sz="6" w:space="0"/>
                    <w:right w:val="single" w:color="auto" w:sz="8" w:space="0"/>
                  </w:tcBorders>
                  <w:shd w:val="clear" w:color="auto" w:fill="auto"/>
                  <w:vAlign w:val="center"/>
                </w:tcPr>
                <w:p w14:paraId="12A98CF9">
                  <w:pPr>
                    <w:keepNext w:val="0"/>
                    <w:keepLines w:val="0"/>
                    <w:pageBreakBefore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0.163t/a</w:t>
                  </w:r>
                </w:p>
              </w:tc>
            </w:tr>
            <w:tr w14:paraId="4A66EF02">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70" w:hRule="atLeast"/>
              </w:trPr>
              <w:tc>
                <w:tcPr>
                  <w:tcW w:w="1631" w:type="pct"/>
                  <w:tcBorders>
                    <w:top w:val="single" w:color="auto" w:sz="6" w:space="0"/>
                    <w:left w:val="single" w:color="auto" w:sz="8" w:space="0"/>
                    <w:bottom w:val="single" w:color="auto" w:sz="6" w:space="0"/>
                    <w:right w:val="single" w:color="auto" w:sz="6" w:space="0"/>
                  </w:tcBorders>
                  <w:vAlign w:val="center"/>
                </w:tcPr>
                <w:p w14:paraId="0666CE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w:t>
                  </w:r>
                </w:p>
              </w:tc>
              <w:tc>
                <w:tcPr>
                  <w:tcW w:w="1477" w:type="pct"/>
                  <w:tcBorders>
                    <w:top w:val="single" w:color="auto" w:sz="6" w:space="0"/>
                    <w:left w:val="single" w:color="auto" w:sz="6" w:space="0"/>
                    <w:bottom w:val="single" w:color="auto" w:sz="6" w:space="0"/>
                    <w:right w:val="single" w:color="auto" w:sz="6" w:space="0"/>
                  </w:tcBorders>
                  <w:vAlign w:val="center"/>
                </w:tcPr>
                <w:p w14:paraId="6A38B122">
                  <w:pPr>
                    <w:pStyle w:val="6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1891" w:type="pct"/>
                  <w:tcBorders>
                    <w:top w:val="single" w:color="auto" w:sz="6" w:space="0"/>
                    <w:left w:val="single" w:color="auto" w:sz="6" w:space="0"/>
                    <w:bottom w:val="single" w:color="auto" w:sz="6" w:space="0"/>
                    <w:right w:val="single" w:color="auto" w:sz="8" w:space="0"/>
                  </w:tcBorders>
                  <w:vAlign w:val="center"/>
                </w:tcPr>
                <w:p w14:paraId="097F14ED">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rightChars="0" w:firstLine="0" w:firstLineChars="0"/>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0.55</w:t>
                  </w:r>
                  <w:r>
                    <w:rPr>
                      <w:rFonts w:hint="default" w:ascii="Times New Roman" w:hAnsi="Times New Roman" w:eastAsia="宋体" w:cs="Times New Roman"/>
                      <w:color w:val="auto"/>
                      <w:sz w:val="21"/>
                      <w:szCs w:val="21"/>
                      <w:highlight w:val="none"/>
                    </w:rPr>
                    <w:t>kg/a</w:t>
                  </w:r>
                </w:p>
              </w:tc>
            </w:tr>
            <w:tr w14:paraId="5C861213">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70" w:hRule="atLeast"/>
              </w:trPr>
              <w:tc>
                <w:tcPr>
                  <w:tcW w:w="1631" w:type="pct"/>
                  <w:tcBorders>
                    <w:top w:val="single" w:color="auto" w:sz="6" w:space="0"/>
                    <w:left w:val="single" w:color="auto" w:sz="8" w:space="0"/>
                    <w:bottom w:val="single" w:color="auto" w:sz="8" w:space="0"/>
                    <w:right w:val="single" w:color="auto" w:sz="6" w:space="0"/>
                  </w:tcBorders>
                  <w:vAlign w:val="center"/>
                </w:tcPr>
                <w:p w14:paraId="46E0D6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w:t>
                  </w:r>
                </w:p>
              </w:tc>
              <w:tc>
                <w:tcPr>
                  <w:tcW w:w="1477" w:type="pct"/>
                  <w:tcBorders>
                    <w:top w:val="single" w:color="auto" w:sz="6" w:space="0"/>
                    <w:left w:val="single" w:color="auto" w:sz="6" w:space="0"/>
                    <w:bottom w:val="single" w:color="auto" w:sz="8" w:space="0"/>
                    <w:right w:val="single" w:color="auto" w:sz="6" w:space="0"/>
                  </w:tcBorders>
                  <w:vAlign w:val="center"/>
                </w:tcPr>
                <w:p w14:paraId="69C601DF">
                  <w:pPr>
                    <w:pStyle w:val="6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1891" w:type="pct"/>
                  <w:tcBorders>
                    <w:top w:val="single" w:color="auto" w:sz="6" w:space="0"/>
                    <w:left w:val="single" w:color="auto" w:sz="6" w:space="0"/>
                    <w:bottom w:val="single" w:color="auto" w:sz="8" w:space="0"/>
                    <w:right w:val="single" w:color="auto" w:sz="8" w:space="0"/>
                  </w:tcBorders>
                  <w:vAlign w:val="center"/>
                </w:tcPr>
                <w:p w14:paraId="3B655EA7">
                  <w:pPr>
                    <w:pStyle w:val="64"/>
                    <w:keepNext w:val="0"/>
                    <w:keepLines w:val="0"/>
                    <w:pageBreakBefore w:val="0"/>
                    <w:suppressLineNumbers w:val="0"/>
                    <w:kinsoku/>
                    <w:wordWrap/>
                    <w:overflowPunct/>
                    <w:topLinePunct w:val="0"/>
                    <w:bidi w:val="0"/>
                    <w:snapToGrid/>
                    <w:spacing w:before="0" w:beforeAutospacing="0" w:after="0" w:afterAutospacing="0" w:line="240" w:lineRule="auto"/>
                    <w:ind w:left="0" w:right="0" w:rightChars="0" w:firstLine="0" w:firstLineChars="0"/>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0.056</w:t>
                  </w:r>
                  <w:r>
                    <w:rPr>
                      <w:rFonts w:hint="default" w:ascii="Times New Roman" w:hAnsi="Times New Roman" w:eastAsia="宋体" w:cs="Times New Roman"/>
                      <w:color w:val="auto"/>
                      <w:sz w:val="21"/>
                      <w:szCs w:val="21"/>
                      <w:highlight w:val="none"/>
                    </w:rPr>
                    <w:t>kg/a</w:t>
                  </w:r>
                </w:p>
              </w:tc>
            </w:tr>
          </w:tbl>
          <w:p w14:paraId="0360E942">
            <w:pPr>
              <w:keepNext w:val="0"/>
              <w:keepLines w:val="0"/>
              <w:pageBreakBefore w:val="0"/>
              <w:widowControl w:val="0"/>
              <w:suppressLineNumbers w:val="0"/>
              <w:kinsoku/>
              <w:wordWrap/>
              <w:overflowPunct/>
              <w:topLinePunct w:val="0"/>
              <w:autoSpaceDE/>
              <w:autoSpaceDN/>
              <w:bidi w:val="0"/>
              <w:adjustRightInd/>
              <w:snapToGrid/>
              <w:spacing w:before="157" w:beforeLines="50" w:beforeAutospacing="0" w:after="0" w:afterAutospacing="0" w:line="240" w:lineRule="auto"/>
              <w:ind w:left="0" w:right="0"/>
              <w:jc w:val="center"/>
              <w:textAlignment w:val="auto"/>
              <w:rPr>
                <w:rFonts w:hint="eastAsia" w:cs="Times New Roman"/>
                <w:b/>
                <w:color w:val="auto"/>
                <w:kern w:val="0"/>
                <w:sz w:val="21"/>
                <w:szCs w:val="21"/>
                <w:highlight w:val="none"/>
                <w:lang w:val="en-US" w:eastAsia="zh-CN"/>
              </w:rPr>
            </w:pPr>
            <w:r>
              <w:rPr>
                <w:rFonts w:hint="eastAsia" w:cs="Times New Roman"/>
                <w:b/>
                <w:color w:val="auto"/>
                <w:kern w:val="0"/>
                <w:sz w:val="21"/>
                <w:szCs w:val="21"/>
                <w:highlight w:val="none"/>
                <w:lang w:val="en-US" w:eastAsia="zh-CN"/>
              </w:rPr>
              <w:t>表4-7 非正常排放量核算表</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
              <w:gridCol w:w="1437"/>
              <w:gridCol w:w="1208"/>
              <w:gridCol w:w="1209"/>
              <w:gridCol w:w="1209"/>
              <w:gridCol w:w="1209"/>
              <w:gridCol w:w="1209"/>
            </w:tblGrid>
            <w:tr w14:paraId="607E1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 w:type="dxa"/>
                  <w:vAlign w:val="center"/>
                </w:tcPr>
                <w:p w14:paraId="61E35EE1">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序号</w:t>
                  </w:r>
                </w:p>
              </w:tc>
              <w:tc>
                <w:tcPr>
                  <w:tcW w:w="1437" w:type="dxa"/>
                  <w:vAlign w:val="center"/>
                </w:tcPr>
                <w:p w14:paraId="7BAEFDF0">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污染源</w:t>
                  </w:r>
                </w:p>
              </w:tc>
              <w:tc>
                <w:tcPr>
                  <w:tcW w:w="1208" w:type="dxa"/>
                  <w:vAlign w:val="center"/>
                </w:tcPr>
                <w:p w14:paraId="5416F5FF">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非正常排放原因</w:t>
                  </w:r>
                </w:p>
              </w:tc>
              <w:tc>
                <w:tcPr>
                  <w:tcW w:w="1209" w:type="dxa"/>
                  <w:vAlign w:val="center"/>
                </w:tcPr>
                <w:p w14:paraId="5BD9B0E7">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污染物</w:t>
                  </w:r>
                </w:p>
              </w:tc>
              <w:tc>
                <w:tcPr>
                  <w:tcW w:w="1209" w:type="dxa"/>
                  <w:vAlign w:val="center"/>
                </w:tcPr>
                <w:p w14:paraId="20FBB31D">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非正常排放浓度</w:t>
                  </w:r>
                </w:p>
              </w:tc>
              <w:tc>
                <w:tcPr>
                  <w:tcW w:w="1209" w:type="dxa"/>
                  <w:vAlign w:val="center"/>
                </w:tcPr>
                <w:p w14:paraId="177747CB">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非正常排放速率</w:t>
                  </w:r>
                </w:p>
              </w:tc>
              <w:tc>
                <w:tcPr>
                  <w:tcW w:w="1209" w:type="dxa"/>
                  <w:vAlign w:val="center"/>
                </w:tcPr>
                <w:p w14:paraId="674171D3">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应对措施</w:t>
                  </w:r>
                </w:p>
              </w:tc>
            </w:tr>
            <w:tr w14:paraId="5066F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 w:type="dxa"/>
                  <w:vMerge w:val="restart"/>
                  <w:vAlign w:val="center"/>
                </w:tcPr>
                <w:p w14:paraId="62EE8025">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w:t>
                  </w:r>
                </w:p>
              </w:tc>
              <w:tc>
                <w:tcPr>
                  <w:tcW w:w="1437" w:type="dxa"/>
                  <w:vMerge w:val="restart"/>
                  <w:vAlign w:val="center"/>
                </w:tcPr>
                <w:p w14:paraId="1E1AB717">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锅炉燃烧废气</w:t>
                  </w:r>
                </w:p>
              </w:tc>
              <w:tc>
                <w:tcPr>
                  <w:tcW w:w="1208" w:type="dxa"/>
                  <w:vMerge w:val="restart"/>
                  <w:vAlign w:val="center"/>
                </w:tcPr>
                <w:p w14:paraId="1E7E8094">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除尘设施故障</w:t>
                  </w:r>
                </w:p>
              </w:tc>
              <w:tc>
                <w:tcPr>
                  <w:tcW w:w="1209" w:type="dxa"/>
                  <w:shd w:val="clear" w:color="auto" w:fill="auto"/>
                  <w:vAlign w:val="center"/>
                </w:tcPr>
                <w:p w14:paraId="590FF886">
                  <w:pPr>
                    <w:pStyle w:val="4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颗粒物</w:t>
                  </w:r>
                </w:p>
              </w:tc>
              <w:tc>
                <w:tcPr>
                  <w:tcW w:w="1209" w:type="dxa"/>
                  <w:vAlign w:val="center"/>
                </w:tcPr>
                <w:p w14:paraId="43DE8A6F">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eastAsia" w:ascii="Times New Roman" w:cs="Times New Roman"/>
                      <w:sz w:val="21"/>
                      <w:szCs w:val="21"/>
                      <w:vertAlign w:val="baseline"/>
                      <w:lang w:val="en-US" w:eastAsia="zh-CN"/>
                    </w:rPr>
                    <w:t>80.13</w:t>
                  </w:r>
                </w:p>
              </w:tc>
              <w:tc>
                <w:tcPr>
                  <w:tcW w:w="1209" w:type="dxa"/>
                  <w:vAlign w:val="center"/>
                </w:tcPr>
                <w:p w14:paraId="0307C046">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eastAsia" w:ascii="Times New Roman" w:cs="Times New Roman"/>
                      <w:sz w:val="21"/>
                      <w:szCs w:val="21"/>
                      <w:vertAlign w:val="baseline"/>
                      <w:lang w:val="en-US" w:eastAsia="zh-CN"/>
                    </w:rPr>
                    <w:t>0.25</w:t>
                  </w:r>
                </w:p>
              </w:tc>
              <w:tc>
                <w:tcPr>
                  <w:tcW w:w="1209" w:type="dxa"/>
                  <w:vMerge w:val="restart"/>
                  <w:vAlign w:val="center"/>
                </w:tcPr>
                <w:p w14:paraId="6601367F">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停炉检修</w:t>
                  </w:r>
                </w:p>
              </w:tc>
            </w:tr>
            <w:tr w14:paraId="5280F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 w:type="dxa"/>
                  <w:vMerge w:val="continue"/>
                  <w:vAlign w:val="center"/>
                </w:tcPr>
                <w:p w14:paraId="46230924">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p>
              </w:tc>
              <w:tc>
                <w:tcPr>
                  <w:tcW w:w="1437" w:type="dxa"/>
                  <w:vMerge w:val="continue"/>
                  <w:vAlign w:val="center"/>
                </w:tcPr>
                <w:p w14:paraId="6AD46654">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p>
              </w:tc>
              <w:tc>
                <w:tcPr>
                  <w:tcW w:w="1208" w:type="dxa"/>
                  <w:vMerge w:val="continue"/>
                  <w:vAlign w:val="center"/>
                </w:tcPr>
                <w:p w14:paraId="085F17E6">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p>
              </w:tc>
              <w:tc>
                <w:tcPr>
                  <w:tcW w:w="1209" w:type="dxa"/>
                  <w:shd w:val="clear" w:color="auto" w:fill="auto"/>
                  <w:vAlign w:val="center"/>
                </w:tcPr>
                <w:p w14:paraId="6B14EE33">
                  <w:pPr>
                    <w:pStyle w:val="4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二氧化硫</w:t>
                  </w:r>
                </w:p>
              </w:tc>
              <w:tc>
                <w:tcPr>
                  <w:tcW w:w="1209" w:type="dxa"/>
                  <w:shd w:val="clear" w:color="auto" w:fill="auto"/>
                  <w:vAlign w:val="center"/>
                </w:tcPr>
                <w:p w14:paraId="5A7E0E13">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left="0" w:leftChars="0" w:right="0" w:rightChars="0" w:firstLine="0" w:firstLineChars="0"/>
                    <w:jc w:val="center"/>
                    <w:textAlignment w:val="baseline"/>
                    <w:rPr>
                      <w:rFonts w:hint="default" w:ascii="Times New Roman" w:hAnsi="Times New Roman" w:eastAsia="宋体" w:cs="Times New Roman"/>
                      <w:kern w:val="0"/>
                      <w:sz w:val="21"/>
                      <w:szCs w:val="21"/>
                      <w:vertAlign w:val="baseline"/>
                      <w:lang w:val="en-US" w:eastAsia="zh-CN" w:bidi="ar-SA"/>
                    </w:rPr>
                  </w:pPr>
                  <w:r>
                    <w:rPr>
                      <w:rFonts w:hint="eastAsia" w:ascii="Times New Roman" w:cs="Times New Roman"/>
                      <w:kern w:val="0"/>
                      <w:sz w:val="21"/>
                      <w:szCs w:val="21"/>
                      <w:vertAlign w:val="baseline"/>
                      <w:lang w:val="en-US" w:eastAsia="zh-CN" w:bidi="ar-SA"/>
                    </w:rPr>
                    <w:t>122.6</w:t>
                  </w:r>
                </w:p>
              </w:tc>
              <w:tc>
                <w:tcPr>
                  <w:tcW w:w="1209" w:type="dxa"/>
                  <w:shd w:val="clear" w:color="auto" w:fill="auto"/>
                  <w:vAlign w:val="center"/>
                </w:tcPr>
                <w:p w14:paraId="589E1833">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left="0" w:leftChars="0" w:right="0" w:rightChars="0" w:firstLine="0" w:firstLineChars="0"/>
                    <w:jc w:val="center"/>
                    <w:textAlignment w:val="baseline"/>
                    <w:rPr>
                      <w:rFonts w:hint="default" w:ascii="Times New Roman" w:hAnsi="Times New Roman" w:eastAsia="宋体" w:cs="Times New Roman"/>
                      <w:kern w:val="0"/>
                      <w:sz w:val="21"/>
                      <w:szCs w:val="21"/>
                      <w:vertAlign w:val="baseline"/>
                      <w:lang w:val="en-US" w:eastAsia="zh-CN" w:bidi="ar-SA"/>
                    </w:rPr>
                  </w:pPr>
                  <w:r>
                    <w:rPr>
                      <w:rFonts w:hint="eastAsia" w:ascii="Times New Roman" w:cs="Times New Roman"/>
                      <w:kern w:val="0"/>
                      <w:sz w:val="21"/>
                      <w:szCs w:val="21"/>
                      <w:vertAlign w:val="baseline"/>
                      <w:lang w:val="en-US" w:eastAsia="zh-CN" w:bidi="ar-SA"/>
                    </w:rPr>
                    <w:t>0.382</w:t>
                  </w:r>
                </w:p>
              </w:tc>
              <w:tc>
                <w:tcPr>
                  <w:tcW w:w="1209" w:type="dxa"/>
                  <w:vMerge w:val="continue"/>
                  <w:vAlign w:val="center"/>
                </w:tcPr>
                <w:p w14:paraId="0D758312">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p>
              </w:tc>
            </w:tr>
            <w:tr w14:paraId="3C690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 w:type="dxa"/>
                  <w:vMerge w:val="continue"/>
                  <w:vAlign w:val="center"/>
                </w:tcPr>
                <w:p w14:paraId="059E9D8C">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p>
              </w:tc>
              <w:tc>
                <w:tcPr>
                  <w:tcW w:w="1437" w:type="dxa"/>
                  <w:vMerge w:val="continue"/>
                  <w:vAlign w:val="center"/>
                </w:tcPr>
                <w:p w14:paraId="6C5AFA25">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p>
              </w:tc>
              <w:tc>
                <w:tcPr>
                  <w:tcW w:w="1208" w:type="dxa"/>
                  <w:vMerge w:val="continue"/>
                  <w:vAlign w:val="center"/>
                </w:tcPr>
                <w:p w14:paraId="4246D74C">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p>
              </w:tc>
              <w:tc>
                <w:tcPr>
                  <w:tcW w:w="1209" w:type="dxa"/>
                  <w:shd w:val="clear" w:color="auto" w:fill="auto"/>
                  <w:vAlign w:val="center"/>
                </w:tcPr>
                <w:p w14:paraId="3BEC132D">
                  <w:pPr>
                    <w:pStyle w:val="4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氮氧化物</w:t>
                  </w:r>
                </w:p>
              </w:tc>
              <w:tc>
                <w:tcPr>
                  <w:tcW w:w="1209" w:type="dxa"/>
                  <w:shd w:val="clear" w:color="auto" w:fill="auto"/>
                  <w:vAlign w:val="center"/>
                </w:tcPr>
                <w:p w14:paraId="0E9E87C7">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left="0" w:leftChars="0" w:right="0" w:rightChars="0" w:firstLine="0" w:firstLineChars="0"/>
                    <w:jc w:val="center"/>
                    <w:textAlignment w:val="baseline"/>
                    <w:rPr>
                      <w:rFonts w:hint="default" w:ascii="Times New Roman" w:hAnsi="Times New Roman" w:eastAsia="宋体" w:cs="Times New Roman"/>
                      <w:kern w:val="0"/>
                      <w:sz w:val="21"/>
                      <w:szCs w:val="21"/>
                      <w:vertAlign w:val="baseline"/>
                      <w:lang w:val="en-US" w:eastAsia="zh-CN" w:bidi="ar-SA"/>
                    </w:rPr>
                  </w:pPr>
                  <w:r>
                    <w:rPr>
                      <w:rFonts w:hint="eastAsia" w:ascii="Times New Roman" w:cs="Times New Roman"/>
                      <w:kern w:val="0"/>
                      <w:sz w:val="21"/>
                      <w:szCs w:val="21"/>
                      <w:vertAlign w:val="baseline"/>
                      <w:lang w:val="en-US" w:eastAsia="zh-CN" w:bidi="ar-SA"/>
                    </w:rPr>
                    <w:t>163.46</w:t>
                  </w:r>
                </w:p>
              </w:tc>
              <w:tc>
                <w:tcPr>
                  <w:tcW w:w="1209" w:type="dxa"/>
                  <w:shd w:val="clear" w:color="auto" w:fill="auto"/>
                  <w:vAlign w:val="center"/>
                </w:tcPr>
                <w:p w14:paraId="375221B0">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left="0" w:leftChars="0" w:right="0" w:rightChars="0" w:firstLine="0" w:firstLineChars="0"/>
                    <w:jc w:val="center"/>
                    <w:textAlignment w:val="baseline"/>
                    <w:rPr>
                      <w:rFonts w:hint="default" w:ascii="Times New Roman" w:hAnsi="Times New Roman" w:eastAsia="宋体" w:cs="Times New Roman"/>
                      <w:kern w:val="0"/>
                      <w:sz w:val="21"/>
                      <w:szCs w:val="21"/>
                      <w:vertAlign w:val="baseline"/>
                      <w:lang w:val="en-US" w:eastAsia="zh-CN" w:bidi="ar-SA"/>
                    </w:rPr>
                  </w:pPr>
                  <w:r>
                    <w:rPr>
                      <w:rFonts w:hint="eastAsia" w:ascii="Times New Roman" w:cs="Times New Roman"/>
                      <w:kern w:val="0"/>
                      <w:sz w:val="21"/>
                      <w:szCs w:val="21"/>
                      <w:vertAlign w:val="baseline"/>
                      <w:lang w:val="en-US" w:eastAsia="zh-CN" w:bidi="ar-SA"/>
                    </w:rPr>
                    <w:t>0.51</w:t>
                  </w:r>
                </w:p>
              </w:tc>
              <w:tc>
                <w:tcPr>
                  <w:tcW w:w="1209" w:type="dxa"/>
                  <w:vMerge w:val="continue"/>
                  <w:vAlign w:val="center"/>
                </w:tcPr>
                <w:p w14:paraId="28C278DD">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default" w:ascii="Times New Roman" w:hAnsi="Times New Roman" w:cs="Times New Roman"/>
                      <w:sz w:val="21"/>
                      <w:szCs w:val="21"/>
                      <w:vertAlign w:val="baseline"/>
                      <w:lang w:val="en-US" w:eastAsia="zh-CN"/>
                    </w:rPr>
                  </w:pPr>
                </w:p>
              </w:tc>
            </w:tr>
          </w:tbl>
          <w:p w14:paraId="17E1E800">
            <w:pPr>
              <w:pStyle w:val="27"/>
              <w:keepNext w:val="0"/>
              <w:keepLines w:val="0"/>
              <w:pageBreakBefore w:val="0"/>
              <w:widowControl w:val="0"/>
              <w:suppressLineNumbers w:val="0"/>
              <w:kinsoku/>
              <w:wordWrap/>
              <w:overflowPunct/>
              <w:topLinePunct w:val="0"/>
              <w:autoSpaceDE w:val="0"/>
              <w:autoSpaceDN w:val="0"/>
              <w:bidi w:val="0"/>
              <w:adjustRightInd w:val="0"/>
              <w:snapToGrid/>
              <w:spacing w:before="0" w:beforeLines="0" w:beforeAutospacing="0" w:afterAutospacing="0" w:line="240" w:lineRule="auto"/>
              <w:ind w:right="0" w:firstLine="0"/>
              <w:jc w:val="center"/>
              <w:textAlignment w:val="baseline"/>
              <w:rPr>
                <w:rFonts w:hint="eastAsia"/>
                <w:lang w:val="en-US" w:eastAsia="zh-CN"/>
              </w:rPr>
            </w:pPr>
          </w:p>
          <w:p w14:paraId="0A5AEF20">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color w:val="auto"/>
                <w:kern w:val="0"/>
                <w:sz w:val="24"/>
                <w:highlight w:val="none"/>
              </w:rPr>
            </w:pPr>
            <w:r>
              <w:rPr>
                <w:rFonts w:hint="default" w:ascii="Times New Roman" w:hAnsi="Times New Roman" w:eastAsia="宋体" w:cs="Times New Roman"/>
                <w:b/>
                <w:color w:val="auto"/>
                <w:kern w:val="0"/>
                <w:sz w:val="24"/>
                <w:highlight w:val="none"/>
              </w:rPr>
              <w:t>（</w:t>
            </w:r>
            <w:r>
              <w:rPr>
                <w:rFonts w:hint="eastAsia" w:cs="Times New Roman"/>
                <w:b/>
                <w:color w:val="auto"/>
                <w:kern w:val="0"/>
                <w:sz w:val="24"/>
                <w:highlight w:val="none"/>
                <w:lang w:val="en-US" w:eastAsia="zh-CN"/>
              </w:rPr>
              <w:t>3</w:t>
            </w:r>
            <w:r>
              <w:rPr>
                <w:rFonts w:hint="default" w:ascii="Times New Roman" w:hAnsi="Times New Roman" w:eastAsia="宋体" w:cs="Times New Roman"/>
                <w:b/>
                <w:color w:val="auto"/>
                <w:kern w:val="0"/>
                <w:sz w:val="24"/>
                <w:highlight w:val="none"/>
              </w:rPr>
              <w:t>）</w:t>
            </w:r>
            <w:r>
              <w:rPr>
                <w:rFonts w:hint="default" w:ascii="Times New Roman" w:hAnsi="Times New Roman" w:eastAsia="宋体" w:cs="Times New Roman"/>
                <w:b/>
                <w:color w:val="auto"/>
                <w:sz w:val="24"/>
                <w:highlight w:val="none"/>
              </w:rPr>
              <w:t>废气治理措施技术可行性及废气达标可行性分析</w:t>
            </w:r>
          </w:p>
          <w:p w14:paraId="511813DF">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highlight w:val="none"/>
                <w:u w:val="none"/>
              </w:rPr>
            </w:pPr>
            <w:r>
              <w:rPr>
                <w:rFonts w:hint="default" w:ascii="Times New Roman" w:hAnsi="Times New Roman" w:eastAsia="宋体" w:cs="Times New Roman"/>
                <w:color w:val="auto"/>
                <w:sz w:val="24"/>
                <w:highlight w:val="none"/>
                <w:u w:val="none"/>
              </w:rPr>
              <w:t>①</w:t>
            </w:r>
            <w:r>
              <w:rPr>
                <w:rFonts w:hint="eastAsia" w:cs="Times New Roman"/>
                <w:color w:val="auto"/>
                <w:sz w:val="24"/>
                <w:highlight w:val="none"/>
                <w:u w:val="none"/>
                <w:lang w:val="en-US" w:eastAsia="zh-CN"/>
              </w:rPr>
              <w:t>生物质锅炉</w:t>
            </w:r>
            <w:r>
              <w:rPr>
                <w:rFonts w:hint="default" w:ascii="Times New Roman" w:hAnsi="Times New Roman" w:eastAsia="宋体" w:cs="Times New Roman"/>
                <w:color w:val="auto"/>
                <w:sz w:val="24"/>
                <w:highlight w:val="none"/>
                <w:u w:val="none"/>
              </w:rPr>
              <w:t>燃烧废气：本项目</w:t>
            </w:r>
            <w:r>
              <w:rPr>
                <w:rFonts w:hint="eastAsia" w:cs="Times New Roman"/>
                <w:color w:val="auto"/>
                <w:sz w:val="24"/>
                <w:highlight w:val="none"/>
                <w:u w:val="none"/>
                <w:lang w:val="en-US" w:eastAsia="zh-CN"/>
              </w:rPr>
              <w:t>生物质</w:t>
            </w:r>
            <w:r>
              <w:rPr>
                <w:rFonts w:hint="default" w:ascii="Times New Roman" w:hAnsi="Times New Roman" w:eastAsia="宋体" w:cs="Times New Roman"/>
                <w:color w:val="auto"/>
                <w:sz w:val="24"/>
                <w:highlight w:val="none"/>
                <w:u w:val="none"/>
              </w:rPr>
              <w:t>燃料在燃烧过程会产生一定量的烟气，产生烟气的主要污染因子为SO</w:t>
            </w:r>
            <w:r>
              <w:rPr>
                <w:rFonts w:hint="default" w:ascii="Times New Roman" w:hAnsi="Times New Roman" w:eastAsia="宋体" w:cs="Times New Roman"/>
                <w:color w:val="auto"/>
                <w:sz w:val="24"/>
                <w:highlight w:val="none"/>
                <w:u w:val="none"/>
                <w:vertAlign w:val="subscript"/>
              </w:rPr>
              <w:t>2</w:t>
            </w:r>
            <w:r>
              <w:rPr>
                <w:rFonts w:hint="default" w:ascii="Times New Roman" w:hAnsi="Times New Roman" w:eastAsia="宋体" w:cs="Times New Roman"/>
                <w:color w:val="auto"/>
                <w:sz w:val="24"/>
                <w:highlight w:val="none"/>
                <w:u w:val="none"/>
              </w:rPr>
              <w:t>、NO</w:t>
            </w:r>
            <w:r>
              <w:rPr>
                <w:rFonts w:hint="default" w:ascii="Times New Roman" w:hAnsi="Times New Roman" w:eastAsia="宋体" w:cs="Times New Roman"/>
                <w:color w:val="auto"/>
                <w:sz w:val="24"/>
                <w:highlight w:val="none"/>
                <w:u w:val="none"/>
                <w:vertAlign w:val="subscript"/>
              </w:rPr>
              <w:t>X</w:t>
            </w:r>
            <w:r>
              <w:rPr>
                <w:rFonts w:hint="default" w:ascii="Times New Roman" w:hAnsi="Times New Roman" w:eastAsia="宋体" w:cs="Times New Roman"/>
                <w:color w:val="auto"/>
                <w:sz w:val="24"/>
                <w:highlight w:val="none"/>
                <w:u w:val="none"/>
              </w:rPr>
              <w:t>及</w:t>
            </w:r>
            <w:r>
              <w:rPr>
                <w:rFonts w:hint="default" w:ascii="Times New Roman" w:hAnsi="Times New Roman" w:eastAsia="宋体" w:cs="Times New Roman"/>
                <w:color w:val="auto"/>
                <w:sz w:val="24"/>
                <w:highlight w:val="none"/>
                <w:u w:val="none"/>
                <w:lang w:eastAsia="zh-CN"/>
              </w:rPr>
              <w:t>颗粒物</w:t>
            </w:r>
            <w:r>
              <w:rPr>
                <w:rFonts w:hint="default" w:ascii="Times New Roman" w:hAnsi="Times New Roman" w:eastAsia="宋体" w:cs="Times New Roman"/>
                <w:color w:val="auto"/>
                <w:sz w:val="24"/>
                <w:highlight w:val="none"/>
                <w:u w:val="none"/>
              </w:rPr>
              <w:t>。</w:t>
            </w:r>
            <w:r>
              <w:rPr>
                <w:rFonts w:hint="eastAsia" w:cs="Times New Roman"/>
                <w:color w:val="auto"/>
                <w:sz w:val="24"/>
                <w:highlight w:val="none"/>
                <w:u w:val="none"/>
                <w:lang w:val="en-US" w:eastAsia="zh-CN"/>
              </w:rPr>
              <w:t>本</w:t>
            </w:r>
            <w:r>
              <w:rPr>
                <w:rFonts w:hint="default" w:ascii="Times New Roman" w:hAnsi="Times New Roman" w:eastAsia="宋体" w:cs="Times New Roman"/>
                <w:color w:val="auto"/>
                <w:sz w:val="24"/>
                <w:highlight w:val="none"/>
                <w:u w:val="none"/>
              </w:rPr>
              <w:t>项目</w:t>
            </w:r>
            <w:r>
              <w:rPr>
                <w:rFonts w:hint="eastAsia" w:cs="Times New Roman"/>
                <w:color w:val="auto"/>
                <w:sz w:val="24"/>
                <w:highlight w:val="none"/>
                <w:u w:val="none"/>
                <w:lang w:val="en-US" w:eastAsia="zh-CN"/>
              </w:rPr>
              <w:t>生物质锅炉</w:t>
            </w:r>
            <w:r>
              <w:rPr>
                <w:rFonts w:hint="default" w:ascii="Times New Roman" w:hAnsi="Times New Roman" w:eastAsia="宋体" w:cs="Times New Roman"/>
                <w:color w:val="auto"/>
                <w:sz w:val="24"/>
                <w:highlight w:val="none"/>
                <w:u w:val="none"/>
              </w:rPr>
              <w:t>燃烧废气</w:t>
            </w:r>
            <w:r>
              <w:rPr>
                <w:rFonts w:hint="eastAsia" w:cs="Times New Roman"/>
                <w:color w:val="auto"/>
                <w:sz w:val="24"/>
                <w:highlight w:val="none"/>
                <w:u w:val="none"/>
                <w:lang w:val="en-US" w:eastAsia="zh-CN"/>
              </w:rPr>
              <w:t>经</w:t>
            </w:r>
            <w:r>
              <w:rPr>
                <w:rFonts w:hint="default" w:ascii="Times New Roman" w:hAnsi="Times New Roman" w:eastAsia="宋体" w:cs="Times New Roman"/>
                <w:color w:val="auto"/>
                <w:sz w:val="24"/>
                <w:highlight w:val="none"/>
                <w:u w:val="none"/>
                <w:lang w:eastAsia="zh-CN"/>
              </w:rPr>
              <w:t>“</w:t>
            </w:r>
            <w:r>
              <w:rPr>
                <w:rFonts w:hint="default" w:ascii="Times New Roman" w:hAnsi="Times New Roman" w:eastAsia="宋体" w:cs="Times New Roman"/>
                <w:color w:val="auto"/>
                <w:sz w:val="24"/>
                <w:highlight w:val="none"/>
                <w:u w:val="none"/>
                <w:lang w:val="en-US" w:eastAsia="zh-CN"/>
              </w:rPr>
              <w:t>旋风除尘+布袋除尘”</w:t>
            </w:r>
            <w:r>
              <w:rPr>
                <w:rFonts w:hint="default" w:ascii="Times New Roman" w:hAnsi="Times New Roman" w:eastAsia="宋体" w:cs="Times New Roman"/>
                <w:color w:val="auto"/>
                <w:sz w:val="24"/>
                <w:highlight w:val="none"/>
                <w:u w:val="none"/>
              </w:rPr>
              <w:t>设施处理，再经</w:t>
            </w:r>
            <w:r>
              <w:rPr>
                <w:rFonts w:hint="eastAsia" w:cs="Times New Roman"/>
                <w:color w:val="auto"/>
                <w:sz w:val="24"/>
                <w:highlight w:val="none"/>
                <w:u w:val="none"/>
                <w:lang w:val="en-US" w:eastAsia="zh-CN"/>
              </w:rPr>
              <w:t>30</w:t>
            </w:r>
            <w:r>
              <w:rPr>
                <w:rFonts w:hint="default" w:ascii="Times New Roman" w:hAnsi="Times New Roman" w:eastAsia="宋体" w:cs="Times New Roman"/>
                <w:color w:val="auto"/>
                <w:sz w:val="24"/>
                <w:highlight w:val="none"/>
                <w:u w:val="none"/>
              </w:rPr>
              <w:t>米（</w:t>
            </w:r>
            <w:r>
              <w:rPr>
                <w:rFonts w:hint="default" w:ascii="Times New Roman" w:hAnsi="Times New Roman" w:eastAsia="宋体" w:cs="Times New Roman"/>
                <w:color w:val="auto"/>
                <w:sz w:val="24"/>
                <w:highlight w:val="none"/>
                <w:u w:val="none"/>
                <w:lang w:val="en-US" w:eastAsia="zh-CN"/>
              </w:rPr>
              <w:t>DA001</w:t>
            </w:r>
            <w:r>
              <w:rPr>
                <w:rFonts w:hint="default" w:ascii="Times New Roman" w:hAnsi="Times New Roman" w:eastAsia="宋体" w:cs="Times New Roman"/>
                <w:color w:val="auto"/>
                <w:sz w:val="24"/>
                <w:highlight w:val="none"/>
                <w:u w:val="none"/>
              </w:rPr>
              <w:t>）排气筒达标排放。参照《排污许可证申请与核发技术规范 锅炉》（HJ953—2018）表7锅炉烟气污染防治可行技术。</w:t>
            </w:r>
          </w:p>
          <w:p w14:paraId="4D4FD693">
            <w:pPr>
              <w:keepNext w:val="0"/>
              <w:keepLines w:val="0"/>
              <w:suppressLineNumbers w:val="0"/>
              <w:spacing w:before="0" w:beforeAutospacing="0" w:after="0" w:afterAutospacing="0" w:line="360" w:lineRule="auto"/>
              <w:ind w:left="0" w:right="0" w:firstLine="480"/>
              <w:rPr>
                <w:rFonts w:hint="default" w:ascii="Times New Roman" w:hAnsi="Times New Roman" w:eastAsia="宋体" w:cs="Times New Roman"/>
                <w:i w:val="0"/>
                <w:iCs w:val="0"/>
                <w:caps w:val="0"/>
                <w:color w:val="auto"/>
                <w:spacing w:val="0"/>
                <w:sz w:val="24"/>
                <w:szCs w:val="24"/>
                <w:highlight w:val="none"/>
                <w:shd w:val="clear" w:color="auto" w:fill="FFFFFF"/>
              </w:rPr>
            </w:pPr>
            <w:r>
              <w:rPr>
                <w:rFonts w:hint="default" w:ascii="Times New Roman" w:hAnsi="Times New Roman" w:eastAsia="宋体" w:cs="Times New Roman"/>
                <w:color w:val="auto"/>
                <w:sz w:val="24"/>
                <w:highlight w:val="none"/>
                <w:u w:val="none"/>
                <w:lang w:val="en-US" w:eastAsia="zh-CN"/>
              </w:rPr>
              <w:t>“旋风除尘+布袋除尘”组合</w:t>
            </w:r>
            <w:r>
              <w:rPr>
                <w:rFonts w:hint="default" w:ascii="Times New Roman" w:hAnsi="Times New Roman" w:eastAsia="宋体" w:cs="Times New Roman"/>
                <w:color w:val="auto"/>
                <w:sz w:val="24"/>
                <w:highlight w:val="none"/>
                <w:u w:val="none"/>
              </w:rPr>
              <w:t>设施可行性分析：</w:t>
            </w:r>
            <w:r>
              <w:rPr>
                <w:rFonts w:hint="default" w:ascii="Times New Roman" w:hAnsi="Times New Roman" w:eastAsia="宋体" w:cs="Times New Roman"/>
                <w:i w:val="0"/>
                <w:iCs w:val="0"/>
                <w:caps w:val="0"/>
                <w:color w:val="auto"/>
                <w:spacing w:val="0"/>
                <w:sz w:val="24"/>
                <w:szCs w:val="24"/>
                <w:highlight w:val="none"/>
                <w:shd w:val="clear" w:color="auto" w:fill="FFFFFF"/>
              </w:rPr>
              <w:t>旋风除尘器是在离心的作用下实现粉尘从气流中分离，它属于中效除尘器。袋式除尘器是利用织物过滤含尘气体是粉尘沉积在织物表面以达到净化气体的目的，它是一种广泛使用的高效除尘器</w:t>
            </w:r>
            <w:r>
              <w:rPr>
                <w:rFonts w:hint="default" w:ascii="Times New Roman" w:hAnsi="Times New Roman" w:eastAsia="宋体" w:cs="Times New Roman"/>
                <w:color w:val="auto"/>
                <w:sz w:val="24"/>
                <w:highlight w:val="none"/>
                <w:u w:val="none"/>
              </w:rPr>
              <w:t>。</w:t>
            </w:r>
            <w:r>
              <w:rPr>
                <w:rFonts w:hint="default" w:ascii="Times New Roman" w:hAnsi="Times New Roman" w:eastAsia="宋体" w:cs="Times New Roman"/>
                <w:i w:val="0"/>
                <w:iCs w:val="0"/>
                <w:caps w:val="0"/>
                <w:color w:val="auto"/>
                <w:spacing w:val="0"/>
                <w:sz w:val="24"/>
                <w:szCs w:val="24"/>
                <w:highlight w:val="none"/>
                <w:shd w:val="clear" w:color="auto" w:fill="FFFFFF"/>
              </w:rPr>
              <w:t>旋风除尘器主要对高浓度含尘气体进行预处理，降低粉尘浓度，袋式除尘器是对含尘气体做深度处理，进一步提高粉尘的净化效果。</w:t>
            </w:r>
          </w:p>
          <w:p w14:paraId="0383125D">
            <w:pPr>
              <w:keepNext w:val="0"/>
              <w:keepLines w:val="0"/>
              <w:suppressLineNumbers w:val="0"/>
              <w:spacing w:before="0" w:beforeAutospacing="0" w:after="0" w:afterAutospacing="0" w:line="360" w:lineRule="auto"/>
              <w:ind w:left="0" w:right="0" w:firstLine="480"/>
              <w:rPr>
                <w:rFonts w:hint="default" w:ascii="Times New Roman" w:hAnsi="Times New Roman" w:eastAsia="宋体" w:cs="Times New Roman"/>
                <w:i w:val="0"/>
                <w:iCs w:val="0"/>
                <w:caps w:val="0"/>
                <w:color w:val="auto"/>
                <w:spacing w:val="0"/>
                <w:sz w:val="24"/>
                <w:szCs w:val="24"/>
                <w:highlight w:val="none"/>
                <w:shd w:val="clear" w:color="auto" w:fill="FFFFFF"/>
                <w:lang w:eastAsia="zh-CN"/>
              </w:rPr>
            </w:pPr>
            <w:r>
              <w:rPr>
                <w:rFonts w:hint="default" w:ascii="Times New Roman" w:hAnsi="Times New Roman" w:eastAsia="宋体" w:cs="Times New Roman"/>
                <w:i w:val="0"/>
                <w:iCs w:val="0"/>
                <w:caps w:val="0"/>
                <w:color w:val="auto"/>
                <w:spacing w:val="0"/>
                <w:sz w:val="24"/>
                <w:szCs w:val="24"/>
                <w:highlight w:val="none"/>
                <w:shd w:val="clear" w:color="auto" w:fill="FFFFFF"/>
              </w:rPr>
              <w:t>旋风式除尘器：含尘空气由除尘器的进口切线方向进入除尘器的内外筒之间，由上向下作旋转运动（形成外涡旋），逐渐到锥体底部。气流中的灰尘在离心力的作用下被甩向外壁，由于重力作用以及向下气流的带动而落入底部集尘斗。向下的气流到达锥体的底部后，沿除尘器的轴心部位转而向上，形成旋转上升的内涡旋，并由除尘器的出口排出。旋风除尘器具有结构简单、造价低、设备维护修理方便的优点</w:t>
            </w:r>
            <w:r>
              <w:rPr>
                <w:rFonts w:hint="default" w:ascii="Times New Roman" w:hAnsi="Times New Roman" w:eastAsia="宋体" w:cs="Times New Roman"/>
                <w:i w:val="0"/>
                <w:iCs w:val="0"/>
                <w:caps w:val="0"/>
                <w:color w:val="auto"/>
                <w:spacing w:val="0"/>
                <w:sz w:val="24"/>
                <w:szCs w:val="24"/>
                <w:highlight w:val="none"/>
                <w:shd w:val="clear" w:color="auto" w:fill="FFFFFF"/>
                <w:lang w:eastAsia="zh-CN"/>
              </w:rPr>
              <w:t>。</w:t>
            </w:r>
          </w:p>
          <w:p w14:paraId="7A0EBB2E">
            <w:pPr>
              <w:keepNext w:val="0"/>
              <w:keepLines w:val="0"/>
              <w:suppressLineNumbers w:val="0"/>
              <w:spacing w:before="0" w:beforeAutospacing="0" w:after="0" w:afterAutospacing="0" w:line="360" w:lineRule="auto"/>
              <w:ind w:left="0" w:right="0" w:firstLine="480"/>
              <w:rPr>
                <w:rFonts w:hint="default" w:ascii="Times New Roman" w:hAnsi="Times New Roman" w:eastAsia="宋体" w:cs="Times New Roman"/>
                <w:i w:val="0"/>
                <w:iCs w:val="0"/>
                <w:caps w:val="0"/>
                <w:color w:val="auto"/>
                <w:spacing w:val="0"/>
                <w:sz w:val="24"/>
                <w:szCs w:val="24"/>
                <w:highlight w:val="yellow"/>
                <w:shd w:val="clear" w:color="auto" w:fill="FFFFFF"/>
                <w:lang w:eastAsia="zh-CN"/>
              </w:rPr>
            </w:pPr>
            <w:r>
              <w:rPr>
                <w:rFonts w:hint="default" w:ascii="Times New Roman" w:hAnsi="Times New Roman" w:eastAsia="宋体" w:cs="Times New Roman"/>
                <w:i w:val="0"/>
                <w:iCs w:val="0"/>
                <w:caps w:val="0"/>
                <w:color w:val="auto"/>
                <w:spacing w:val="0"/>
                <w:sz w:val="24"/>
                <w:szCs w:val="24"/>
                <w:highlight w:val="none"/>
                <w:shd w:val="clear" w:color="auto" w:fill="FFFFFF"/>
              </w:rPr>
              <w:t>布袋除尘器：过滤式除尘器的一种，含尘气流通过过滤材料将粉尘分离捕集的装置。这种装置主要采用纤维织物作滤料，常用在工业尾气的除尘方面。它的除尘效率</w:t>
            </w:r>
            <w:r>
              <w:rPr>
                <w:rFonts w:hint="eastAsia" w:cs="Times New Roman"/>
                <w:i w:val="0"/>
                <w:iCs w:val="0"/>
                <w:caps w:val="0"/>
                <w:color w:val="auto"/>
                <w:spacing w:val="0"/>
                <w:sz w:val="24"/>
                <w:szCs w:val="24"/>
                <w:highlight w:val="none"/>
                <w:shd w:val="clear" w:color="auto" w:fill="FFFFFF"/>
                <w:lang w:val="en-US" w:eastAsia="zh-CN"/>
              </w:rPr>
              <w:t>较高</w:t>
            </w:r>
            <w:r>
              <w:rPr>
                <w:rFonts w:hint="default" w:ascii="Times New Roman" w:hAnsi="Times New Roman" w:eastAsia="宋体" w:cs="Times New Roman"/>
                <w:i w:val="0"/>
                <w:iCs w:val="0"/>
                <w:caps w:val="0"/>
                <w:color w:val="auto"/>
                <w:spacing w:val="0"/>
                <w:sz w:val="24"/>
                <w:szCs w:val="24"/>
                <w:highlight w:val="none"/>
                <w:shd w:val="clear" w:color="auto" w:fill="FFFFFF"/>
              </w:rPr>
              <w:t>。其主要原理是：含尘气流从进气管进入，从下部进入圆筒形滤袋，在通过滤料的孔隙时，粉尘被捕集与滤料上，透过滤料的清洁气体由排气管排出。沉积在滤料上的粉尘，可在振动的作用下从滤料表面脱落，落入灰斗中。因为滤料本身网孔较大，因而新鲜滤料的除尘效率较低，粉尘因截流、惯性碰撞、静电和扩散等作用，逐渐在滤袋表面形成粉尘层。初层形成后，它成为袋式除尘器的主要过滤层，提高了除尘效率。滤布只不过起着形成粉尘初层和支撑它的骨架作用，但随着粉尘在滤袋上积聚，滤袋两侧的压力差增大，会把有些已附在滤料上的细小粉尘挤压过去，使除尘效率显著下降。另外，若除尘器阻力过高，还会使除尘系统的处理气量显著下降，影响生产系统的排风效果。因此，除尘器阻力达到一定数值后，要及时清灰</w:t>
            </w:r>
            <w:r>
              <w:rPr>
                <w:rFonts w:hint="default" w:ascii="Times New Roman" w:hAnsi="Times New Roman" w:eastAsia="宋体" w:cs="Times New Roman"/>
                <w:i w:val="0"/>
                <w:iCs w:val="0"/>
                <w:caps w:val="0"/>
                <w:color w:val="auto"/>
                <w:spacing w:val="0"/>
                <w:sz w:val="24"/>
                <w:szCs w:val="24"/>
                <w:highlight w:val="none"/>
                <w:shd w:val="clear" w:color="auto" w:fill="FFFFFF"/>
                <w:lang w:eastAsia="zh-CN"/>
              </w:rPr>
              <w:t>。</w:t>
            </w:r>
          </w:p>
          <w:p w14:paraId="6F8B3D72">
            <w:pPr>
              <w:keepNext w:val="0"/>
              <w:keepLines w:val="0"/>
              <w:suppressLineNumbers w:val="0"/>
              <w:spacing w:before="0" w:beforeAutospacing="0" w:after="0" w:afterAutospacing="0" w:line="360" w:lineRule="auto"/>
              <w:ind w:left="0" w:right="0" w:firstLine="48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项目燃烧废气经过</w:t>
            </w:r>
            <w:r>
              <w:rPr>
                <w:rFonts w:hint="default" w:ascii="Times New Roman" w:hAnsi="Times New Roman" w:eastAsia="宋体" w:cs="Times New Roman"/>
                <w:color w:val="auto"/>
                <w:sz w:val="24"/>
                <w:highlight w:val="none"/>
                <w:u w:val="none"/>
                <w:lang w:eastAsia="zh-CN"/>
              </w:rPr>
              <w:t>“</w:t>
            </w:r>
            <w:r>
              <w:rPr>
                <w:rFonts w:hint="default" w:ascii="Times New Roman" w:hAnsi="Times New Roman" w:eastAsia="宋体" w:cs="Times New Roman"/>
                <w:color w:val="auto"/>
                <w:sz w:val="24"/>
                <w:highlight w:val="none"/>
                <w:u w:val="none"/>
                <w:lang w:val="en-US" w:eastAsia="zh-CN"/>
              </w:rPr>
              <w:t>旋风除尘+布袋除尘”</w:t>
            </w:r>
            <w:r>
              <w:rPr>
                <w:rFonts w:hint="default" w:ascii="Times New Roman" w:hAnsi="Times New Roman" w:eastAsia="宋体" w:cs="Times New Roman"/>
                <w:color w:val="auto"/>
                <w:sz w:val="24"/>
                <w:highlight w:val="none"/>
              </w:rPr>
              <w:t>处理后满足</w:t>
            </w:r>
            <w:r>
              <w:rPr>
                <w:rFonts w:hint="default" w:ascii="Times New Roman" w:hAnsi="Times New Roman" w:eastAsia="宋体" w:cs="Times New Roman"/>
                <w:color w:val="auto"/>
                <w:sz w:val="24"/>
                <w:highlight w:val="none"/>
              </w:rPr>
              <w:fldChar w:fldCharType="begin"/>
            </w:r>
            <w:r>
              <w:rPr>
                <w:rFonts w:hint="default" w:ascii="Times New Roman" w:hAnsi="Times New Roman" w:eastAsia="宋体" w:cs="Times New Roman"/>
                <w:color w:val="auto"/>
                <w:sz w:val="24"/>
                <w:highlight w:val="none"/>
              </w:rPr>
              <w:instrText xml:space="preserve"> REF 标准5 \h  \* MERGEFORMAT </w:instrText>
            </w:r>
            <w:r>
              <w:rPr>
                <w:rFonts w:hint="default" w:ascii="Times New Roman" w:hAnsi="Times New Roman" w:eastAsia="宋体" w:cs="Times New Roman"/>
                <w:color w:val="auto"/>
                <w:sz w:val="24"/>
                <w:highlight w:val="none"/>
              </w:rPr>
              <w:fldChar w:fldCharType="separate"/>
            </w:r>
            <w:r>
              <w:rPr>
                <w:rFonts w:hint="default" w:ascii="Times New Roman" w:hAnsi="Times New Roman" w:eastAsia="宋体" w:cs="Times New Roman"/>
                <w:color w:val="auto"/>
                <w:sz w:val="24"/>
                <w:highlight w:val="none"/>
              </w:rPr>
              <w:t>《锅炉大气污染物排放标准》（GB13271-2014）表</w:t>
            </w:r>
            <w:r>
              <w:rPr>
                <w:rFonts w:hint="default" w:ascii="Times New Roman" w:hAnsi="Times New Roman" w:eastAsia="宋体" w:cs="Times New Roman"/>
                <w:color w:val="auto"/>
                <w:sz w:val="24"/>
                <w:highlight w:val="none"/>
                <w:lang w:val="en-US" w:eastAsia="zh-CN"/>
              </w:rPr>
              <w:t>2</w:t>
            </w:r>
            <w:r>
              <w:rPr>
                <w:rFonts w:hint="default" w:ascii="Times New Roman" w:hAnsi="Times New Roman" w:eastAsia="宋体" w:cs="Times New Roman"/>
                <w:color w:val="auto"/>
                <w:sz w:val="24"/>
                <w:highlight w:val="none"/>
              </w:rPr>
              <w:fldChar w:fldCharType="end"/>
            </w:r>
            <w:r>
              <w:rPr>
                <w:rFonts w:hint="eastAsia" w:cs="Times New Roman"/>
                <w:color w:val="auto"/>
                <w:sz w:val="24"/>
                <w:highlight w:val="none"/>
                <w:lang w:val="en-US" w:eastAsia="zh-CN"/>
              </w:rPr>
              <w:t>燃煤锅炉</w:t>
            </w:r>
            <w:r>
              <w:rPr>
                <w:rFonts w:hint="default" w:ascii="Times New Roman" w:hAnsi="Times New Roman" w:eastAsia="宋体" w:cs="Times New Roman"/>
                <w:color w:val="auto"/>
                <w:sz w:val="24"/>
                <w:highlight w:val="none"/>
              </w:rPr>
              <w:t>限值</w:t>
            </w:r>
            <w:r>
              <w:rPr>
                <w:rFonts w:hint="default" w:ascii="Times New Roman" w:hAnsi="Times New Roman" w:eastAsia="宋体" w:cs="Times New Roman"/>
                <w:color w:val="auto"/>
                <w:sz w:val="24"/>
                <w:highlight w:val="none"/>
                <w:lang w:val="en-US" w:eastAsia="zh-CN"/>
              </w:rPr>
              <w:t>要求</w:t>
            </w:r>
            <w:r>
              <w:rPr>
                <w:rFonts w:hint="default" w:ascii="Times New Roman" w:hAnsi="Times New Roman" w:eastAsia="宋体" w:cs="Times New Roman"/>
                <w:color w:val="auto"/>
                <w:sz w:val="24"/>
                <w:highlight w:val="none"/>
              </w:rPr>
              <w:t>（颗粒物：</w:t>
            </w:r>
            <w:r>
              <w:rPr>
                <w:rFonts w:hint="default" w:ascii="Times New Roman" w:hAnsi="Times New Roman" w:eastAsia="宋体" w:cs="Times New Roman"/>
                <w:color w:val="auto"/>
                <w:sz w:val="24"/>
                <w:highlight w:val="none"/>
                <w:lang w:val="en-US" w:eastAsia="zh-CN"/>
              </w:rPr>
              <w:t>5</w:t>
            </w:r>
            <w:r>
              <w:rPr>
                <w:rFonts w:hint="default" w:ascii="Times New Roman" w:hAnsi="Times New Roman" w:eastAsia="宋体" w:cs="Times New Roman"/>
                <w:color w:val="auto"/>
                <w:sz w:val="24"/>
                <w:highlight w:val="none"/>
              </w:rPr>
              <w:t>0mg/m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，二氧化硫：</w:t>
            </w:r>
            <w:r>
              <w:rPr>
                <w:rFonts w:hint="default" w:ascii="Times New Roman" w:hAnsi="Times New Roman" w:eastAsia="宋体" w:cs="Times New Roman"/>
                <w:color w:val="auto"/>
                <w:sz w:val="24"/>
                <w:highlight w:val="none"/>
                <w:lang w:val="en-US" w:eastAsia="zh-CN"/>
              </w:rPr>
              <w:t>3</w:t>
            </w:r>
            <w:r>
              <w:rPr>
                <w:rFonts w:hint="default" w:ascii="Times New Roman" w:hAnsi="Times New Roman" w:eastAsia="宋体" w:cs="Times New Roman"/>
                <w:color w:val="auto"/>
                <w:sz w:val="24"/>
                <w:highlight w:val="none"/>
              </w:rPr>
              <w:t>00 mg/m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，氮氧化物：</w:t>
            </w:r>
            <w:r>
              <w:rPr>
                <w:rFonts w:hint="default" w:ascii="Times New Roman" w:hAnsi="Times New Roman" w:eastAsia="宋体" w:cs="Times New Roman"/>
                <w:color w:val="auto"/>
                <w:sz w:val="24"/>
                <w:highlight w:val="none"/>
                <w:lang w:val="en-US" w:eastAsia="zh-CN"/>
              </w:rPr>
              <w:t>3</w:t>
            </w:r>
            <w:r>
              <w:rPr>
                <w:rFonts w:hint="default" w:ascii="Times New Roman" w:hAnsi="Times New Roman" w:eastAsia="宋体" w:cs="Times New Roman"/>
                <w:color w:val="auto"/>
                <w:sz w:val="24"/>
                <w:highlight w:val="none"/>
              </w:rPr>
              <w:t>00mg/m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）。项目燃烧废气处理采用</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u w:val="none"/>
                <w:lang w:val="en-US" w:eastAsia="zh-CN"/>
              </w:rPr>
              <w:t>旋风除尘+布袋除尘”</w:t>
            </w:r>
            <w:r>
              <w:rPr>
                <w:rFonts w:hint="default" w:ascii="Times New Roman" w:hAnsi="Times New Roman" w:eastAsia="宋体" w:cs="Times New Roman"/>
                <w:color w:val="auto"/>
                <w:sz w:val="24"/>
                <w:highlight w:val="none"/>
              </w:rPr>
              <w:t>设施技术可行。</w:t>
            </w:r>
          </w:p>
          <w:p w14:paraId="4A600380">
            <w:pPr>
              <w:keepNext w:val="0"/>
              <w:keepLines w:val="0"/>
              <w:widowControl/>
              <w:suppressLineNumbers w:val="0"/>
              <w:adjustRightInd w:val="0"/>
              <w:snapToGrid w:val="0"/>
              <w:spacing w:before="0" w:beforeAutospacing="0" w:after="0" w:afterAutospacing="0" w:line="360" w:lineRule="auto"/>
              <w:ind w:left="0" w:right="0" w:firstLine="482" w:firstLineChars="200"/>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sz w:val="24"/>
                <w:highlight w:val="none"/>
              </w:rPr>
              <w:t>（</w:t>
            </w:r>
            <w:r>
              <w:rPr>
                <w:rFonts w:hint="eastAsia" w:cs="Times New Roman"/>
                <w:b/>
                <w:color w:val="auto"/>
                <w:sz w:val="24"/>
                <w:highlight w:val="none"/>
                <w:lang w:val="en-US" w:eastAsia="zh-CN"/>
              </w:rPr>
              <w:t>4</w:t>
            </w:r>
            <w:r>
              <w:rPr>
                <w:rFonts w:hint="default" w:ascii="Times New Roman" w:hAnsi="Times New Roman" w:eastAsia="宋体" w:cs="Times New Roman"/>
                <w:b/>
                <w:color w:val="auto"/>
                <w:sz w:val="24"/>
                <w:highlight w:val="none"/>
              </w:rPr>
              <w:t>）监测要求</w:t>
            </w:r>
          </w:p>
          <w:p w14:paraId="7B5864C6">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根据《排污单位自行监测技术指南 总则》（HJ819-2017）</w:t>
            </w:r>
            <w:r>
              <w:rPr>
                <w:rFonts w:hint="default" w:ascii="Times New Roman" w:hAnsi="Times New Roman" w:eastAsia="宋体" w:cs="Times New Roman"/>
                <w:color w:val="auto"/>
                <w:sz w:val="24"/>
                <w:highlight w:val="none"/>
                <w:lang w:val="en-US" w:eastAsia="zh-CN"/>
              </w:rPr>
              <w:t>和《</w:t>
            </w:r>
            <w:r>
              <w:rPr>
                <w:rFonts w:hint="default" w:ascii="Times New Roman" w:hAnsi="Times New Roman" w:eastAsia="宋体" w:cs="Times New Roman"/>
                <w:color w:val="auto"/>
                <w:sz w:val="24"/>
                <w:highlight w:val="none"/>
              </w:rPr>
              <w:t xml:space="preserve">《排污单位自行监测技术指南 </w:t>
            </w:r>
            <w:r>
              <w:rPr>
                <w:rFonts w:hint="default" w:ascii="Times New Roman" w:hAnsi="Times New Roman" w:eastAsia="宋体" w:cs="Times New Roman"/>
                <w:color w:val="auto"/>
                <w:sz w:val="24"/>
                <w:highlight w:val="none"/>
                <w:lang w:val="en-US" w:eastAsia="zh-CN"/>
              </w:rPr>
              <w:t>食品制造</w:t>
            </w:r>
            <w:r>
              <w:rPr>
                <w:rFonts w:hint="default" w:ascii="Times New Roman" w:hAnsi="Times New Roman" w:eastAsia="宋体" w:cs="Times New Roman"/>
                <w:color w:val="auto"/>
                <w:sz w:val="24"/>
                <w:highlight w:val="none"/>
              </w:rPr>
              <w:t>》（HJ</w:t>
            </w:r>
            <w:r>
              <w:rPr>
                <w:rFonts w:hint="default" w:ascii="Times New Roman" w:hAnsi="Times New Roman" w:eastAsia="宋体" w:cs="Times New Roman"/>
                <w:color w:val="auto"/>
                <w:sz w:val="24"/>
                <w:highlight w:val="none"/>
                <w:lang w:val="en-US" w:eastAsia="zh-CN"/>
              </w:rPr>
              <w:t xml:space="preserve"> 1084-2020</w:t>
            </w:r>
            <w:r>
              <w:rPr>
                <w:rFonts w:hint="default" w:ascii="Times New Roman" w:hAnsi="Times New Roman" w:eastAsia="宋体" w:cs="Times New Roman"/>
                <w:color w:val="auto"/>
                <w:sz w:val="24"/>
                <w:highlight w:val="none"/>
              </w:rPr>
              <w:t>），自行监测计划见下表。</w:t>
            </w:r>
          </w:p>
          <w:p w14:paraId="41BB75CE">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line="240" w:lineRule="auto"/>
              <w:ind w:left="901" w:right="0"/>
              <w:jc w:val="center"/>
              <w:textAlignment w:val="auto"/>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1"/>
                <w:szCs w:val="21"/>
                <w:highlight w:val="none"/>
              </w:rPr>
              <w:t>表4-</w:t>
            </w:r>
            <w:r>
              <w:rPr>
                <w:rFonts w:hint="eastAsia" w:cs="Times New Roman"/>
                <w:b/>
                <w:bCs/>
                <w:color w:val="auto"/>
                <w:sz w:val="21"/>
                <w:szCs w:val="21"/>
                <w:highlight w:val="none"/>
                <w:lang w:val="en-US" w:eastAsia="zh-CN"/>
              </w:rPr>
              <w:t>8</w:t>
            </w:r>
            <w:r>
              <w:rPr>
                <w:rFonts w:hint="default" w:ascii="Times New Roman" w:hAnsi="Times New Roman" w:eastAsia="宋体" w:cs="Times New Roman"/>
                <w:b/>
                <w:bCs/>
                <w:color w:val="auto"/>
                <w:sz w:val="21"/>
                <w:szCs w:val="21"/>
                <w:highlight w:val="none"/>
              </w:rPr>
              <w:t xml:space="preserve">   项目废气污染源自行监测计划一览表</w:t>
            </w:r>
          </w:p>
          <w:tbl>
            <w:tblPr>
              <w:tblStyle w:val="28"/>
              <w:tblW w:w="4994"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834"/>
              <w:gridCol w:w="2416"/>
              <w:gridCol w:w="1235"/>
              <w:gridCol w:w="1276"/>
              <w:gridCol w:w="1728"/>
            </w:tblGrid>
            <w:tr w14:paraId="34237B2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080" w:type="pct"/>
                  <w:vAlign w:val="center"/>
                </w:tcPr>
                <w:p w14:paraId="2DF9C6F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监测点位</w:t>
                  </w:r>
                </w:p>
              </w:tc>
              <w:tc>
                <w:tcPr>
                  <w:tcW w:w="1422" w:type="pct"/>
                  <w:vAlign w:val="center"/>
                </w:tcPr>
                <w:p w14:paraId="50F8F59A">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监测因子</w:t>
                  </w:r>
                </w:p>
              </w:tc>
              <w:tc>
                <w:tcPr>
                  <w:tcW w:w="727" w:type="pct"/>
                  <w:vAlign w:val="center"/>
                </w:tcPr>
                <w:p w14:paraId="0869FAE7">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监测频次</w:t>
                  </w:r>
                </w:p>
              </w:tc>
              <w:tc>
                <w:tcPr>
                  <w:tcW w:w="751" w:type="pct"/>
                  <w:vAlign w:val="center"/>
                </w:tcPr>
                <w:p w14:paraId="535A36E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实施机构</w:t>
                  </w:r>
                </w:p>
              </w:tc>
              <w:tc>
                <w:tcPr>
                  <w:tcW w:w="1017" w:type="pct"/>
                  <w:vAlign w:val="center"/>
                </w:tcPr>
                <w:p w14:paraId="09E6F08D">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b/>
                      <w:bCs/>
                      <w:color w:val="auto"/>
                      <w:kern w:val="0"/>
                      <w:sz w:val="21"/>
                      <w:szCs w:val="21"/>
                      <w:highlight w:val="none"/>
                      <w:lang w:val="en-US" w:eastAsia="zh-CN"/>
                    </w:rPr>
                  </w:pPr>
                  <w:r>
                    <w:rPr>
                      <w:rFonts w:hint="eastAsia" w:cs="Times New Roman"/>
                      <w:b/>
                      <w:bCs/>
                      <w:color w:val="auto"/>
                      <w:kern w:val="0"/>
                      <w:sz w:val="21"/>
                      <w:szCs w:val="21"/>
                      <w:highlight w:val="none"/>
                      <w:lang w:val="en-US" w:eastAsia="zh-CN"/>
                    </w:rPr>
                    <w:t>备注</w:t>
                  </w:r>
                </w:p>
              </w:tc>
            </w:tr>
            <w:tr w14:paraId="4E0F7C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080" w:type="pct"/>
                  <w:vAlign w:val="center"/>
                </w:tcPr>
                <w:p w14:paraId="114E0AFF">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DA001排气筒出口</w:t>
                  </w:r>
                </w:p>
              </w:tc>
              <w:tc>
                <w:tcPr>
                  <w:tcW w:w="1422" w:type="pct"/>
                  <w:vAlign w:val="center"/>
                </w:tcPr>
                <w:p w14:paraId="02AE1E22">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颗粒物、SO</w:t>
                  </w:r>
                  <w:r>
                    <w:rPr>
                      <w:rFonts w:hint="default" w:ascii="Times New Roman" w:hAnsi="Times New Roman" w:eastAsia="宋体" w:cs="Times New Roman"/>
                      <w:color w:val="auto"/>
                      <w:kern w:val="0"/>
                      <w:sz w:val="21"/>
                      <w:szCs w:val="21"/>
                      <w:highlight w:val="none"/>
                      <w:vertAlign w:val="subscript"/>
                    </w:rPr>
                    <w:t>2</w:t>
                  </w:r>
                  <w:r>
                    <w:rPr>
                      <w:rFonts w:hint="default" w:ascii="Times New Roman" w:hAnsi="Times New Roman" w:eastAsia="宋体" w:cs="Times New Roman"/>
                      <w:color w:val="auto"/>
                      <w:kern w:val="0"/>
                      <w:sz w:val="21"/>
                      <w:szCs w:val="21"/>
                      <w:highlight w:val="none"/>
                    </w:rPr>
                    <w:t>、NO</w:t>
                  </w:r>
                  <w:r>
                    <w:rPr>
                      <w:rFonts w:hint="default" w:ascii="Times New Roman" w:hAnsi="Times New Roman" w:eastAsia="宋体" w:cs="Times New Roman"/>
                      <w:color w:val="auto"/>
                      <w:kern w:val="0"/>
                      <w:sz w:val="21"/>
                      <w:szCs w:val="21"/>
                      <w:highlight w:val="none"/>
                      <w:vertAlign w:val="subscript"/>
                    </w:rPr>
                    <w:t>x</w:t>
                  </w:r>
                  <w:r>
                    <w:rPr>
                      <w:rStyle w:val="34"/>
                      <w:rFonts w:hint="default" w:ascii="Times New Roman" w:hAnsi="Times New Roman" w:eastAsia="宋体" w:cs="Times New Roman"/>
                      <w:color w:val="auto"/>
                      <w:kern w:val="0"/>
                      <w:sz w:val="21"/>
                      <w:szCs w:val="21"/>
                      <w:highlight w:val="none"/>
                    </w:rPr>
                    <w:t>、格林曼黑度</w:t>
                  </w:r>
                </w:p>
              </w:tc>
              <w:tc>
                <w:tcPr>
                  <w:tcW w:w="727" w:type="pct"/>
                  <w:vAlign w:val="center"/>
                </w:tcPr>
                <w:p w14:paraId="7D63BF74">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1次/年</w:t>
                  </w:r>
                </w:p>
              </w:tc>
              <w:tc>
                <w:tcPr>
                  <w:tcW w:w="751" w:type="pct"/>
                  <w:vAlign w:val="center"/>
                </w:tcPr>
                <w:p w14:paraId="268FC208">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有资质单位</w:t>
                  </w:r>
                </w:p>
              </w:tc>
              <w:tc>
                <w:tcPr>
                  <w:tcW w:w="1017" w:type="pct"/>
                  <w:vAlign w:val="center"/>
                </w:tcPr>
                <w:p w14:paraId="4641C95F">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本项目生物质锅炉运行时间仅40天</w:t>
                  </w:r>
                </w:p>
              </w:tc>
            </w:tr>
            <w:tr w14:paraId="36D999F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080" w:type="pct"/>
                  <w:vAlign w:val="center"/>
                </w:tcPr>
                <w:p w14:paraId="0C67A337">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厂界无组织监控点</w:t>
                  </w:r>
                </w:p>
              </w:tc>
              <w:tc>
                <w:tcPr>
                  <w:tcW w:w="1422" w:type="pct"/>
                  <w:vAlign w:val="center"/>
                </w:tcPr>
                <w:p w14:paraId="651F407D">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VOCs、</w:t>
                  </w:r>
                  <w:r>
                    <w:rPr>
                      <w:rFonts w:hint="default" w:ascii="Times New Roman" w:hAnsi="Times New Roman" w:eastAsia="宋体" w:cs="Times New Roman"/>
                      <w:color w:val="auto"/>
                      <w:kern w:val="0"/>
                      <w:sz w:val="21"/>
                      <w:szCs w:val="21"/>
                      <w:highlight w:val="none"/>
                    </w:rPr>
                    <w:t>硫化氢、氨气</w:t>
                  </w:r>
                  <w:r>
                    <w:rPr>
                      <w:rFonts w:hint="default" w:ascii="Times New Roman" w:hAnsi="Times New Roman" w:eastAsia="宋体" w:cs="Times New Roman"/>
                      <w:color w:val="auto"/>
                      <w:kern w:val="0"/>
                      <w:sz w:val="21"/>
                      <w:szCs w:val="21"/>
                      <w:highlight w:val="none"/>
                      <w:lang w:eastAsia="zh-CN"/>
                    </w:rPr>
                    <w:t>、</w:t>
                  </w:r>
                  <w:r>
                    <w:rPr>
                      <w:rFonts w:hint="default" w:ascii="Times New Roman" w:hAnsi="Times New Roman" w:eastAsia="宋体" w:cs="Times New Roman"/>
                      <w:color w:val="auto"/>
                      <w:kern w:val="0"/>
                      <w:sz w:val="21"/>
                      <w:szCs w:val="21"/>
                      <w:highlight w:val="none"/>
                      <w:lang w:val="en-US" w:eastAsia="zh-CN"/>
                    </w:rPr>
                    <w:t>臭气浓度</w:t>
                  </w:r>
                </w:p>
              </w:tc>
              <w:tc>
                <w:tcPr>
                  <w:tcW w:w="727" w:type="pct"/>
                  <w:vAlign w:val="center"/>
                </w:tcPr>
                <w:p w14:paraId="1FBE8ED0">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1次/</w:t>
                  </w:r>
                  <w:r>
                    <w:rPr>
                      <w:rFonts w:hint="default" w:ascii="Times New Roman" w:hAnsi="Times New Roman" w:eastAsia="宋体" w:cs="Times New Roman"/>
                      <w:color w:val="auto"/>
                      <w:kern w:val="0"/>
                      <w:sz w:val="21"/>
                      <w:szCs w:val="21"/>
                      <w:highlight w:val="none"/>
                      <w:lang w:val="en-US" w:eastAsia="zh-CN"/>
                    </w:rPr>
                    <w:t>半</w:t>
                  </w:r>
                  <w:r>
                    <w:rPr>
                      <w:rFonts w:hint="default" w:ascii="Times New Roman" w:hAnsi="Times New Roman" w:eastAsia="宋体" w:cs="Times New Roman"/>
                      <w:color w:val="auto"/>
                      <w:kern w:val="0"/>
                      <w:sz w:val="21"/>
                      <w:szCs w:val="21"/>
                      <w:highlight w:val="none"/>
                    </w:rPr>
                    <w:t>年</w:t>
                  </w:r>
                </w:p>
              </w:tc>
              <w:tc>
                <w:tcPr>
                  <w:tcW w:w="751" w:type="pct"/>
                  <w:vAlign w:val="center"/>
                </w:tcPr>
                <w:p w14:paraId="279C9096">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有资质单位</w:t>
                  </w:r>
                </w:p>
              </w:tc>
              <w:tc>
                <w:tcPr>
                  <w:tcW w:w="1017" w:type="pct"/>
                  <w:vAlign w:val="center"/>
                </w:tcPr>
                <w:p w14:paraId="69523536">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其中VOCs监测频次为1次/年，在干黄花菜生产时间内进行监测</w:t>
                  </w:r>
                </w:p>
              </w:tc>
            </w:tr>
          </w:tbl>
          <w:p w14:paraId="70F8169C">
            <w:pPr>
              <w:keepNext w:val="0"/>
              <w:keepLines w:val="0"/>
              <w:suppressLineNumbers w:val="0"/>
              <w:spacing w:before="0" w:beforeAutospacing="0" w:after="0" w:afterAutospacing="0" w:line="360" w:lineRule="auto"/>
              <w:ind w:left="0" w:right="0" w:firstLine="482" w:firstLineChars="200"/>
              <w:jc w:val="left"/>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sz w:val="24"/>
                <w:highlight w:val="none"/>
              </w:rPr>
              <w:t>（</w:t>
            </w:r>
            <w:r>
              <w:rPr>
                <w:rFonts w:hint="eastAsia" w:cs="Times New Roman"/>
                <w:b/>
                <w:color w:val="auto"/>
                <w:sz w:val="24"/>
                <w:highlight w:val="none"/>
                <w:lang w:val="en-US" w:eastAsia="zh-CN"/>
              </w:rPr>
              <w:t>5</w:t>
            </w:r>
            <w:r>
              <w:rPr>
                <w:rFonts w:hint="default" w:ascii="Times New Roman" w:hAnsi="Times New Roman" w:eastAsia="宋体" w:cs="Times New Roman"/>
                <w:b/>
                <w:color w:val="auto"/>
                <w:sz w:val="24"/>
                <w:highlight w:val="none"/>
              </w:rPr>
              <w:t>）大气环境影响评价小结</w:t>
            </w:r>
          </w:p>
          <w:p w14:paraId="1EBC47A8">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本项目</w:t>
            </w:r>
            <w:r>
              <w:rPr>
                <w:rFonts w:hint="eastAsia" w:cs="Times New Roman"/>
                <w:color w:val="auto"/>
                <w:sz w:val="24"/>
                <w:highlight w:val="none"/>
                <w:lang w:val="en-US" w:eastAsia="zh-CN"/>
              </w:rPr>
              <w:t>锅炉燃煤锅炉</w:t>
            </w:r>
            <w:r>
              <w:rPr>
                <w:rFonts w:hint="default" w:ascii="Times New Roman" w:hAnsi="Times New Roman" w:eastAsia="宋体" w:cs="Times New Roman"/>
                <w:color w:val="auto"/>
                <w:sz w:val="24"/>
                <w:highlight w:val="none"/>
              </w:rPr>
              <w:t>燃烧废气经</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旋风除尘+袋式除尘”</w:t>
            </w:r>
            <w:r>
              <w:rPr>
                <w:rFonts w:hint="default" w:ascii="Times New Roman" w:hAnsi="Times New Roman" w:eastAsia="宋体" w:cs="Times New Roman"/>
                <w:color w:val="auto"/>
                <w:sz w:val="24"/>
                <w:highlight w:val="none"/>
              </w:rPr>
              <w:t>设施处理后排放情况能够满足</w:t>
            </w:r>
            <w:r>
              <w:rPr>
                <w:rFonts w:hint="default" w:ascii="Times New Roman" w:hAnsi="Times New Roman" w:eastAsia="宋体" w:cs="Times New Roman"/>
                <w:color w:val="auto"/>
                <w:sz w:val="24"/>
                <w:highlight w:val="none"/>
              </w:rPr>
              <w:fldChar w:fldCharType="begin"/>
            </w:r>
            <w:r>
              <w:rPr>
                <w:rFonts w:hint="default" w:ascii="Times New Roman" w:hAnsi="Times New Roman" w:eastAsia="宋体" w:cs="Times New Roman"/>
                <w:color w:val="auto"/>
                <w:sz w:val="24"/>
                <w:highlight w:val="none"/>
              </w:rPr>
              <w:instrText xml:space="preserve"> REF 标准5 \h  \* MERGEFORMAT </w:instrText>
            </w:r>
            <w:r>
              <w:rPr>
                <w:rFonts w:hint="default" w:ascii="Times New Roman" w:hAnsi="Times New Roman" w:eastAsia="宋体" w:cs="Times New Roman"/>
                <w:color w:val="auto"/>
                <w:sz w:val="24"/>
                <w:highlight w:val="none"/>
              </w:rPr>
              <w:fldChar w:fldCharType="separate"/>
            </w:r>
            <w:r>
              <w:rPr>
                <w:rFonts w:hint="default" w:ascii="Times New Roman" w:hAnsi="Times New Roman" w:eastAsia="宋体" w:cs="Times New Roman"/>
                <w:color w:val="auto"/>
                <w:sz w:val="24"/>
                <w:highlight w:val="none"/>
              </w:rPr>
              <w:t>《锅炉大气污染物排放标准》（GB13271-2014）表</w:t>
            </w:r>
            <w:r>
              <w:rPr>
                <w:rFonts w:hint="default" w:ascii="Times New Roman" w:hAnsi="Times New Roman" w:eastAsia="宋体" w:cs="Times New Roman"/>
                <w:color w:val="auto"/>
                <w:sz w:val="24"/>
                <w:highlight w:val="none"/>
                <w:lang w:val="en-US" w:eastAsia="zh-CN"/>
              </w:rPr>
              <w:t>2</w:t>
            </w:r>
            <w:r>
              <w:rPr>
                <w:rFonts w:hint="eastAsia" w:cs="Times New Roman"/>
                <w:color w:val="auto"/>
                <w:sz w:val="24"/>
                <w:highlight w:val="none"/>
                <w:lang w:val="en-US" w:eastAsia="zh-CN"/>
              </w:rPr>
              <w:t>燃煤锅炉</w:t>
            </w:r>
            <w:r>
              <w:rPr>
                <w:rFonts w:hint="default" w:ascii="Times New Roman" w:hAnsi="Times New Roman" w:eastAsia="宋体" w:cs="Times New Roman"/>
                <w:color w:val="auto"/>
                <w:sz w:val="24"/>
                <w:highlight w:val="none"/>
              </w:rPr>
              <w:t>的排放标准</w:t>
            </w:r>
            <w:r>
              <w:rPr>
                <w:rFonts w:hint="default" w:ascii="Times New Roman" w:hAnsi="Times New Roman" w:eastAsia="宋体" w:cs="Times New Roman"/>
                <w:color w:val="auto"/>
                <w:sz w:val="24"/>
                <w:highlight w:val="none"/>
              </w:rPr>
              <w:fldChar w:fldCharType="end"/>
            </w:r>
            <w:r>
              <w:rPr>
                <w:rFonts w:hint="default" w:ascii="Times New Roman" w:hAnsi="Times New Roman" w:eastAsia="宋体" w:cs="Times New Roman"/>
                <w:color w:val="auto"/>
                <w:sz w:val="24"/>
                <w:highlight w:val="none"/>
              </w:rPr>
              <w:t>要求；污水处理系统恶臭废气中NH</w:t>
            </w:r>
            <w:r>
              <w:rPr>
                <w:rFonts w:hint="default" w:ascii="Times New Roman" w:hAnsi="Times New Roman" w:eastAsia="宋体" w:cs="Times New Roman"/>
                <w:color w:val="auto"/>
                <w:sz w:val="24"/>
                <w:highlight w:val="none"/>
                <w:vertAlign w:val="subscript"/>
              </w:rPr>
              <w:t>3</w:t>
            </w:r>
            <w:r>
              <w:rPr>
                <w:rFonts w:hint="default" w:ascii="Times New Roman" w:hAnsi="Times New Roman" w:eastAsia="宋体" w:cs="Times New Roman"/>
                <w:color w:val="auto"/>
                <w:sz w:val="24"/>
                <w:highlight w:val="none"/>
              </w:rPr>
              <w:t>和H</w:t>
            </w:r>
            <w:r>
              <w:rPr>
                <w:rFonts w:hint="default" w:ascii="Times New Roman" w:hAnsi="Times New Roman" w:eastAsia="宋体" w:cs="Times New Roman"/>
                <w:color w:val="auto"/>
                <w:sz w:val="24"/>
                <w:highlight w:val="none"/>
                <w:vertAlign w:val="subscript"/>
              </w:rPr>
              <w:t>2</w:t>
            </w:r>
            <w:r>
              <w:rPr>
                <w:rFonts w:hint="default" w:ascii="Times New Roman" w:hAnsi="Times New Roman" w:eastAsia="宋体" w:cs="Times New Roman"/>
                <w:color w:val="auto"/>
                <w:sz w:val="24"/>
                <w:highlight w:val="none"/>
              </w:rPr>
              <w:t>S</w:t>
            </w:r>
            <w:r>
              <w:rPr>
                <w:rFonts w:hint="default" w:ascii="Times New Roman" w:hAnsi="Times New Roman" w:eastAsia="宋体" w:cs="Times New Roman"/>
                <w:color w:val="auto"/>
                <w:kern w:val="0"/>
                <w:sz w:val="24"/>
                <w:highlight w:val="none"/>
              </w:rPr>
              <w:t>远低于《恶臭污染物排放标准》（GB14554-93）关于恶臭废气的排放要求</w:t>
            </w:r>
            <w:r>
              <w:rPr>
                <w:rFonts w:hint="eastAsia" w:cs="Times New Roman"/>
                <w:color w:val="auto"/>
                <w:kern w:val="0"/>
                <w:sz w:val="24"/>
                <w:highlight w:val="none"/>
                <w:lang w:eastAsia="zh-CN"/>
              </w:rPr>
              <w:t>；</w:t>
            </w:r>
            <w:r>
              <w:rPr>
                <w:rFonts w:hint="eastAsia"/>
                <w:b w:val="0"/>
                <w:bCs w:val="0"/>
                <w:highlight w:val="none"/>
                <w:lang w:val="en-US" w:eastAsia="zh-CN"/>
              </w:rPr>
              <w:t>干黄花菜生产过程杀青及烘干挥发性有机物以及各生产车间异味通过加强车间通风无组织排放</w:t>
            </w:r>
            <w:r>
              <w:rPr>
                <w:rFonts w:hint="default" w:ascii="Times New Roman" w:hAnsi="Times New Roman" w:eastAsia="宋体" w:cs="Times New Roman"/>
                <w:color w:val="auto"/>
                <w:sz w:val="24"/>
                <w:highlight w:val="none"/>
              </w:rPr>
              <w:t>。项目投产后各车间设备正常运转，环保处理设施正常运行，项目废气对周边环境和环境保护目标影响较小，评价区域内环境空气质量能够维持二级标准要求，项目产生的大气环境影响是可以接受的。</w:t>
            </w:r>
          </w:p>
          <w:p w14:paraId="6D254659">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2、水环境影响和保护措施分析</w:t>
            </w:r>
          </w:p>
          <w:p w14:paraId="63BF56EE">
            <w:pPr>
              <w:keepNext w:val="0"/>
              <w:keepLines w:val="0"/>
              <w:suppressLineNumbers w:val="0"/>
              <w:spacing w:before="0" w:beforeAutospacing="0" w:after="0" w:afterAutospacing="0" w:line="360" w:lineRule="auto"/>
              <w:ind w:left="0" w:right="0" w:firstLine="480" w:firstLineChars="200"/>
              <w:rPr>
                <w:rFonts w:hint="eastAsia" w:cs="Times New Roman"/>
                <w:color w:val="auto"/>
                <w:highlight w:val="none"/>
                <w:lang w:val="en-US" w:eastAsia="zh-CN"/>
              </w:rPr>
            </w:pPr>
            <w:r>
              <w:rPr>
                <w:rFonts w:hint="eastAsia" w:cs="Times New Roman"/>
                <w:color w:val="auto"/>
                <w:sz w:val="24"/>
                <w:highlight w:val="none"/>
                <w:lang w:val="en-US" w:eastAsia="zh-CN"/>
              </w:rPr>
              <w:t>本项目营运期废水主要包括</w:t>
            </w:r>
            <w:r>
              <w:rPr>
                <w:rFonts w:hint="default" w:ascii="Times New Roman" w:hAnsi="Times New Roman" w:cs="Times New Roman"/>
                <w:highlight w:val="none"/>
                <w:u w:val="none"/>
                <w:lang w:val="en-US" w:eastAsia="zh-CN"/>
              </w:rPr>
              <w:t>黄花菜清洗</w:t>
            </w:r>
            <w:r>
              <w:rPr>
                <w:rFonts w:hint="eastAsia" w:cs="Times New Roman"/>
                <w:highlight w:val="none"/>
                <w:u w:val="none"/>
                <w:lang w:val="en-US" w:eastAsia="zh-CN"/>
              </w:rPr>
              <w:t>废水（包括鲜黄花菜清洗废水、干黄花菜浸泡清洗及烫煮废水、盐水渍菜清洗废水）、</w:t>
            </w:r>
            <w:r>
              <w:rPr>
                <w:rFonts w:hint="default" w:ascii="Times New Roman" w:hAnsi="Times New Roman" w:cs="Times New Roman"/>
                <w:highlight w:val="none"/>
                <w:u w:val="none"/>
                <w:lang w:val="en-US" w:eastAsia="zh-CN"/>
              </w:rPr>
              <w:t>车间地面以及设备清洗</w:t>
            </w:r>
            <w:r>
              <w:rPr>
                <w:rFonts w:hint="eastAsia" w:cs="Times New Roman"/>
                <w:highlight w:val="none"/>
                <w:u w:val="none"/>
                <w:lang w:val="en-US" w:eastAsia="zh-CN"/>
              </w:rPr>
              <w:t>废水（干黄花菜生产区地面及设备、即食菜生产区地面及设备、盐水渍菜生产车间地面及设备）</w:t>
            </w:r>
            <w:r>
              <w:rPr>
                <w:rFonts w:hint="eastAsia" w:cs="Times New Roman"/>
                <w:color w:val="auto"/>
                <w:sz w:val="24"/>
                <w:highlight w:val="none"/>
                <w:lang w:val="en-US" w:eastAsia="zh-CN"/>
              </w:rPr>
              <w:t>、锅炉排污水、纯水制备浓水以及员工生活污水</w:t>
            </w:r>
            <w:r>
              <w:rPr>
                <w:rFonts w:hint="default" w:ascii="Times New Roman" w:hAnsi="Times New Roman" w:cs="Times New Roman"/>
                <w:color w:val="auto"/>
                <w:highlight w:val="none"/>
                <w:lang w:val="en-US" w:eastAsia="zh-CN"/>
              </w:rPr>
              <w:t>。</w:t>
            </w:r>
          </w:p>
          <w:p w14:paraId="2F4CA8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s="Times New Roman"/>
                <w:color w:val="auto"/>
                <w:highlight w:val="none"/>
                <w:lang w:val="en-US" w:eastAsia="zh-CN"/>
              </w:rPr>
            </w:pPr>
            <w:r>
              <w:rPr>
                <w:rFonts w:hint="eastAsia" w:cs="Times New Roman"/>
                <w:color w:val="auto"/>
                <w:highlight w:val="none"/>
                <w:lang w:val="en-US" w:eastAsia="zh-CN"/>
              </w:rPr>
              <w:t>根据前文水平衡核算，本项目废水产生及排放情况详见下表。</w:t>
            </w:r>
          </w:p>
          <w:p w14:paraId="18B143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bCs/>
                <w:color w:val="auto"/>
                <w:sz w:val="21"/>
                <w:szCs w:val="21"/>
                <w:highlight w:val="none"/>
                <w:lang w:val="en-US" w:eastAsia="zh-CN"/>
              </w:rPr>
            </w:pPr>
            <w:r>
              <w:rPr>
                <w:rFonts w:hint="eastAsia" w:cs="Times New Roman"/>
                <w:b/>
                <w:bCs/>
                <w:color w:val="auto"/>
                <w:sz w:val="21"/>
                <w:szCs w:val="21"/>
                <w:highlight w:val="none"/>
                <w:lang w:val="en-US" w:eastAsia="zh-CN"/>
              </w:rPr>
              <w:t>表4-9 本项目废水产生及排放情况一览表</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2335"/>
              <w:gridCol w:w="1167"/>
              <w:gridCol w:w="909"/>
              <w:gridCol w:w="909"/>
              <w:gridCol w:w="542"/>
              <w:gridCol w:w="909"/>
              <w:gridCol w:w="1733"/>
            </w:tblGrid>
            <w:tr w14:paraId="40842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4DDAD9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lang w:val="en-US" w:eastAsia="zh-CN"/>
                    </w:rPr>
                  </w:pPr>
                  <w:r>
                    <w:rPr>
                      <w:rFonts w:hint="eastAsia" w:ascii="Times New Roman" w:hAnsi="Times New Roman" w:eastAsia="宋体" w:cs="Times New Roman"/>
                      <w:i w:val="0"/>
                      <w:iCs w:val="0"/>
                      <w:color w:val="000000"/>
                      <w:sz w:val="21"/>
                      <w:szCs w:val="21"/>
                      <w:u w:val="none"/>
                      <w:lang w:val="en-US" w:eastAsia="zh-CN"/>
                    </w:rPr>
                    <w:t>环节</w:t>
                  </w:r>
                </w:p>
              </w:tc>
              <w:tc>
                <w:tcPr>
                  <w:tcW w:w="1220" w:type="pct"/>
                  <w:gridSpan w:val="2"/>
                  <w:shd w:val="clear" w:color="auto" w:fill="auto"/>
                  <w:noWrap/>
                  <w:vAlign w:val="center"/>
                </w:tcPr>
                <w:p w14:paraId="7B399E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用水系数</w:t>
                  </w:r>
                </w:p>
              </w:tc>
              <w:tc>
                <w:tcPr>
                  <w:tcW w:w="534" w:type="pct"/>
                  <w:shd w:val="clear" w:color="auto" w:fill="auto"/>
                  <w:noWrap/>
                  <w:vAlign w:val="center"/>
                </w:tcPr>
                <w:p w14:paraId="52391B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用水量</w:t>
                  </w:r>
                  <w:r>
                    <w:rPr>
                      <w:rFonts w:hint="eastAsia" w:ascii="Times New Roman" w:hAnsi="Times New Roman" w:eastAsia="宋体" w:cs="Times New Roman"/>
                      <w:i w:val="0"/>
                      <w:iCs w:val="0"/>
                      <w:color w:val="000000"/>
                      <w:kern w:val="0"/>
                      <w:sz w:val="21"/>
                      <w:szCs w:val="21"/>
                      <w:u w:val="none"/>
                      <w:lang w:val="en-US" w:eastAsia="zh-CN" w:bidi="ar"/>
                    </w:rPr>
                    <w:t>t/a</w:t>
                  </w:r>
                </w:p>
              </w:tc>
              <w:tc>
                <w:tcPr>
                  <w:tcW w:w="393" w:type="pct"/>
                  <w:shd w:val="clear" w:color="auto" w:fill="auto"/>
                  <w:noWrap/>
                  <w:vAlign w:val="center"/>
                </w:tcPr>
                <w:p w14:paraId="63D836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损耗</w:t>
                  </w:r>
                </w:p>
              </w:tc>
              <w:tc>
                <w:tcPr>
                  <w:tcW w:w="596" w:type="pct"/>
                  <w:shd w:val="clear" w:color="auto" w:fill="auto"/>
                  <w:noWrap/>
                  <w:vAlign w:val="center"/>
                </w:tcPr>
                <w:p w14:paraId="49751B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废水量</w:t>
                  </w:r>
                  <w:r>
                    <w:rPr>
                      <w:rFonts w:hint="eastAsia" w:ascii="Times New Roman" w:hAnsi="Times New Roman" w:eastAsia="宋体" w:cs="Times New Roman"/>
                      <w:i w:val="0"/>
                      <w:iCs w:val="0"/>
                      <w:color w:val="000000"/>
                      <w:kern w:val="0"/>
                      <w:sz w:val="21"/>
                      <w:szCs w:val="21"/>
                      <w:u w:val="none"/>
                      <w:lang w:val="en-US" w:eastAsia="zh-CN" w:bidi="ar"/>
                    </w:rPr>
                    <w:t>t/a</w:t>
                  </w:r>
                </w:p>
              </w:tc>
              <w:tc>
                <w:tcPr>
                  <w:tcW w:w="882" w:type="pct"/>
                  <w:shd w:val="clear" w:color="auto" w:fill="auto"/>
                  <w:noWrap/>
                  <w:vAlign w:val="center"/>
                </w:tcPr>
                <w:p w14:paraId="609EA5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lang w:val="en-US" w:eastAsia="zh-CN"/>
                    </w:rPr>
                  </w:pPr>
                  <w:r>
                    <w:rPr>
                      <w:rFonts w:hint="eastAsia" w:ascii="Times New Roman" w:hAnsi="Times New Roman" w:eastAsia="宋体" w:cs="Times New Roman"/>
                      <w:i w:val="0"/>
                      <w:iCs w:val="0"/>
                      <w:color w:val="000000"/>
                      <w:sz w:val="21"/>
                      <w:szCs w:val="21"/>
                      <w:u w:val="none"/>
                      <w:lang w:val="en-US" w:eastAsia="zh-CN"/>
                    </w:rPr>
                    <w:t>单次最高峰废水量t/d</w:t>
                  </w:r>
                </w:p>
              </w:tc>
            </w:tr>
            <w:tr w14:paraId="24CE5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55E84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鲜黄花菜</w:t>
                  </w:r>
                  <w:r>
                    <w:rPr>
                      <w:rFonts w:hint="default" w:ascii="Times New Roman" w:hAnsi="Times New Roman" w:eastAsia="宋体" w:cs="Times New Roman"/>
                      <w:i w:val="0"/>
                      <w:iCs w:val="0"/>
                      <w:color w:val="000000"/>
                      <w:kern w:val="0"/>
                      <w:sz w:val="21"/>
                      <w:szCs w:val="21"/>
                      <w:u w:val="none"/>
                      <w:lang w:val="en-US" w:eastAsia="zh-CN" w:bidi="ar"/>
                    </w:rPr>
                    <w:t>清洗用水</w:t>
                  </w:r>
                </w:p>
              </w:tc>
              <w:tc>
                <w:tcPr>
                  <w:tcW w:w="686" w:type="pct"/>
                  <w:shd w:val="clear" w:color="auto" w:fill="auto"/>
                  <w:noWrap/>
                  <w:vAlign w:val="center"/>
                </w:tcPr>
                <w:p w14:paraId="2FF5FE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1t菜/0.3t水</w:t>
                  </w:r>
                </w:p>
              </w:tc>
              <w:tc>
                <w:tcPr>
                  <w:tcW w:w="534" w:type="pct"/>
                  <w:shd w:val="clear" w:color="auto" w:fill="auto"/>
                  <w:noWrap/>
                  <w:vAlign w:val="center"/>
                </w:tcPr>
                <w:p w14:paraId="4A7B07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2100t菜</w:t>
                  </w:r>
                  <w:r>
                    <w:rPr>
                      <w:rFonts w:hint="eastAsia" w:ascii="Times New Roman" w:hAnsi="Times New Roman" w:eastAsia="宋体" w:cs="Times New Roman"/>
                      <w:i w:val="0"/>
                      <w:iCs w:val="0"/>
                      <w:color w:val="000000"/>
                      <w:kern w:val="0"/>
                      <w:sz w:val="21"/>
                      <w:szCs w:val="21"/>
                      <w:u w:val="none"/>
                      <w:lang w:val="en-US" w:eastAsia="zh-CN" w:bidi="ar"/>
                    </w:rPr>
                    <w:t>/a</w:t>
                  </w:r>
                </w:p>
              </w:tc>
              <w:tc>
                <w:tcPr>
                  <w:tcW w:w="534" w:type="pct"/>
                  <w:shd w:val="clear" w:color="auto" w:fill="auto"/>
                  <w:noWrap/>
                  <w:vAlign w:val="center"/>
                </w:tcPr>
                <w:p w14:paraId="168094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630</w:t>
                  </w:r>
                </w:p>
              </w:tc>
              <w:tc>
                <w:tcPr>
                  <w:tcW w:w="393" w:type="pct"/>
                  <w:shd w:val="clear" w:color="auto" w:fill="auto"/>
                  <w:noWrap/>
                  <w:vAlign w:val="center"/>
                </w:tcPr>
                <w:p w14:paraId="691457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596" w:type="pct"/>
                  <w:shd w:val="clear" w:color="auto" w:fill="auto"/>
                  <w:noWrap/>
                  <w:vAlign w:val="center"/>
                </w:tcPr>
                <w:p w14:paraId="3FC7D8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567</w:t>
                  </w:r>
                </w:p>
              </w:tc>
              <w:tc>
                <w:tcPr>
                  <w:tcW w:w="882" w:type="pct"/>
                  <w:shd w:val="clear" w:color="auto" w:fill="auto"/>
                  <w:noWrap/>
                  <w:vAlign w:val="center"/>
                </w:tcPr>
                <w:p w14:paraId="0B60C7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14.175</w:t>
                  </w:r>
                </w:p>
              </w:tc>
            </w:tr>
            <w:tr w14:paraId="5880B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1C52DA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干</w:t>
                  </w:r>
                  <w:r>
                    <w:rPr>
                      <w:rFonts w:hint="default" w:ascii="Times New Roman" w:hAnsi="Times New Roman" w:eastAsia="宋体" w:cs="Times New Roman"/>
                      <w:i w:val="0"/>
                      <w:iCs w:val="0"/>
                      <w:color w:val="000000"/>
                      <w:kern w:val="0"/>
                      <w:sz w:val="21"/>
                      <w:szCs w:val="21"/>
                      <w:u w:val="none"/>
                      <w:lang w:val="en-US" w:eastAsia="zh-CN" w:bidi="ar"/>
                    </w:rPr>
                    <w:t>黄花菜浸泡</w:t>
                  </w:r>
                  <w:r>
                    <w:rPr>
                      <w:rFonts w:hint="eastAsia" w:ascii="Times New Roman" w:hAnsi="Times New Roman" w:eastAsia="宋体" w:cs="Times New Roman"/>
                      <w:i w:val="0"/>
                      <w:iCs w:val="0"/>
                      <w:color w:val="000000"/>
                      <w:kern w:val="0"/>
                      <w:sz w:val="21"/>
                      <w:szCs w:val="21"/>
                      <w:u w:val="none"/>
                      <w:lang w:val="en-US" w:eastAsia="zh-CN" w:bidi="ar"/>
                    </w:rPr>
                    <w:t>清洗</w:t>
                  </w:r>
                  <w:r>
                    <w:rPr>
                      <w:rFonts w:hint="default" w:ascii="Times New Roman" w:hAnsi="Times New Roman" w:eastAsia="宋体" w:cs="Times New Roman"/>
                      <w:i w:val="0"/>
                      <w:iCs w:val="0"/>
                      <w:color w:val="000000"/>
                      <w:kern w:val="0"/>
                      <w:sz w:val="21"/>
                      <w:szCs w:val="21"/>
                      <w:u w:val="none"/>
                      <w:lang w:val="en-US" w:eastAsia="zh-CN" w:bidi="ar"/>
                    </w:rPr>
                    <w:t>及烫煮用水</w:t>
                  </w:r>
                </w:p>
              </w:tc>
              <w:tc>
                <w:tcPr>
                  <w:tcW w:w="686" w:type="pct"/>
                  <w:shd w:val="clear" w:color="auto" w:fill="auto"/>
                  <w:noWrap/>
                  <w:vAlign w:val="center"/>
                </w:tcPr>
                <w:p w14:paraId="1173BD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1t菜/2水</w:t>
                  </w:r>
                </w:p>
              </w:tc>
              <w:tc>
                <w:tcPr>
                  <w:tcW w:w="534" w:type="pct"/>
                  <w:shd w:val="clear" w:color="auto" w:fill="auto"/>
                  <w:noWrap/>
                  <w:vAlign w:val="center"/>
                </w:tcPr>
                <w:p w14:paraId="4A8E3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150t菜</w:t>
                  </w:r>
                  <w:r>
                    <w:rPr>
                      <w:rFonts w:hint="eastAsia" w:ascii="Times New Roman" w:hAnsi="Times New Roman" w:eastAsia="宋体" w:cs="Times New Roman"/>
                      <w:i w:val="0"/>
                      <w:iCs w:val="0"/>
                      <w:color w:val="000000"/>
                      <w:kern w:val="0"/>
                      <w:sz w:val="21"/>
                      <w:szCs w:val="21"/>
                      <w:u w:val="none"/>
                      <w:lang w:val="en-US" w:eastAsia="zh-CN" w:bidi="ar"/>
                    </w:rPr>
                    <w:t>/a</w:t>
                  </w:r>
                </w:p>
              </w:tc>
              <w:tc>
                <w:tcPr>
                  <w:tcW w:w="534" w:type="pct"/>
                  <w:shd w:val="clear" w:color="auto" w:fill="auto"/>
                  <w:noWrap/>
                  <w:vAlign w:val="center"/>
                </w:tcPr>
                <w:p w14:paraId="5CE557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300</w:t>
                  </w:r>
                </w:p>
              </w:tc>
              <w:tc>
                <w:tcPr>
                  <w:tcW w:w="393" w:type="pct"/>
                  <w:shd w:val="clear" w:color="auto" w:fill="auto"/>
                  <w:noWrap/>
                  <w:vAlign w:val="center"/>
                </w:tcPr>
                <w:p w14:paraId="5A2C60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596" w:type="pct"/>
                  <w:shd w:val="clear" w:color="auto" w:fill="auto"/>
                  <w:noWrap/>
                  <w:vAlign w:val="center"/>
                </w:tcPr>
                <w:p w14:paraId="73B0EB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270</w:t>
                  </w:r>
                </w:p>
              </w:tc>
              <w:tc>
                <w:tcPr>
                  <w:tcW w:w="882" w:type="pct"/>
                  <w:shd w:val="clear" w:color="auto" w:fill="auto"/>
                  <w:noWrap/>
                  <w:vAlign w:val="center"/>
                </w:tcPr>
                <w:p w14:paraId="65B43C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w:t>
                  </w:r>
                </w:p>
              </w:tc>
            </w:tr>
            <w:tr w14:paraId="37B0A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4890C0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盐水渍菜</w:t>
                  </w:r>
                  <w:r>
                    <w:rPr>
                      <w:rFonts w:hint="default" w:ascii="Times New Roman" w:hAnsi="Times New Roman" w:eastAsia="宋体" w:cs="Times New Roman"/>
                      <w:i w:val="0"/>
                      <w:iCs w:val="0"/>
                      <w:color w:val="000000"/>
                      <w:kern w:val="0"/>
                      <w:sz w:val="21"/>
                      <w:szCs w:val="21"/>
                      <w:u w:val="none"/>
                      <w:lang w:val="en-US" w:eastAsia="zh-CN" w:bidi="ar"/>
                    </w:rPr>
                    <w:t>一次清洗用水</w:t>
                  </w:r>
                </w:p>
              </w:tc>
              <w:tc>
                <w:tcPr>
                  <w:tcW w:w="686" w:type="pct"/>
                  <w:shd w:val="clear" w:color="auto" w:fill="auto"/>
                  <w:noWrap/>
                  <w:vAlign w:val="center"/>
                </w:tcPr>
                <w:p w14:paraId="0C4ECB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1t菜/2t水</w:t>
                  </w:r>
                </w:p>
              </w:tc>
              <w:tc>
                <w:tcPr>
                  <w:tcW w:w="534" w:type="pct"/>
                  <w:shd w:val="clear" w:color="auto" w:fill="auto"/>
                  <w:noWrap/>
                  <w:vAlign w:val="center"/>
                </w:tcPr>
                <w:p w14:paraId="7FD068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5900t菜</w:t>
                  </w:r>
                  <w:r>
                    <w:rPr>
                      <w:rFonts w:hint="eastAsia" w:ascii="Times New Roman" w:hAnsi="Times New Roman" w:eastAsia="宋体" w:cs="Times New Roman"/>
                      <w:i w:val="0"/>
                      <w:iCs w:val="0"/>
                      <w:color w:val="000000"/>
                      <w:kern w:val="0"/>
                      <w:sz w:val="21"/>
                      <w:szCs w:val="21"/>
                      <w:u w:val="none"/>
                      <w:lang w:val="en-US" w:eastAsia="zh-CN" w:bidi="ar"/>
                    </w:rPr>
                    <w:t>/a</w:t>
                  </w:r>
                </w:p>
              </w:tc>
              <w:tc>
                <w:tcPr>
                  <w:tcW w:w="534" w:type="pct"/>
                  <w:shd w:val="clear" w:color="auto" w:fill="auto"/>
                  <w:noWrap/>
                  <w:vAlign w:val="center"/>
                </w:tcPr>
                <w:p w14:paraId="1596FA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11800</w:t>
                  </w:r>
                </w:p>
              </w:tc>
              <w:tc>
                <w:tcPr>
                  <w:tcW w:w="393" w:type="pct"/>
                  <w:shd w:val="clear" w:color="auto" w:fill="auto"/>
                  <w:noWrap/>
                  <w:vAlign w:val="center"/>
                </w:tcPr>
                <w:p w14:paraId="35C13D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596" w:type="pct"/>
                  <w:shd w:val="clear" w:color="auto" w:fill="auto"/>
                  <w:noWrap/>
                  <w:vAlign w:val="center"/>
                </w:tcPr>
                <w:p w14:paraId="266304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10620</w:t>
                  </w:r>
                </w:p>
              </w:tc>
              <w:tc>
                <w:tcPr>
                  <w:tcW w:w="882" w:type="pct"/>
                  <w:shd w:val="clear" w:color="auto" w:fill="auto"/>
                  <w:noWrap/>
                  <w:vAlign w:val="center"/>
                </w:tcPr>
                <w:p w14:paraId="2A176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35.4</w:t>
                  </w:r>
                </w:p>
              </w:tc>
            </w:tr>
            <w:tr w14:paraId="47204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03AD94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盐水渍菜</w:t>
                  </w:r>
                  <w:r>
                    <w:rPr>
                      <w:rFonts w:hint="default" w:ascii="Times New Roman" w:hAnsi="Times New Roman" w:eastAsia="宋体" w:cs="Times New Roman"/>
                      <w:i w:val="0"/>
                      <w:iCs w:val="0"/>
                      <w:color w:val="000000"/>
                      <w:kern w:val="0"/>
                      <w:sz w:val="21"/>
                      <w:szCs w:val="21"/>
                      <w:u w:val="none"/>
                      <w:lang w:val="en-US" w:eastAsia="zh-CN" w:bidi="ar"/>
                    </w:rPr>
                    <w:t>二次清洗用水</w:t>
                  </w:r>
                </w:p>
              </w:tc>
              <w:tc>
                <w:tcPr>
                  <w:tcW w:w="686" w:type="pct"/>
                  <w:shd w:val="clear" w:color="auto" w:fill="auto"/>
                  <w:noWrap/>
                  <w:vAlign w:val="center"/>
                </w:tcPr>
                <w:p w14:paraId="2724CD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1t菜/1.35水</w:t>
                  </w:r>
                </w:p>
              </w:tc>
              <w:tc>
                <w:tcPr>
                  <w:tcW w:w="534" w:type="pct"/>
                  <w:shd w:val="clear" w:color="auto" w:fill="auto"/>
                  <w:noWrap/>
                  <w:vAlign w:val="center"/>
                </w:tcPr>
                <w:p w14:paraId="0E0E52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5900t菜</w:t>
                  </w:r>
                  <w:r>
                    <w:rPr>
                      <w:rFonts w:hint="eastAsia" w:ascii="Times New Roman" w:hAnsi="Times New Roman" w:eastAsia="宋体" w:cs="Times New Roman"/>
                      <w:i w:val="0"/>
                      <w:iCs w:val="0"/>
                      <w:color w:val="000000"/>
                      <w:kern w:val="0"/>
                      <w:sz w:val="21"/>
                      <w:szCs w:val="21"/>
                      <w:u w:val="none"/>
                      <w:lang w:val="en-US" w:eastAsia="zh-CN" w:bidi="ar"/>
                    </w:rPr>
                    <w:t>/a</w:t>
                  </w:r>
                </w:p>
              </w:tc>
              <w:tc>
                <w:tcPr>
                  <w:tcW w:w="534" w:type="pct"/>
                  <w:shd w:val="clear" w:color="auto" w:fill="auto"/>
                  <w:noWrap/>
                  <w:vAlign w:val="center"/>
                </w:tcPr>
                <w:p w14:paraId="76CCE4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7965</w:t>
                  </w:r>
                </w:p>
              </w:tc>
              <w:tc>
                <w:tcPr>
                  <w:tcW w:w="393" w:type="pct"/>
                  <w:shd w:val="clear" w:color="auto" w:fill="auto"/>
                  <w:noWrap/>
                  <w:vAlign w:val="center"/>
                </w:tcPr>
                <w:p w14:paraId="6E6609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596" w:type="pct"/>
                  <w:shd w:val="clear" w:color="auto" w:fill="auto"/>
                  <w:noWrap/>
                  <w:vAlign w:val="center"/>
                </w:tcPr>
                <w:p w14:paraId="3B01DD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7168.5</w:t>
                  </w:r>
                </w:p>
              </w:tc>
              <w:tc>
                <w:tcPr>
                  <w:tcW w:w="882" w:type="pct"/>
                  <w:shd w:val="clear" w:color="auto" w:fill="auto"/>
                  <w:noWrap/>
                  <w:vAlign w:val="center"/>
                </w:tcPr>
                <w:p w14:paraId="4FC09A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23.895</w:t>
                  </w:r>
                </w:p>
              </w:tc>
            </w:tr>
            <w:tr w14:paraId="438F6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52DFF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盐水渍菜</w:t>
                  </w:r>
                  <w:r>
                    <w:rPr>
                      <w:rFonts w:hint="default" w:ascii="Times New Roman" w:hAnsi="Times New Roman" w:eastAsia="宋体" w:cs="Times New Roman"/>
                      <w:i w:val="0"/>
                      <w:iCs w:val="0"/>
                      <w:color w:val="000000"/>
                      <w:kern w:val="0"/>
                      <w:sz w:val="21"/>
                      <w:szCs w:val="21"/>
                      <w:u w:val="none"/>
                      <w:lang w:val="en-US" w:eastAsia="zh-CN" w:bidi="ar"/>
                    </w:rPr>
                    <w:t>三次清洗用水</w:t>
                  </w:r>
                </w:p>
              </w:tc>
              <w:tc>
                <w:tcPr>
                  <w:tcW w:w="686" w:type="pct"/>
                  <w:shd w:val="clear" w:color="auto" w:fill="auto"/>
                  <w:noWrap/>
                  <w:vAlign w:val="center"/>
                </w:tcPr>
                <w:p w14:paraId="62CC91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1t菜/1t水</w:t>
                  </w:r>
                </w:p>
              </w:tc>
              <w:tc>
                <w:tcPr>
                  <w:tcW w:w="534" w:type="pct"/>
                  <w:shd w:val="clear" w:color="auto" w:fill="auto"/>
                  <w:noWrap/>
                  <w:vAlign w:val="center"/>
                </w:tcPr>
                <w:p w14:paraId="09E77A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5900t菜</w:t>
                  </w:r>
                  <w:r>
                    <w:rPr>
                      <w:rFonts w:hint="eastAsia" w:ascii="Times New Roman" w:hAnsi="Times New Roman" w:eastAsia="宋体" w:cs="Times New Roman"/>
                      <w:i w:val="0"/>
                      <w:iCs w:val="0"/>
                      <w:color w:val="000000"/>
                      <w:kern w:val="0"/>
                      <w:sz w:val="21"/>
                      <w:szCs w:val="21"/>
                      <w:u w:val="none"/>
                      <w:lang w:val="en-US" w:eastAsia="zh-CN" w:bidi="ar"/>
                    </w:rPr>
                    <w:t>/a</w:t>
                  </w:r>
                </w:p>
              </w:tc>
              <w:tc>
                <w:tcPr>
                  <w:tcW w:w="534" w:type="pct"/>
                  <w:shd w:val="clear" w:color="auto" w:fill="auto"/>
                  <w:noWrap/>
                  <w:vAlign w:val="center"/>
                </w:tcPr>
                <w:p w14:paraId="0C7498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6785</w:t>
                  </w:r>
                </w:p>
              </w:tc>
              <w:tc>
                <w:tcPr>
                  <w:tcW w:w="393" w:type="pct"/>
                  <w:shd w:val="clear" w:color="auto" w:fill="auto"/>
                  <w:noWrap/>
                  <w:vAlign w:val="center"/>
                </w:tcPr>
                <w:p w14:paraId="6030B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596" w:type="pct"/>
                  <w:shd w:val="clear" w:color="auto" w:fill="auto"/>
                  <w:noWrap/>
                  <w:vAlign w:val="center"/>
                </w:tcPr>
                <w:p w14:paraId="085774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6106.5</w:t>
                  </w:r>
                </w:p>
              </w:tc>
              <w:tc>
                <w:tcPr>
                  <w:tcW w:w="882" w:type="pct"/>
                  <w:shd w:val="clear" w:color="auto" w:fill="auto"/>
                  <w:noWrap/>
                  <w:vAlign w:val="center"/>
                </w:tcPr>
                <w:p w14:paraId="118D1D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20.355</w:t>
                  </w:r>
                </w:p>
              </w:tc>
            </w:tr>
            <w:tr w14:paraId="4CEFD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vAlign w:val="center"/>
                </w:tcPr>
                <w:p w14:paraId="5C120C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干黄花菜</w:t>
                  </w:r>
                  <w:r>
                    <w:rPr>
                      <w:rFonts w:hint="eastAsia" w:ascii="Times New Roman" w:hAnsi="Times New Roman" w:eastAsia="宋体" w:cs="Times New Roman"/>
                      <w:i w:val="0"/>
                      <w:iCs w:val="0"/>
                      <w:color w:val="000000"/>
                      <w:kern w:val="0"/>
                      <w:sz w:val="21"/>
                      <w:szCs w:val="21"/>
                      <w:u w:val="none"/>
                      <w:lang w:val="en-US" w:eastAsia="zh-CN" w:bidi="ar"/>
                    </w:rPr>
                    <w:t>生产区地面</w:t>
                  </w:r>
                  <w:r>
                    <w:rPr>
                      <w:rFonts w:hint="default" w:ascii="Times New Roman" w:hAnsi="Times New Roman" w:eastAsia="宋体" w:cs="Times New Roman"/>
                      <w:i w:val="0"/>
                      <w:iCs w:val="0"/>
                      <w:color w:val="000000"/>
                      <w:kern w:val="0"/>
                      <w:sz w:val="21"/>
                      <w:szCs w:val="21"/>
                      <w:u w:val="none"/>
                      <w:lang w:val="en-US" w:eastAsia="zh-CN" w:bidi="ar"/>
                    </w:rPr>
                    <w:t>和设备冲洗用水</w:t>
                  </w:r>
                </w:p>
              </w:tc>
              <w:tc>
                <w:tcPr>
                  <w:tcW w:w="686" w:type="pct"/>
                  <w:shd w:val="clear" w:color="auto" w:fill="auto"/>
                  <w:noWrap/>
                  <w:vAlign w:val="center"/>
                </w:tcPr>
                <w:p w14:paraId="23ADA0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2t/次</w:t>
                  </w:r>
                </w:p>
              </w:tc>
              <w:tc>
                <w:tcPr>
                  <w:tcW w:w="534" w:type="pct"/>
                  <w:shd w:val="clear" w:color="auto" w:fill="auto"/>
                  <w:noWrap/>
                  <w:vAlign w:val="center"/>
                </w:tcPr>
                <w:p w14:paraId="2A650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3次/年</w:t>
                  </w:r>
                </w:p>
              </w:tc>
              <w:tc>
                <w:tcPr>
                  <w:tcW w:w="534" w:type="pct"/>
                  <w:shd w:val="clear" w:color="auto" w:fill="auto"/>
                  <w:noWrap/>
                  <w:vAlign w:val="center"/>
                </w:tcPr>
                <w:p w14:paraId="5514CE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w:t>
                  </w:r>
                </w:p>
              </w:tc>
              <w:tc>
                <w:tcPr>
                  <w:tcW w:w="393" w:type="pct"/>
                  <w:shd w:val="clear" w:color="auto" w:fill="auto"/>
                  <w:noWrap/>
                  <w:vAlign w:val="center"/>
                </w:tcPr>
                <w:p w14:paraId="12B2B4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0.85</w:t>
                  </w:r>
                </w:p>
              </w:tc>
              <w:tc>
                <w:tcPr>
                  <w:tcW w:w="596" w:type="pct"/>
                  <w:shd w:val="clear" w:color="auto" w:fill="auto"/>
                  <w:noWrap/>
                  <w:vAlign w:val="center"/>
                </w:tcPr>
                <w:p w14:paraId="04CAE9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w:t>
                  </w:r>
                </w:p>
              </w:tc>
              <w:tc>
                <w:tcPr>
                  <w:tcW w:w="882" w:type="pct"/>
                  <w:shd w:val="clear" w:color="auto" w:fill="auto"/>
                  <w:noWrap/>
                  <w:vAlign w:val="center"/>
                </w:tcPr>
                <w:p w14:paraId="6BEA43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r>
            <w:tr w14:paraId="361EA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vAlign w:val="center"/>
                </w:tcPr>
                <w:p w14:paraId="756913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即食黄花菜</w:t>
                  </w:r>
                  <w:r>
                    <w:rPr>
                      <w:rFonts w:hint="eastAsia" w:ascii="Times New Roman" w:hAnsi="Times New Roman" w:eastAsia="宋体" w:cs="Times New Roman"/>
                      <w:i w:val="0"/>
                      <w:iCs w:val="0"/>
                      <w:color w:val="000000"/>
                      <w:kern w:val="0"/>
                      <w:sz w:val="21"/>
                      <w:szCs w:val="21"/>
                      <w:u w:val="none"/>
                      <w:lang w:val="en-US" w:eastAsia="zh-CN" w:bidi="ar"/>
                    </w:rPr>
                    <w:t>生产区地面</w:t>
                  </w:r>
                  <w:r>
                    <w:rPr>
                      <w:rFonts w:hint="default" w:ascii="Times New Roman" w:hAnsi="Times New Roman" w:eastAsia="宋体" w:cs="Times New Roman"/>
                      <w:i w:val="0"/>
                      <w:iCs w:val="0"/>
                      <w:color w:val="000000"/>
                      <w:kern w:val="0"/>
                      <w:sz w:val="21"/>
                      <w:szCs w:val="21"/>
                      <w:u w:val="none"/>
                      <w:lang w:val="en-US" w:eastAsia="zh-CN" w:bidi="ar"/>
                    </w:rPr>
                    <w:t>和设备冲洗用水</w:t>
                  </w:r>
                </w:p>
              </w:tc>
              <w:tc>
                <w:tcPr>
                  <w:tcW w:w="686" w:type="pct"/>
                  <w:shd w:val="clear" w:color="auto" w:fill="auto"/>
                  <w:noWrap/>
                  <w:vAlign w:val="center"/>
                </w:tcPr>
                <w:p w14:paraId="213A83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2t/次</w:t>
                  </w:r>
                </w:p>
              </w:tc>
              <w:tc>
                <w:tcPr>
                  <w:tcW w:w="534" w:type="pct"/>
                  <w:shd w:val="clear" w:color="auto" w:fill="auto"/>
                  <w:noWrap/>
                  <w:vAlign w:val="center"/>
                </w:tcPr>
                <w:p w14:paraId="2826E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2次/月</w:t>
                  </w:r>
                </w:p>
              </w:tc>
              <w:tc>
                <w:tcPr>
                  <w:tcW w:w="534" w:type="pct"/>
                  <w:shd w:val="clear" w:color="auto" w:fill="auto"/>
                  <w:noWrap/>
                  <w:vAlign w:val="center"/>
                </w:tcPr>
                <w:p w14:paraId="2C4948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w:t>
                  </w:r>
                </w:p>
              </w:tc>
              <w:tc>
                <w:tcPr>
                  <w:tcW w:w="393" w:type="pct"/>
                  <w:shd w:val="clear" w:color="auto" w:fill="auto"/>
                  <w:noWrap/>
                  <w:vAlign w:val="center"/>
                </w:tcPr>
                <w:p w14:paraId="55794F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0.85</w:t>
                  </w:r>
                </w:p>
              </w:tc>
              <w:tc>
                <w:tcPr>
                  <w:tcW w:w="596" w:type="pct"/>
                  <w:shd w:val="clear" w:color="auto" w:fill="auto"/>
                  <w:noWrap/>
                  <w:vAlign w:val="center"/>
                </w:tcPr>
                <w:p w14:paraId="6A23BB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w:t>
                  </w:r>
                </w:p>
              </w:tc>
              <w:tc>
                <w:tcPr>
                  <w:tcW w:w="882" w:type="pct"/>
                  <w:shd w:val="clear" w:color="auto" w:fill="auto"/>
                  <w:noWrap/>
                  <w:vAlign w:val="center"/>
                </w:tcPr>
                <w:p w14:paraId="34A590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r>
            <w:tr w14:paraId="1E665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vAlign w:val="center"/>
                </w:tcPr>
                <w:p w14:paraId="57B0A6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盐水渍菜</w:t>
                  </w:r>
                  <w:r>
                    <w:rPr>
                      <w:rFonts w:hint="default" w:ascii="Times New Roman" w:hAnsi="Times New Roman" w:eastAsia="宋体" w:cs="Times New Roman"/>
                      <w:i w:val="0"/>
                      <w:iCs w:val="0"/>
                      <w:color w:val="000000"/>
                      <w:kern w:val="0"/>
                      <w:sz w:val="21"/>
                      <w:szCs w:val="21"/>
                      <w:u w:val="none"/>
                      <w:lang w:val="en-US" w:eastAsia="zh-CN" w:bidi="ar"/>
                    </w:rPr>
                    <w:t>生产车间和设备清洗用水</w:t>
                  </w:r>
                </w:p>
              </w:tc>
              <w:tc>
                <w:tcPr>
                  <w:tcW w:w="686" w:type="pct"/>
                  <w:shd w:val="clear" w:color="auto" w:fill="auto"/>
                  <w:noWrap/>
                  <w:vAlign w:val="center"/>
                </w:tcPr>
                <w:p w14:paraId="1AD044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6t/次</w:t>
                  </w:r>
                </w:p>
              </w:tc>
              <w:tc>
                <w:tcPr>
                  <w:tcW w:w="534" w:type="pct"/>
                  <w:shd w:val="clear" w:color="auto" w:fill="auto"/>
                  <w:noWrap/>
                  <w:vAlign w:val="center"/>
                </w:tcPr>
                <w:p w14:paraId="2BD248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2次/月</w:t>
                  </w:r>
                </w:p>
              </w:tc>
              <w:tc>
                <w:tcPr>
                  <w:tcW w:w="534" w:type="pct"/>
                  <w:shd w:val="clear" w:color="auto" w:fill="auto"/>
                  <w:noWrap/>
                  <w:vAlign w:val="center"/>
                </w:tcPr>
                <w:p w14:paraId="7CDF50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120</w:t>
                  </w:r>
                </w:p>
              </w:tc>
              <w:tc>
                <w:tcPr>
                  <w:tcW w:w="393" w:type="pct"/>
                  <w:shd w:val="clear" w:color="auto" w:fill="auto"/>
                  <w:noWrap/>
                  <w:vAlign w:val="center"/>
                </w:tcPr>
                <w:p w14:paraId="0D22B4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0.85</w:t>
                  </w:r>
                </w:p>
              </w:tc>
              <w:tc>
                <w:tcPr>
                  <w:tcW w:w="596" w:type="pct"/>
                  <w:shd w:val="clear" w:color="auto" w:fill="auto"/>
                  <w:noWrap/>
                  <w:vAlign w:val="center"/>
                </w:tcPr>
                <w:p w14:paraId="4E8FBF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102</w:t>
                  </w:r>
                </w:p>
              </w:tc>
              <w:tc>
                <w:tcPr>
                  <w:tcW w:w="882" w:type="pct"/>
                  <w:shd w:val="clear" w:color="auto" w:fill="auto"/>
                  <w:noWrap/>
                  <w:vAlign w:val="center"/>
                </w:tcPr>
                <w:p w14:paraId="0DF85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w:t>
                  </w:r>
                </w:p>
              </w:tc>
            </w:tr>
            <w:tr w14:paraId="39360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204DC5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员工生活用水</w:t>
                  </w:r>
                </w:p>
              </w:tc>
              <w:tc>
                <w:tcPr>
                  <w:tcW w:w="686" w:type="pct"/>
                  <w:shd w:val="clear" w:color="auto" w:fill="auto"/>
                  <w:noWrap/>
                  <w:vAlign w:val="center"/>
                </w:tcPr>
                <w:p w14:paraId="1D8CC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r>
                    <w:rPr>
                      <w:rFonts w:hint="default" w:ascii="Times New Roman" w:hAnsi="Times New Roman" w:eastAsia="宋体" w:cs="Times New Roman"/>
                      <w:i w:val="0"/>
                      <w:iCs w:val="0"/>
                      <w:color w:val="000000"/>
                      <w:kern w:val="0"/>
                      <w:sz w:val="21"/>
                      <w:szCs w:val="21"/>
                      <w:u w:val="none"/>
                      <w:lang w:val="en-US" w:eastAsia="zh-CN" w:bidi="ar"/>
                    </w:rPr>
                    <w:t>/人·a</w:t>
                  </w:r>
                </w:p>
              </w:tc>
              <w:tc>
                <w:tcPr>
                  <w:tcW w:w="534" w:type="pct"/>
                  <w:shd w:val="clear" w:color="auto" w:fill="auto"/>
                  <w:noWrap/>
                  <w:vAlign w:val="center"/>
                </w:tcPr>
                <w:p w14:paraId="2EF3E7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24人</w:t>
                  </w:r>
                </w:p>
              </w:tc>
              <w:tc>
                <w:tcPr>
                  <w:tcW w:w="534" w:type="pct"/>
                  <w:shd w:val="clear" w:color="auto" w:fill="auto"/>
                  <w:noWrap/>
                  <w:vAlign w:val="center"/>
                </w:tcPr>
                <w:p w14:paraId="1130ED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912</w:t>
                  </w:r>
                </w:p>
              </w:tc>
              <w:tc>
                <w:tcPr>
                  <w:tcW w:w="393" w:type="pct"/>
                  <w:shd w:val="clear" w:color="auto" w:fill="auto"/>
                  <w:noWrap/>
                  <w:vAlign w:val="center"/>
                </w:tcPr>
                <w:p w14:paraId="33B96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0.85</w:t>
                  </w:r>
                </w:p>
              </w:tc>
              <w:tc>
                <w:tcPr>
                  <w:tcW w:w="596" w:type="pct"/>
                  <w:shd w:val="clear" w:color="auto" w:fill="auto"/>
                  <w:noWrap/>
                  <w:vAlign w:val="center"/>
                </w:tcPr>
                <w:p w14:paraId="680BAC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775.2</w:t>
                  </w:r>
                </w:p>
              </w:tc>
              <w:tc>
                <w:tcPr>
                  <w:tcW w:w="882" w:type="pct"/>
                  <w:shd w:val="clear" w:color="auto" w:fill="auto"/>
                  <w:noWrap/>
                  <w:vAlign w:val="center"/>
                </w:tcPr>
                <w:p w14:paraId="70D62B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2.584</w:t>
                  </w:r>
                </w:p>
              </w:tc>
            </w:tr>
            <w:tr w14:paraId="60EA6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19CBB4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纯水制备用水</w:t>
                  </w:r>
                </w:p>
              </w:tc>
              <w:tc>
                <w:tcPr>
                  <w:tcW w:w="686" w:type="pct"/>
                  <w:shd w:val="clear" w:color="auto" w:fill="auto"/>
                  <w:vAlign w:val="center"/>
                </w:tcPr>
                <w:p w14:paraId="48A02D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系统回收率75%</w:t>
                  </w:r>
                </w:p>
              </w:tc>
              <w:tc>
                <w:tcPr>
                  <w:tcW w:w="534" w:type="pct"/>
                  <w:shd w:val="clear" w:color="auto" w:fill="auto"/>
                  <w:noWrap/>
                  <w:vAlign w:val="center"/>
                </w:tcPr>
                <w:p w14:paraId="1B743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Times New Roman" w:hAnsi="Times New Roman" w:eastAsia="宋体" w:cs="Times New Roman"/>
                      <w:i w:val="0"/>
                      <w:iCs w:val="0"/>
                      <w:color w:val="000000"/>
                      <w:sz w:val="21"/>
                      <w:szCs w:val="21"/>
                      <w:u w:val="none"/>
                      <w:lang w:val="en-US" w:eastAsia="zh-CN"/>
                    </w:rPr>
                  </w:pPr>
                  <w:r>
                    <w:rPr>
                      <w:rFonts w:hint="eastAsia" w:ascii="Times New Roman" w:hAnsi="Times New Roman" w:eastAsia="宋体" w:cs="Times New Roman"/>
                      <w:i w:val="0"/>
                      <w:iCs w:val="0"/>
                      <w:color w:val="000000"/>
                      <w:sz w:val="21"/>
                      <w:szCs w:val="21"/>
                      <w:u w:val="none"/>
                      <w:lang w:val="en-US" w:eastAsia="zh-CN"/>
                    </w:rPr>
                    <w:t>/</w:t>
                  </w:r>
                </w:p>
              </w:tc>
              <w:tc>
                <w:tcPr>
                  <w:tcW w:w="534" w:type="pct"/>
                  <w:shd w:val="clear" w:color="auto" w:fill="auto"/>
                  <w:noWrap/>
                  <w:vAlign w:val="center"/>
                </w:tcPr>
                <w:p w14:paraId="0B9487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183.25 </w:t>
                  </w:r>
                </w:p>
              </w:tc>
              <w:tc>
                <w:tcPr>
                  <w:tcW w:w="393" w:type="pct"/>
                  <w:shd w:val="clear" w:color="auto" w:fill="auto"/>
                  <w:noWrap/>
                  <w:vAlign w:val="center"/>
                </w:tcPr>
                <w:p w14:paraId="636942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Times New Roman" w:hAnsi="Times New Roman" w:eastAsia="宋体" w:cs="Times New Roman"/>
                      <w:i w:val="0"/>
                      <w:iCs w:val="0"/>
                      <w:color w:val="000000"/>
                      <w:sz w:val="21"/>
                      <w:szCs w:val="21"/>
                      <w:u w:val="none"/>
                      <w:lang w:val="en-US" w:eastAsia="zh-CN"/>
                    </w:rPr>
                  </w:pPr>
                  <w:r>
                    <w:rPr>
                      <w:rFonts w:hint="eastAsia" w:ascii="Times New Roman" w:hAnsi="Times New Roman" w:eastAsia="宋体" w:cs="Times New Roman"/>
                      <w:i w:val="0"/>
                      <w:iCs w:val="0"/>
                      <w:color w:val="000000"/>
                      <w:sz w:val="21"/>
                      <w:szCs w:val="21"/>
                      <w:u w:val="none"/>
                      <w:lang w:val="en-US" w:eastAsia="zh-CN"/>
                    </w:rPr>
                    <w:t>/</w:t>
                  </w:r>
                </w:p>
              </w:tc>
              <w:tc>
                <w:tcPr>
                  <w:tcW w:w="596" w:type="pct"/>
                  <w:shd w:val="clear" w:color="auto" w:fill="auto"/>
                  <w:noWrap/>
                  <w:vAlign w:val="center"/>
                </w:tcPr>
                <w:p w14:paraId="748D8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45.81</w:t>
                  </w:r>
                  <w:r>
                    <w:rPr>
                      <w:rFonts w:hint="default" w:ascii="Times New Roman" w:hAnsi="Times New Roman" w:eastAsia="宋体" w:cs="Times New Roman"/>
                      <w:i w:val="0"/>
                      <w:iCs w:val="0"/>
                      <w:color w:val="000000"/>
                      <w:kern w:val="0"/>
                      <w:sz w:val="21"/>
                      <w:szCs w:val="21"/>
                      <w:u w:val="none"/>
                      <w:lang w:val="en-US" w:eastAsia="zh-CN" w:bidi="ar"/>
                    </w:rPr>
                    <w:t xml:space="preserve"> </w:t>
                  </w:r>
                </w:p>
              </w:tc>
              <w:tc>
                <w:tcPr>
                  <w:tcW w:w="882" w:type="pct"/>
                  <w:shd w:val="clear" w:color="auto" w:fill="auto"/>
                  <w:noWrap/>
                  <w:vAlign w:val="center"/>
                </w:tcPr>
                <w:p w14:paraId="19C7D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1.145</w:t>
                  </w:r>
                  <w:r>
                    <w:rPr>
                      <w:rFonts w:hint="default" w:ascii="Times New Roman" w:hAnsi="Times New Roman" w:eastAsia="宋体" w:cs="Times New Roman"/>
                      <w:i w:val="0"/>
                      <w:iCs w:val="0"/>
                      <w:color w:val="000000"/>
                      <w:kern w:val="0"/>
                      <w:sz w:val="21"/>
                      <w:szCs w:val="21"/>
                      <w:u w:val="none"/>
                      <w:lang w:val="en-US" w:eastAsia="zh-CN" w:bidi="ar"/>
                    </w:rPr>
                    <w:t xml:space="preserve"> </w:t>
                  </w:r>
                </w:p>
              </w:tc>
            </w:tr>
            <w:tr w14:paraId="6ACD9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2C0E65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锅炉排污水</w:t>
                  </w:r>
                </w:p>
              </w:tc>
              <w:tc>
                <w:tcPr>
                  <w:tcW w:w="686" w:type="pct"/>
                  <w:shd w:val="clear" w:color="auto" w:fill="auto"/>
                  <w:vAlign w:val="center"/>
                </w:tcPr>
                <w:p w14:paraId="30297C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0.259t/t·原料</w:t>
                  </w:r>
                </w:p>
              </w:tc>
              <w:tc>
                <w:tcPr>
                  <w:tcW w:w="534" w:type="pct"/>
                  <w:shd w:val="clear" w:color="auto" w:fill="auto"/>
                  <w:noWrap/>
                  <w:vAlign w:val="center"/>
                </w:tcPr>
                <w:p w14:paraId="79FB1E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lang w:val="en-US" w:eastAsia="zh-CN"/>
                    </w:rPr>
                  </w:pPr>
                  <w:r>
                    <w:rPr>
                      <w:rFonts w:hint="eastAsia" w:ascii="Times New Roman" w:hAnsi="Times New Roman" w:eastAsia="宋体" w:cs="Times New Roman"/>
                      <w:i w:val="0"/>
                      <w:iCs w:val="0"/>
                      <w:color w:val="000000"/>
                      <w:sz w:val="21"/>
                      <w:szCs w:val="21"/>
                      <w:u w:val="none"/>
                      <w:lang w:val="en-US" w:eastAsia="zh-CN"/>
                    </w:rPr>
                    <w:t>160t</w:t>
                  </w:r>
                </w:p>
              </w:tc>
              <w:tc>
                <w:tcPr>
                  <w:tcW w:w="534" w:type="pct"/>
                  <w:shd w:val="clear" w:color="auto" w:fill="auto"/>
                  <w:noWrap/>
                  <w:vAlign w:val="center"/>
                </w:tcPr>
                <w:p w14:paraId="69D01E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393" w:type="pct"/>
                  <w:shd w:val="clear" w:color="auto" w:fill="auto"/>
                  <w:noWrap/>
                  <w:vAlign w:val="center"/>
                </w:tcPr>
                <w:p w14:paraId="5DCDF1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Times New Roman" w:hAnsi="Times New Roman" w:eastAsia="宋体" w:cs="Times New Roman"/>
                      <w:i w:val="0"/>
                      <w:iCs w:val="0"/>
                      <w:color w:val="000000"/>
                      <w:sz w:val="21"/>
                      <w:szCs w:val="21"/>
                      <w:u w:val="none"/>
                      <w:lang w:val="en-US" w:eastAsia="zh-CN"/>
                    </w:rPr>
                  </w:pPr>
                  <w:r>
                    <w:rPr>
                      <w:rFonts w:hint="eastAsia" w:ascii="Times New Roman" w:hAnsi="Times New Roman" w:eastAsia="宋体" w:cs="Times New Roman"/>
                      <w:i w:val="0"/>
                      <w:iCs w:val="0"/>
                      <w:color w:val="000000"/>
                      <w:sz w:val="21"/>
                      <w:szCs w:val="21"/>
                      <w:u w:val="none"/>
                      <w:lang w:val="en-US" w:eastAsia="zh-CN"/>
                    </w:rPr>
                    <w:t>/</w:t>
                  </w:r>
                </w:p>
              </w:tc>
              <w:tc>
                <w:tcPr>
                  <w:tcW w:w="596" w:type="pct"/>
                  <w:shd w:val="clear" w:color="auto" w:fill="auto"/>
                  <w:noWrap/>
                  <w:vAlign w:val="center"/>
                </w:tcPr>
                <w:p w14:paraId="0FA362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41.44</w:t>
                  </w:r>
                </w:p>
              </w:tc>
              <w:tc>
                <w:tcPr>
                  <w:tcW w:w="882" w:type="pct"/>
                  <w:shd w:val="clear" w:color="auto" w:fill="auto"/>
                  <w:noWrap/>
                  <w:vAlign w:val="center"/>
                </w:tcPr>
                <w:p w14:paraId="45A6BA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1.036 </w:t>
                  </w:r>
                </w:p>
              </w:tc>
            </w:tr>
            <w:tr w14:paraId="0612E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28352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盐水配制</w:t>
                  </w:r>
                </w:p>
              </w:tc>
              <w:tc>
                <w:tcPr>
                  <w:tcW w:w="686" w:type="pct"/>
                  <w:shd w:val="clear" w:color="auto" w:fill="auto"/>
                  <w:noWrap/>
                  <w:vAlign w:val="center"/>
                </w:tcPr>
                <w:p w14:paraId="6CEF32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1.5t菜/3.5t水</w:t>
                  </w:r>
                </w:p>
              </w:tc>
              <w:tc>
                <w:tcPr>
                  <w:tcW w:w="534" w:type="pct"/>
                  <w:shd w:val="clear" w:color="auto" w:fill="auto"/>
                  <w:noWrap/>
                  <w:vAlign w:val="center"/>
                </w:tcPr>
                <w:p w14:paraId="680365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Times New Roman" w:hAnsi="Times New Roman" w:eastAsia="宋体" w:cs="Times New Roman"/>
                      <w:i w:val="0"/>
                      <w:iCs w:val="0"/>
                      <w:color w:val="000000"/>
                      <w:sz w:val="21"/>
                      <w:szCs w:val="21"/>
                      <w:u w:val="none"/>
                      <w:lang w:val="en-US" w:eastAsia="zh-CN"/>
                    </w:rPr>
                  </w:pPr>
                  <w:r>
                    <w:rPr>
                      <w:rFonts w:hint="eastAsia" w:ascii="Times New Roman" w:hAnsi="Times New Roman" w:eastAsia="宋体" w:cs="Times New Roman"/>
                      <w:i w:val="0"/>
                      <w:iCs w:val="0"/>
                      <w:color w:val="000000"/>
                      <w:sz w:val="21"/>
                      <w:szCs w:val="21"/>
                      <w:u w:val="none"/>
                      <w:lang w:val="en-US" w:eastAsia="zh-CN"/>
                    </w:rPr>
                    <w:t>/</w:t>
                  </w:r>
                </w:p>
              </w:tc>
              <w:tc>
                <w:tcPr>
                  <w:tcW w:w="534" w:type="pct"/>
                  <w:shd w:val="clear" w:color="auto" w:fill="auto"/>
                  <w:noWrap/>
                  <w:vAlign w:val="center"/>
                </w:tcPr>
                <w:p w14:paraId="34FAC9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13766.67 </w:t>
                  </w:r>
                </w:p>
              </w:tc>
              <w:tc>
                <w:tcPr>
                  <w:tcW w:w="393" w:type="pct"/>
                  <w:shd w:val="clear" w:color="auto" w:fill="auto"/>
                  <w:noWrap/>
                  <w:vAlign w:val="center"/>
                </w:tcPr>
                <w:p w14:paraId="1049B5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Times New Roman" w:hAnsi="Times New Roman" w:eastAsia="宋体" w:cs="Times New Roman"/>
                      <w:i w:val="0"/>
                      <w:iCs w:val="0"/>
                      <w:color w:val="000000"/>
                      <w:sz w:val="21"/>
                      <w:szCs w:val="21"/>
                      <w:u w:val="none"/>
                      <w:lang w:val="en-US" w:eastAsia="zh-CN"/>
                    </w:rPr>
                  </w:pPr>
                  <w:r>
                    <w:rPr>
                      <w:rFonts w:hint="eastAsia" w:ascii="Times New Roman" w:hAnsi="Times New Roman" w:eastAsia="宋体" w:cs="Times New Roman"/>
                      <w:i w:val="0"/>
                      <w:iCs w:val="0"/>
                      <w:color w:val="000000"/>
                      <w:sz w:val="21"/>
                      <w:szCs w:val="21"/>
                      <w:u w:val="none"/>
                      <w:lang w:val="en-US" w:eastAsia="zh-CN"/>
                    </w:rPr>
                    <w:t>/</w:t>
                  </w:r>
                </w:p>
              </w:tc>
              <w:tc>
                <w:tcPr>
                  <w:tcW w:w="596" w:type="pct"/>
                  <w:shd w:val="clear" w:color="auto" w:fill="auto"/>
                  <w:noWrap/>
                  <w:vAlign w:val="center"/>
                </w:tcPr>
                <w:p w14:paraId="37B24E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82" w:type="pct"/>
                  <w:shd w:val="clear" w:color="auto" w:fill="auto"/>
                  <w:noWrap/>
                  <w:vAlign w:val="center"/>
                </w:tcPr>
                <w:p w14:paraId="373C0B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0</w:t>
                  </w:r>
                  <w:r>
                    <w:rPr>
                      <w:rFonts w:hint="default" w:ascii="Times New Roman" w:hAnsi="Times New Roman" w:eastAsia="宋体" w:cs="Times New Roman"/>
                      <w:i w:val="0"/>
                      <w:iCs w:val="0"/>
                      <w:color w:val="000000"/>
                      <w:kern w:val="0"/>
                      <w:sz w:val="21"/>
                      <w:szCs w:val="21"/>
                      <w:u w:val="none"/>
                      <w:lang w:val="en-US" w:eastAsia="zh-CN" w:bidi="ar"/>
                    </w:rPr>
                    <w:t xml:space="preserve"> </w:t>
                  </w:r>
                </w:p>
              </w:tc>
            </w:tr>
            <w:tr w14:paraId="12A30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0" w:hRule="atLeast"/>
              </w:trPr>
              <w:tc>
                <w:tcPr>
                  <w:tcW w:w="1372" w:type="pct"/>
                  <w:shd w:val="clear" w:color="auto" w:fill="auto"/>
                  <w:noWrap/>
                  <w:vAlign w:val="center"/>
                </w:tcPr>
                <w:p w14:paraId="5D15E4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Times New Roman" w:hAnsi="Times New Roman" w:eastAsia="宋体" w:cs="Times New Roman"/>
                      <w:i w:val="0"/>
                      <w:iCs w:val="0"/>
                      <w:color w:val="000000"/>
                      <w:sz w:val="21"/>
                      <w:szCs w:val="21"/>
                      <w:u w:val="none"/>
                      <w:lang w:val="en-US" w:eastAsia="zh-CN"/>
                    </w:rPr>
                  </w:pPr>
                  <w:r>
                    <w:rPr>
                      <w:rFonts w:hint="eastAsia" w:ascii="Times New Roman" w:hAnsi="Times New Roman" w:eastAsia="宋体" w:cs="Times New Roman"/>
                      <w:i w:val="0"/>
                      <w:iCs w:val="0"/>
                      <w:color w:val="000000"/>
                      <w:sz w:val="21"/>
                      <w:szCs w:val="21"/>
                      <w:u w:val="none"/>
                      <w:lang w:val="en-US" w:eastAsia="zh-CN"/>
                    </w:rPr>
                    <w:t>合计</w:t>
                  </w:r>
                </w:p>
              </w:tc>
              <w:tc>
                <w:tcPr>
                  <w:tcW w:w="686" w:type="pct"/>
                  <w:shd w:val="clear" w:color="auto" w:fill="auto"/>
                  <w:noWrap/>
                  <w:vAlign w:val="center"/>
                </w:tcPr>
                <w:p w14:paraId="7B597B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534" w:type="pct"/>
                  <w:shd w:val="clear" w:color="auto" w:fill="auto"/>
                  <w:noWrap/>
                  <w:vAlign w:val="center"/>
                </w:tcPr>
                <w:p w14:paraId="6DF5D2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534" w:type="pct"/>
                  <w:shd w:val="clear" w:color="auto" w:fill="auto"/>
                  <w:noWrap/>
                  <w:vAlign w:val="center"/>
                </w:tcPr>
                <w:p w14:paraId="5D2815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42507.92 </w:t>
                  </w:r>
                </w:p>
              </w:tc>
              <w:tc>
                <w:tcPr>
                  <w:tcW w:w="393" w:type="pct"/>
                  <w:shd w:val="clear" w:color="auto" w:fill="auto"/>
                  <w:noWrap/>
                  <w:vAlign w:val="center"/>
                </w:tcPr>
                <w:p w14:paraId="189143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21"/>
                      <w:szCs w:val="21"/>
                      <w:u w:val="none"/>
                    </w:rPr>
                  </w:pPr>
                </w:p>
              </w:tc>
              <w:tc>
                <w:tcPr>
                  <w:tcW w:w="596" w:type="pct"/>
                  <w:shd w:val="clear" w:color="auto" w:fill="auto"/>
                  <w:noWrap/>
                  <w:vAlign w:val="center"/>
                </w:tcPr>
                <w:p w14:paraId="5C057E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eastAsia" w:ascii="Times New Roman" w:hAnsi="Times New Roman" w:eastAsia="宋体" w:cs="Times New Roman"/>
                      <w:i w:val="0"/>
                      <w:iCs w:val="0"/>
                      <w:color w:val="000000"/>
                      <w:kern w:val="0"/>
                      <w:sz w:val="21"/>
                      <w:szCs w:val="21"/>
                      <w:u w:val="none"/>
                      <w:lang w:val="en-US" w:eastAsia="zh-CN" w:bidi="ar"/>
                    </w:rPr>
                    <w:t>25735.55</w:t>
                  </w:r>
                </w:p>
              </w:tc>
              <w:tc>
                <w:tcPr>
                  <w:tcW w:w="882" w:type="pct"/>
                  <w:shd w:val="clear" w:color="auto" w:fill="auto"/>
                  <w:noWrap/>
                  <w:vAlign w:val="center"/>
                </w:tcPr>
                <w:p w14:paraId="14314A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Times New Roman" w:hAnsi="Times New Roman" w:eastAsia="宋体" w:cs="Times New Roman"/>
                      <w:i w:val="0"/>
                      <w:iCs w:val="0"/>
                      <w:color w:val="000000"/>
                      <w:kern w:val="0"/>
                      <w:sz w:val="21"/>
                      <w:szCs w:val="21"/>
                      <w:u w:val="none"/>
                      <w:lang w:val="en-US" w:eastAsia="zh-CN" w:bidi="ar"/>
                    </w:rPr>
                    <w:t>107.99</w:t>
                  </w:r>
                  <w:r>
                    <w:rPr>
                      <w:rFonts w:hint="default" w:ascii="Times New Roman" w:hAnsi="Times New Roman" w:eastAsia="宋体" w:cs="Times New Roman"/>
                      <w:i w:val="0"/>
                      <w:iCs w:val="0"/>
                      <w:color w:val="000000"/>
                      <w:kern w:val="0"/>
                      <w:sz w:val="21"/>
                      <w:szCs w:val="21"/>
                      <w:u w:val="none"/>
                      <w:lang w:val="en-US" w:eastAsia="zh-CN" w:bidi="ar"/>
                    </w:rPr>
                    <w:t xml:space="preserve"> </w:t>
                  </w:r>
                </w:p>
              </w:tc>
            </w:tr>
          </w:tbl>
          <w:p w14:paraId="01020C6F">
            <w:pPr>
              <w:keepNext w:val="0"/>
              <w:keepLines w:val="0"/>
              <w:suppressLineNumbers w:val="0"/>
              <w:spacing w:before="0" w:beforeAutospacing="0" w:after="0" w:afterAutospacing="0" w:line="360" w:lineRule="auto"/>
              <w:ind w:left="0" w:right="0" w:firstLine="528" w:firstLineChars="200"/>
              <w:rPr>
                <w:rFonts w:hint="default" w:ascii="Times New Roman" w:hAnsi="Times New Roman" w:eastAsia="宋体" w:cs="Times New Roman"/>
                <w:color w:val="auto"/>
                <w:spacing w:val="12"/>
                <w:sz w:val="24"/>
                <w:szCs w:val="24"/>
                <w:highlight w:val="none"/>
              </w:rPr>
            </w:pPr>
          </w:p>
          <w:p w14:paraId="06A3F2BD">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本项目各生产车间内均设有废水暂存桶，用于生产废水进入厂内自建污水站前的水质均化；暂存一天后再排入污水处理站，本项目生活污水经化粪池处理后进入厂内污水处理站与生产废水一起处理达标后排入官家嘴镇污水处理站进一步处理。由于本项目属于未批先建，并已投入生产，厂内自建污水处理站已运行；根据企业对废水站调节池废水快测结果，本项目综合废水各污染物产生浓度分别为COD3000mg/L、BOD</w:t>
            </w:r>
            <w:r>
              <w:rPr>
                <w:rFonts w:hint="eastAsia" w:cs="Times New Roman"/>
                <w:color w:val="auto"/>
                <w:sz w:val="24"/>
                <w:highlight w:val="none"/>
                <w:vertAlign w:val="subscript"/>
                <w:lang w:val="en-US" w:eastAsia="zh-CN"/>
              </w:rPr>
              <w:t>5</w:t>
            </w:r>
            <w:r>
              <w:rPr>
                <w:rFonts w:hint="eastAsia" w:cs="Times New Roman"/>
                <w:color w:val="auto"/>
                <w:sz w:val="24"/>
                <w:highlight w:val="none"/>
                <w:lang w:val="en-US" w:eastAsia="zh-CN"/>
              </w:rPr>
              <w:t xml:space="preserve"> 800mg/L、氨氮60mg/L、SS 400mg/L、总磷20mg/L、总氮80mg/L、硫酸盐7000mg/L。</w:t>
            </w:r>
          </w:p>
          <w:p w14:paraId="4BD20FAD">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综上，本项目</w:t>
            </w:r>
            <w:r>
              <w:rPr>
                <w:rFonts w:hint="eastAsia" w:cs="Times New Roman"/>
                <w:color w:val="auto"/>
                <w:sz w:val="24"/>
                <w:highlight w:val="none"/>
                <w:lang w:val="en-US" w:eastAsia="zh-CN"/>
              </w:rPr>
              <w:t>综合</w:t>
            </w:r>
            <w:r>
              <w:rPr>
                <w:rFonts w:hint="default" w:ascii="Times New Roman" w:hAnsi="Times New Roman" w:eastAsia="宋体" w:cs="Times New Roman"/>
                <w:color w:val="auto"/>
                <w:sz w:val="24"/>
                <w:highlight w:val="none"/>
              </w:rPr>
              <w:t>废水的产生情况见下表。</w:t>
            </w:r>
          </w:p>
          <w:p w14:paraId="798BBB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highlight w:val="none"/>
              </w:rPr>
            </w:pPr>
            <w:r>
              <w:rPr>
                <w:rFonts w:hint="default" w:ascii="Times New Roman" w:hAnsi="Times New Roman" w:eastAsia="宋体" w:cs="Times New Roman"/>
                <w:b/>
                <w:bCs/>
                <w:color w:val="auto"/>
                <w:sz w:val="21"/>
                <w:szCs w:val="22"/>
                <w:highlight w:val="none"/>
              </w:rPr>
              <w:t>表4-</w:t>
            </w:r>
            <w:r>
              <w:rPr>
                <w:rFonts w:hint="eastAsia" w:cs="Times New Roman"/>
                <w:b/>
                <w:bCs/>
                <w:color w:val="auto"/>
                <w:sz w:val="21"/>
                <w:szCs w:val="22"/>
                <w:highlight w:val="none"/>
                <w:lang w:val="en-US" w:eastAsia="zh-CN"/>
              </w:rPr>
              <w:t>10</w:t>
            </w:r>
            <w:r>
              <w:rPr>
                <w:rFonts w:hint="default" w:ascii="Times New Roman" w:hAnsi="Times New Roman" w:eastAsia="宋体" w:cs="Times New Roman"/>
                <w:b/>
                <w:bCs/>
                <w:color w:val="auto"/>
                <w:sz w:val="21"/>
                <w:szCs w:val="22"/>
                <w:highlight w:val="none"/>
              </w:rPr>
              <w:t xml:space="preserve">  项目</w:t>
            </w:r>
            <w:r>
              <w:rPr>
                <w:rFonts w:hint="eastAsia" w:cs="Times New Roman"/>
                <w:b/>
                <w:bCs/>
                <w:color w:val="auto"/>
                <w:sz w:val="21"/>
                <w:szCs w:val="22"/>
                <w:highlight w:val="none"/>
                <w:lang w:val="en-US" w:eastAsia="zh-CN"/>
              </w:rPr>
              <w:t>综合</w:t>
            </w:r>
            <w:r>
              <w:rPr>
                <w:rFonts w:hint="default" w:ascii="Times New Roman" w:hAnsi="Times New Roman" w:eastAsia="宋体" w:cs="Times New Roman"/>
                <w:b/>
                <w:bCs/>
                <w:color w:val="auto"/>
                <w:sz w:val="21"/>
                <w:szCs w:val="22"/>
                <w:highlight w:val="none"/>
              </w:rPr>
              <w:t>废水产</w:t>
            </w:r>
            <w:r>
              <w:rPr>
                <w:rFonts w:hint="default" w:ascii="Times New Roman" w:hAnsi="Times New Roman" w:eastAsia="宋体" w:cs="Times New Roman"/>
                <w:b/>
                <w:bCs/>
                <w:color w:val="auto"/>
                <w:sz w:val="21"/>
                <w:szCs w:val="22"/>
                <w:highlight w:val="none"/>
                <w:lang w:val="en-US" w:eastAsia="zh-CN"/>
              </w:rPr>
              <w:t>排情况</w:t>
            </w:r>
            <w:r>
              <w:rPr>
                <w:rFonts w:hint="default" w:ascii="Times New Roman" w:hAnsi="Times New Roman" w:eastAsia="宋体" w:cs="Times New Roman"/>
                <w:b/>
                <w:bCs/>
                <w:color w:val="auto"/>
                <w:sz w:val="21"/>
                <w:szCs w:val="22"/>
                <w:highlight w:val="none"/>
              </w:rPr>
              <w:t>一览表</w:t>
            </w:r>
          </w:p>
          <w:tbl>
            <w:tblPr>
              <w:tblStyle w:val="28"/>
              <w:tblW w:w="820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98"/>
              <w:gridCol w:w="891"/>
              <w:gridCol w:w="1094"/>
              <w:gridCol w:w="836"/>
              <w:gridCol w:w="902"/>
              <w:gridCol w:w="756"/>
              <w:gridCol w:w="843"/>
              <w:gridCol w:w="724"/>
              <w:gridCol w:w="632"/>
              <w:gridCol w:w="826"/>
            </w:tblGrid>
            <w:tr w14:paraId="04426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4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61D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污染源</w:t>
                  </w:r>
                </w:p>
              </w:tc>
              <w:tc>
                <w:tcPr>
                  <w:tcW w:w="5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796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废水产生量（</w:t>
                  </w:r>
                  <w:r>
                    <w:rPr>
                      <w:rFonts w:hint="default" w:ascii="Times New Roman" w:hAnsi="Times New Roman" w:eastAsia="宋体" w:cs="Times New Roman"/>
                      <w:b/>
                      <w:bCs/>
                      <w:i w:val="0"/>
                      <w:iCs w:val="0"/>
                      <w:color w:val="000000"/>
                      <w:kern w:val="0"/>
                      <w:sz w:val="18"/>
                      <w:szCs w:val="18"/>
                      <w:u w:val="none"/>
                      <w:lang w:val="en-US" w:eastAsia="zh-CN" w:bidi="ar"/>
                    </w:rPr>
                    <w:t>t/a</w:t>
                  </w:r>
                  <w:r>
                    <w:rPr>
                      <w:rFonts w:hint="eastAsia" w:ascii="宋体" w:hAnsi="宋体" w:eastAsia="宋体" w:cs="宋体"/>
                      <w:b/>
                      <w:bCs/>
                      <w:i w:val="0"/>
                      <w:iCs w:val="0"/>
                      <w:color w:val="000000"/>
                      <w:kern w:val="0"/>
                      <w:sz w:val="18"/>
                      <w:szCs w:val="18"/>
                      <w:u w:val="none"/>
                      <w:lang w:val="en-US" w:eastAsia="zh-CN" w:bidi="ar"/>
                    </w:rPr>
                    <w:t>）</w:t>
                  </w:r>
                </w:p>
              </w:tc>
              <w:tc>
                <w:tcPr>
                  <w:tcW w:w="6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7B4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项目</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06D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COD</w:t>
                  </w:r>
                </w:p>
              </w:tc>
              <w:tc>
                <w:tcPr>
                  <w:tcW w:w="5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D8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BOD</w:t>
                  </w:r>
                  <w:r>
                    <w:rPr>
                      <w:rFonts w:hint="default" w:ascii="Times New Roman" w:hAnsi="Times New Roman" w:eastAsia="宋体" w:cs="Times New Roman"/>
                      <w:b/>
                      <w:bCs/>
                      <w:i w:val="0"/>
                      <w:iCs w:val="0"/>
                      <w:color w:val="000000"/>
                      <w:kern w:val="0"/>
                      <w:sz w:val="18"/>
                      <w:szCs w:val="18"/>
                      <w:u w:val="none"/>
                      <w:vertAlign w:val="subscript"/>
                      <w:lang w:val="en-US" w:eastAsia="zh-CN" w:bidi="ar"/>
                    </w:rPr>
                    <w:t>5</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F9F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SS</w:t>
                  </w:r>
                </w:p>
              </w:tc>
              <w:tc>
                <w:tcPr>
                  <w:tcW w:w="5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2EC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NH</w:t>
                  </w:r>
                  <w:r>
                    <w:rPr>
                      <w:rFonts w:hint="default" w:ascii="Times New Roman" w:hAnsi="Times New Roman" w:eastAsia="宋体" w:cs="Times New Roman"/>
                      <w:b/>
                      <w:bCs/>
                      <w:i w:val="0"/>
                      <w:iCs w:val="0"/>
                      <w:color w:val="000000"/>
                      <w:kern w:val="0"/>
                      <w:sz w:val="18"/>
                      <w:szCs w:val="18"/>
                      <w:u w:val="none"/>
                      <w:vertAlign w:val="subscript"/>
                      <w:lang w:val="en-US" w:eastAsia="zh-CN" w:bidi="ar"/>
                    </w:rPr>
                    <w:t>3</w:t>
                  </w:r>
                  <w:r>
                    <w:rPr>
                      <w:rFonts w:hint="default" w:ascii="Times New Roman" w:hAnsi="Times New Roman" w:eastAsia="宋体" w:cs="Times New Roman"/>
                      <w:b/>
                      <w:bCs/>
                      <w:i w:val="0"/>
                      <w:iCs w:val="0"/>
                      <w:color w:val="000000"/>
                      <w:kern w:val="0"/>
                      <w:sz w:val="18"/>
                      <w:szCs w:val="18"/>
                      <w:u w:val="none"/>
                      <w:lang w:val="en-US" w:eastAsia="zh-CN" w:bidi="ar"/>
                    </w:rPr>
                    <w:t>-N</w:t>
                  </w:r>
                </w:p>
              </w:tc>
              <w:tc>
                <w:tcPr>
                  <w:tcW w:w="4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A3C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TN</w:t>
                  </w: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FA0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TP</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502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b/>
                      <w:bCs/>
                      <w:i w:val="0"/>
                      <w:iCs w:val="0"/>
                      <w:color w:val="000000"/>
                      <w:kern w:val="0"/>
                      <w:sz w:val="18"/>
                      <w:szCs w:val="18"/>
                      <w:u w:val="none"/>
                      <w:lang w:val="en-US" w:eastAsia="zh-CN" w:bidi="ar"/>
                    </w:rPr>
                  </w:pPr>
                  <w:r>
                    <w:rPr>
                      <w:rFonts w:hint="eastAsia" w:cs="Times New Roman"/>
                      <w:b/>
                      <w:bCs/>
                      <w:i w:val="0"/>
                      <w:iCs w:val="0"/>
                      <w:color w:val="000000"/>
                      <w:kern w:val="0"/>
                      <w:sz w:val="18"/>
                      <w:szCs w:val="18"/>
                      <w:u w:val="none"/>
                      <w:lang w:val="en-US" w:eastAsia="zh-CN" w:bidi="ar"/>
                    </w:rPr>
                    <w:t>硫酸盐</w:t>
                  </w:r>
                </w:p>
              </w:tc>
            </w:tr>
            <w:tr w14:paraId="03B0E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 w:hRule="atLeast"/>
              </w:trPr>
              <w:tc>
                <w:tcPr>
                  <w:tcW w:w="4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25A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综合废水产生情况</w:t>
                  </w:r>
                </w:p>
              </w:tc>
              <w:tc>
                <w:tcPr>
                  <w:tcW w:w="5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3388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25735.55</w:t>
                  </w:r>
                </w:p>
              </w:tc>
              <w:tc>
                <w:tcPr>
                  <w:tcW w:w="6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BDD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产生浓度</w:t>
                  </w:r>
                  <w:r>
                    <w:rPr>
                      <w:rFonts w:hint="default" w:ascii="Times New Roman" w:hAnsi="Times New Roman" w:eastAsia="宋体" w:cs="Times New Roman"/>
                      <w:i w:val="0"/>
                      <w:iCs w:val="0"/>
                      <w:color w:val="000000"/>
                      <w:kern w:val="0"/>
                      <w:sz w:val="18"/>
                      <w:szCs w:val="18"/>
                      <w:u w:val="none"/>
                      <w:lang w:val="en-US" w:eastAsia="zh-CN" w:bidi="ar"/>
                    </w:rPr>
                    <w:t>mg/L</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EB6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3000</w:t>
                  </w:r>
                </w:p>
              </w:tc>
              <w:tc>
                <w:tcPr>
                  <w:tcW w:w="5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B1E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800</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B09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400</w:t>
                  </w:r>
                </w:p>
              </w:tc>
              <w:tc>
                <w:tcPr>
                  <w:tcW w:w="5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ADE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60</w:t>
                  </w:r>
                </w:p>
              </w:tc>
              <w:tc>
                <w:tcPr>
                  <w:tcW w:w="4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841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80</w:t>
                  </w: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33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20</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792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eastAsia" w:cs="Times New Roman"/>
                      <w:i w:val="0"/>
                      <w:iCs w:val="0"/>
                      <w:color w:val="000000"/>
                      <w:kern w:val="0"/>
                      <w:sz w:val="18"/>
                      <w:szCs w:val="18"/>
                      <w:u w:val="none"/>
                      <w:lang w:val="en-US" w:eastAsia="zh-CN" w:bidi="ar"/>
                    </w:rPr>
                    <w:t>7000</w:t>
                  </w:r>
                </w:p>
              </w:tc>
            </w:tr>
            <w:tr w14:paraId="09327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4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B38E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5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5F65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i w:val="0"/>
                      <w:iCs w:val="0"/>
                      <w:color w:val="000000"/>
                      <w:sz w:val="18"/>
                      <w:szCs w:val="18"/>
                      <w:u w:val="none"/>
                    </w:rPr>
                  </w:pPr>
                </w:p>
              </w:tc>
              <w:tc>
                <w:tcPr>
                  <w:tcW w:w="6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D76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产生量</w:t>
                  </w:r>
                  <w:r>
                    <w:rPr>
                      <w:rFonts w:hint="default" w:ascii="Times New Roman" w:hAnsi="Times New Roman" w:eastAsia="宋体" w:cs="Times New Roman"/>
                      <w:i w:val="0"/>
                      <w:iCs w:val="0"/>
                      <w:color w:val="000000"/>
                      <w:kern w:val="0"/>
                      <w:sz w:val="18"/>
                      <w:szCs w:val="18"/>
                      <w:u w:val="none"/>
                      <w:lang w:val="en-US" w:eastAsia="zh-CN" w:bidi="ar"/>
                    </w:rPr>
                    <w:t>t/a</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FE9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77.207</w:t>
                  </w:r>
                </w:p>
              </w:tc>
              <w:tc>
                <w:tcPr>
                  <w:tcW w:w="5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80B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20.588</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C0E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10.294</w:t>
                  </w:r>
                </w:p>
              </w:tc>
              <w:tc>
                <w:tcPr>
                  <w:tcW w:w="5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9C3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1.544</w:t>
                  </w:r>
                </w:p>
              </w:tc>
              <w:tc>
                <w:tcPr>
                  <w:tcW w:w="4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16B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2.059</w:t>
                  </w: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A23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0.515</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616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eastAsia" w:cs="Times New Roman"/>
                      <w:i w:val="0"/>
                      <w:iCs w:val="0"/>
                      <w:color w:val="000000"/>
                      <w:kern w:val="0"/>
                      <w:sz w:val="18"/>
                      <w:szCs w:val="18"/>
                      <w:u w:val="none"/>
                      <w:lang w:val="en-US" w:eastAsia="zh-CN" w:bidi="ar"/>
                    </w:rPr>
                    <w:t>180.149</w:t>
                  </w:r>
                </w:p>
              </w:tc>
            </w:tr>
            <w:tr w14:paraId="76C32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4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FCB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综合废水排放情况</w:t>
                  </w:r>
                </w:p>
              </w:tc>
              <w:tc>
                <w:tcPr>
                  <w:tcW w:w="5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E6EC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cs="Times New Roman"/>
                      <w:i w:val="0"/>
                      <w:iCs w:val="0"/>
                      <w:color w:val="000000"/>
                      <w:sz w:val="18"/>
                      <w:szCs w:val="18"/>
                      <w:u w:val="none"/>
                      <w:lang w:val="en-US" w:eastAsia="zh-CN"/>
                    </w:rPr>
                    <w:t>25735.55</w:t>
                  </w:r>
                </w:p>
              </w:tc>
              <w:tc>
                <w:tcPr>
                  <w:tcW w:w="6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FCA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排放浓度</w:t>
                  </w:r>
                  <w:r>
                    <w:rPr>
                      <w:rFonts w:hint="default" w:ascii="Times New Roman" w:hAnsi="Times New Roman" w:eastAsia="宋体" w:cs="Times New Roman"/>
                      <w:i w:val="0"/>
                      <w:iCs w:val="0"/>
                      <w:color w:val="000000"/>
                      <w:kern w:val="0"/>
                      <w:sz w:val="18"/>
                      <w:szCs w:val="18"/>
                      <w:u w:val="none"/>
                      <w:lang w:val="en-US" w:eastAsia="zh-CN" w:bidi="ar"/>
                    </w:rPr>
                    <w:t>mg/L</w:t>
                  </w:r>
                </w:p>
              </w:tc>
              <w:tc>
                <w:tcPr>
                  <w:tcW w:w="5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57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280</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287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150</w:t>
                  </w: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C87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200</w:t>
                  </w:r>
                </w:p>
              </w:tc>
              <w:tc>
                <w:tcPr>
                  <w:tcW w:w="5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305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30</w:t>
                  </w:r>
                </w:p>
              </w:tc>
              <w:tc>
                <w:tcPr>
                  <w:tcW w:w="4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33B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40</w:t>
                  </w:r>
                </w:p>
              </w:tc>
              <w:tc>
                <w:tcPr>
                  <w:tcW w:w="3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78E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041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eastAsia" w:cs="Times New Roman"/>
                      <w:i w:val="0"/>
                      <w:iCs w:val="0"/>
                      <w:color w:val="000000"/>
                      <w:kern w:val="0"/>
                      <w:sz w:val="18"/>
                      <w:szCs w:val="18"/>
                      <w:u w:val="none"/>
                      <w:lang w:val="en-US" w:eastAsia="zh-CN" w:bidi="ar"/>
                    </w:rPr>
                    <w:t>7000</w:t>
                  </w:r>
                </w:p>
              </w:tc>
            </w:tr>
            <w:tr w14:paraId="0B69AA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4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68E2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5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36F0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6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530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排放量</w:t>
                  </w:r>
                  <w:r>
                    <w:rPr>
                      <w:rFonts w:hint="default" w:ascii="Times New Roman" w:hAnsi="Times New Roman" w:eastAsia="宋体" w:cs="Times New Roman"/>
                      <w:i w:val="0"/>
                      <w:iCs w:val="0"/>
                      <w:color w:val="000000"/>
                      <w:kern w:val="0"/>
                      <w:sz w:val="18"/>
                      <w:szCs w:val="18"/>
                      <w:u w:val="none"/>
                      <w:lang w:val="en-US" w:eastAsia="zh-CN" w:bidi="ar"/>
                    </w:rPr>
                    <w:t>t/a</w:t>
                  </w:r>
                </w:p>
              </w:tc>
              <w:tc>
                <w:tcPr>
                  <w:tcW w:w="5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CD7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6.434</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424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3.86</w:t>
                  </w: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BE3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5.147</w:t>
                  </w:r>
                </w:p>
              </w:tc>
              <w:tc>
                <w:tcPr>
                  <w:tcW w:w="5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19A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0.772</w:t>
                  </w:r>
                </w:p>
              </w:tc>
              <w:tc>
                <w:tcPr>
                  <w:tcW w:w="4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6D0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1.029</w:t>
                  </w:r>
                </w:p>
              </w:tc>
              <w:tc>
                <w:tcPr>
                  <w:tcW w:w="3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5FF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0.077</w:t>
                  </w: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360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eastAsia" w:cs="Times New Roman"/>
                      <w:i w:val="0"/>
                      <w:iCs w:val="0"/>
                      <w:color w:val="000000"/>
                      <w:kern w:val="0"/>
                      <w:sz w:val="18"/>
                      <w:szCs w:val="18"/>
                      <w:u w:val="none"/>
                      <w:lang w:val="en-US" w:eastAsia="zh-CN" w:bidi="ar"/>
                    </w:rPr>
                    <w:t>180.149</w:t>
                  </w:r>
                </w:p>
              </w:tc>
            </w:tr>
            <w:tr w14:paraId="44B88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 w:hRule="atLeast"/>
              </w:trPr>
              <w:tc>
                <w:tcPr>
                  <w:tcW w:w="4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87D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排入环境量</w:t>
                  </w:r>
                </w:p>
              </w:tc>
              <w:tc>
                <w:tcPr>
                  <w:tcW w:w="52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A89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cs="Times New Roman"/>
                      <w:i w:val="0"/>
                      <w:iCs w:val="0"/>
                      <w:color w:val="000000"/>
                      <w:sz w:val="18"/>
                      <w:szCs w:val="18"/>
                      <w:u w:val="none"/>
                      <w:lang w:val="en-US" w:eastAsia="zh-CN"/>
                    </w:rPr>
                    <w:t>25735.55</w:t>
                  </w:r>
                </w:p>
              </w:tc>
              <w:tc>
                <w:tcPr>
                  <w:tcW w:w="6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894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排放浓度</w:t>
                  </w:r>
                  <w:r>
                    <w:rPr>
                      <w:rFonts w:hint="default" w:ascii="Times New Roman" w:hAnsi="Times New Roman" w:eastAsia="宋体" w:cs="Times New Roman"/>
                      <w:i w:val="0"/>
                      <w:iCs w:val="0"/>
                      <w:color w:val="000000"/>
                      <w:kern w:val="0"/>
                      <w:sz w:val="18"/>
                      <w:szCs w:val="18"/>
                      <w:u w:val="none"/>
                      <w:lang w:val="en-US" w:eastAsia="zh-CN" w:bidi="ar"/>
                    </w:rPr>
                    <w:t>mg/L</w:t>
                  </w:r>
                </w:p>
              </w:tc>
              <w:tc>
                <w:tcPr>
                  <w:tcW w:w="5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ACC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60</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210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w:t>
                  </w: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6F7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w:t>
                  </w:r>
                </w:p>
              </w:tc>
              <w:tc>
                <w:tcPr>
                  <w:tcW w:w="5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134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8</w:t>
                  </w:r>
                </w:p>
              </w:tc>
              <w:tc>
                <w:tcPr>
                  <w:tcW w:w="4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0E7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w:t>
                  </w:r>
                </w:p>
              </w:tc>
              <w:tc>
                <w:tcPr>
                  <w:tcW w:w="3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8D2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22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eastAsia" w:cs="Times New Roman"/>
                      <w:i w:val="0"/>
                      <w:iCs w:val="0"/>
                      <w:color w:val="000000"/>
                      <w:kern w:val="0"/>
                      <w:sz w:val="18"/>
                      <w:szCs w:val="18"/>
                      <w:u w:val="none"/>
                      <w:lang w:val="en-US" w:eastAsia="zh-CN" w:bidi="ar"/>
                    </w:rPr>
                    <w:t>7000</w:t>
                  </w:r>
                </w:p>
              </w:tc>
            </w:tr>
            <w:tr w14:paraId="7111B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4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6E34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52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8CE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6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F1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排放量</w:t>
                  </w:r>
                  <w:r>
                    <w:rPr>
                      <w:rFonts w:hint="default" w:ascii="Times New Roman" w:hAnsi="Times New Roman" w:eastAsia="宋体" w:cs="Times New Roman"/>
                      <w:i w:val="0"/>
                      <w:iCs w:val="0"/>
                      <w:color w:val="000000"/>
                      <w:kern w:val="0"/>
                      <w:sz w:val="18"/>
                      <w:szCs w:val="18"/>
                      <w:u w:val="none"/>
                      <w:lang w:val="en-US" w:eastAsia="zh-CN" w:bidi="ar"/>
                    </w:rPr>
                    <w:t>t/a</w:t>
                  </w:r>
                </w:p>
              </w:tc>
              <w:tc>
                <w:tcPr>
                  <w:tcW w:w="5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6B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1.544</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FC2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0.515</w:t>
                  </w: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5FE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0.515</w:t>
                  </w:r>
                </w:p>
              </w:tc>
              <w:tc>
                <w:tcPr>
                  <w:tcW w:w="5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29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0.206</w:t>
                  </w:r>
                </w:p>
              </w:tc>
              <w:tc>
                <w:tcPr>
                  <w:tcW w:w="4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E20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0.515</w:t>
                  </w:r>
                </w:p>
              </w:tc>
              <w:tc>
                <w:tcPr>
                  <w:tcW w:w="3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B01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eastAsia" w:cs="Times New Roman"/>
                      <w:i w:val="0"/>
                      <w:iCs w:val="0"/>
                      <w:color w:val="000000"/>
                      <w:sz w:val="18"/>
                      <w:szCs w:val="18"/>
                      <w:u w:val="none"/>
                      <w:lang w:val="en-US" w:eastAsia="zh-CN"/>
                    </w:rPr>
                    <w:t>0.026</w:t>
                  </w: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62C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eastAsia" w:cs="Times New Roman"/>
                      <w:i w:val="0"/>
                      <w:iCs w:val="0"/>
                      <w:color w:val="000000"/>
                      <w:sz w:val="18"/>
                      <w:szCs w:val="18"/>
                      <w:u w:val="none"/>
                      <w:lang w:val="en-US" w:eastAsia="zh-CN"/>
                    </w:rPr>
                    <w:t>180.149</w:t>
                  </w:r>
                </w:p>
              </w:tc>
            </w:tr>
          </w:tbl>
          <w:p w14:paraId="256704B1">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color w:val="auto"/>
                <w:kern w:val="0"/>
                <w:sz w:val="24"/>
                <w:highlight w:val="none"/>
              </w:rPr>
            </w:pPr>
          </w:p>
          <w:p w14:paraId="668F0B56">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bCs/>
                <w:color w:val="auto"/>
                <w:kern w:val="0"/>
                <w:sz w:val="24"/>
                <w:highlight w:val="none"/>
              </w:rPr>
            </w:pPr>
            <w:r>
              <w:rPr>
                <w:rFonts w:hint="default" w:ascii="Times New Roman" w:hAnsi="Times New Roman" w:eastAsia="宋体" w:cs="Times New Roman"/>
                <w:b/>
                <w:bCs/>
                <w:color w:val="auto"/>
                <w:kern w:val="0"/>
                <w:sz w:val="24"/>
                <w:highlight w:val="none"/>
              </w:rPr>
              <w:t>（2）废水治理措施技术可行性分析</w:t>
            </w:r>
          </w:p>
          <w:p w14:paraId="657D9337">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本项目外排废水主要为员工生活污水及生产废水，根据工程分析可知，本项目</w:t>
            </w:r>
            <w:r>
              <w:rPr>
                <w:rFonts w:hint="default" w:ascii="Times New Roman" w:hAnsi="Times New Roman" w:eastAsia="宋体" w:cs="Times New Roman"/>
                <w:color w:val="000000" w:themeColor="text1"/>
                <w:sz w:val="24"/>
                <w:highlight w:val="none"/>
                <w14:textFill>
                  <w14:solidFill>
                    <w14:schemeClr w14:val="tx1"/>
                  </w14:solidFill>
                </w14:textFill>
              </w:rPr>
              <w:t>全厂</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综合</w:t>
            </w:r>
            <w:r>
              <w:rPr>
                <w:rFonts w:hint="default" w:ascii="Times New Roman" w:hAnsi="Times New Roman" w:eastAsia="宋体" w:cs="Times New Roman"/>
                <w:color w:val="000000" w:themeColor="text1"/>
                <w:sz w:val="24"/>
                <w:highlight w:val="none"/>
                <w14:textFill>
                  <w14:solidFill>
                    <w14:schemeClr w14:val="tx1"/>
                  </w14:solidFill>
                </w14:textFill>
              </w:rPr>
              <w:t>废水</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总</w:t>
            </w:r>
            <w:r>
              <w:rPr>
                <w:rFonts w:hint="default" w:ascii="Times New Roman" w:hAnsi="Times New Roman" w:eastAsia="宋体" w:cs="Times New Roman"/>
                <w:color w:val="000000" w:themeColor="text1"/>
                <w:sz w:val="24"/>
                <w:highlight w:val="none"/>
                <w14:textFill>
                  <w14:solidFill>
                    <w14:schemeClr w14:val="tx1"/>
                  </w14:solidFill>
                </w14:textFill>
              </w:rPr>
              <w:t>量为</w:t>
            </w:r>
            <w:r>
              <w:rPr>
                <w:rFonts w:hint="eastAsia" w:cs="Times New Roman"/>
                <w:color w:val="000000" w:themeColor="text1"/>
                <w:sz w:val="24"/>
                <w:highlight w:val="none"/>
                <w:lang w:val="en-US" w:eastAsia="zh-CN"/>
                <w14:textFill>
                  <w14:solidFill>
                    <w14:schemeClr w14:val="tx1"/>
                  </w14:solidFill>
                </w14:textFill>
              </w:rPr>
              <w:t>25735.55</w:t>
            </w:r>
            <w:r>
              <w:rPr>
                <w:rFonts w:hint="default" w:ascii="Times New Roman" w:hAnsi="Times New Roman" w:eastAsia="宋体" w:cs="Times New Roman"/>
                <w:color w:val="000000" w:themeColor="text1"/>
                <w:sz w:val="24"/>
                <w:highlight w:val="none"/>
                <w14:textFill>
                  <w14:solidFill>
                    <w14:schemeClr w14:val="tx1"/>
                  </w14:solidFill>
                </w14:textFill>
              </w:rPr>
              <w:t>t/a（</w:t>
            </w:r>
            <w:r>
              <w:rPr>
                <w:rFonts w:hint="eastAsia" w:cs="Times New Roman"/>
                <w:color w:val="000000" w:themeColor="text1"/>
                <w:sz w:val="24"/>
                <w:highlight w:val="none"/>
                <w:lang w:val="en-US" w:eastAsia="zh-CN"/>
                <w14:textFill>
                  <w14:solidFill>
                    <w14:schemeClr w14:val="tx1"/>
                  </w14:solidFill>
                </w14:textFill>
              </w:rPr>
              <w:t>单次高峰水量为107.99</w:t>
            </w:r>
            <w:r>
              <w:rPr>
                <w:rFonts w:hint="default" w:ascii="Times New Roman" w:hAnsi="Times New Roman" w:eastAsia="宋体" w:cs="Times New Roman"/>
                <w:color w:val="000000" w:themeColor="text1"/>
                <w:sz w:val="24"/>
                <w:highlight w:val="none"/>
                <w14:textFill>
                  <w14:solidFill>
                    <w14:schemeClr w14:val="tx1"/>
                  </w14:solidFill>
                </w14:textFill>
              </w:rPr>
              <w:t>t/d），本项</w:t>
            </w:r>
            <w:r>
              <w:rPr>
                <w:rFonts w:hint="default" w:ascii="Times New Roman" w:hAnsi="Times New Roman" w:eastAsia="宋体" w:cs="Times New Roman"/>
                <w:color w:val="auto"/>
                <w:sz w:val="24"/>
                <w:highlight w:val="none"/>
              </w:rPr>
              <w:t>目污水处理站设计处理</w:t>
            </w:r>
            <w:r>
              <w:rPr>
                <w:rFonts w:hint="eastAsia" w:cs="Times New Roman"/>
                <w:color w:val="auto"/>
                <w:sz w:val="24"/>
                <w:highlight w:val="none"/>
                <w:lang w:val="en-US" w:eastAsia="zh-CN"/>
              </w:rPr>
              <w:t>能力</w:t>
            </w:r>
            <w:r>
              <w:rPr>
                <w:rFonts w:hint="default" w:ascii="Times New Roman" w:hAnsi="Times New Roman" w:eastAsia="宋体" w:cs="Times New Roman"/>
                <w:color w:val="auto"/>
                <w:sz w:val="24"/>
                <w:highlight w:val="none"/>
              </w:rPr>
              <w:t>为</w:t>
            </w:r>
            <w:r>
              <w:rPr>
                <w:rFonts w:hint="default" w:ascii="Times New Roman" w:hAnsi="Times New Roman" w:eastAsia="宋体" w:cs="Times New Roman"/>
                <w:color w:val="auto"/>
                <w:sz w:val="24"/>
                <w:highlight w:val="none"/>
                <w:lang w:val="en-US" w:eastAsia="zh-CN"/>
              </w:rPr>
              <w:t>1</w:t>
            </w:r>
            <w:r>
              <w:rPr>
                <w:rFonts w:hint="eastAsia" w:cs="Times New Roman"/>
                <w:color w:val="auto"/>
                <w:sz w:val="24"/>
                <w:highlight w:val="none"/>
                <w:lang w:val="en-US" w:eastAsia="zh-CN"/>
              </w:rPr>
              <w:t>20t</w:t>
            </w:r>
            <w:r>
              <w:rPr>
                <w:rFonts w:hint="default" w:ascii="Times New Roman" w:hAnsi="Times New Roman" w:eastAsia="宋体" w:cs="Times New Roman"/>
                <w:color w:val="auto"/>
                <w:sz w:val="24"/>
                <w:highlight w:val="none"/>
              </w:rPr>
              <w:t>/d，能够满足本项目的污水</w:t>
            </w:r>
            <w:r>
              <w:rPr>
                <w:rFonts w:hint="eastAsia" w:cs="Times New Roman"/>
                <w:color w:val="auto"/>
                <w:sz w:val="24"/>
                <w:highlight w:val="none"/>
                <w:lang w:val="en-US" w:eastAsia="zh-CN"/>
              </w:rPr>
              <w:t>量</w:t>
            </w:r>
            <w:r>
              <w:rPr>
                <w:rFonts w:hint="default" w:ascii="Times New Roman" w:hAnsi="Times New Roman" w:eastAsia="宋体" w:cs="Times New Roman"/>
                <w:color w:val="auto"/>
                <w:sz w:val="24"/>
                <w:highlight w:val="none"/>
              </w:rPr>
              <w:t>处理的需求。</w:t>
            </w:r>
            <w:r>
              <w:rPr>
                <w:rFonts w:hint="eastAsia" w:cs="Times New Roman"/>
                <w:color w:val="auto"/>
                <w:sz w:val="24"/>
                <w:highlight w:val="none"/>
                <w:lang w:val="en-US" w:eastAsia="zh-CN"/>
              </w:rPr>
              <w:t>本项目</w:t>
            </w:r>
            <w:r>
              <w:rPr>
                <w:rFonts w:hint="default" w:ascii="Times New Roman" w:hAnsi="Times New Roman" w:eastAsia="宋体" w:cs="Times New Roman"/>
                <w:color w:val="auto"/>
                <w:sz w:val="24"/>
                <w:highlight w:val="none"/>
              </w:rPr>
              <w:t>污水处理站</w:t>
            </w:r>
            <w:r>
              <w:rPr>
                <w:rFonts w:hint="eastAsia" w:cs="Times New Roman"/>
                <w:color w:val="auto"/>
                <w:sz w:val="24"/>
                <w:highlight w:val="none"/>
                <w:lang w:val="en-US" w:eastAsia="zh-CN"/>
              </w:rPr>
              <w:t>设计处理工艺为：</w:t>
            </w:r>
            <w:r>
              <w:rPr>
                <w:rFonts w:hint="default" w:ascii="Times New Roman" w:hAnsi="Times New Roman" w:eastAsia="宋体" w:cs="Times New Roman"/>
                <w:color w:val="auto"/>
                <w:sz w:val="24"/>
                <w:highlight w:val="none"/>
              </w:rPr>
              <w:fldChar w:fldCharType="begin"/>
            </w:r>
            <w:r>
              <w:rPr>
                <w:rFonts w:hint="default" w:ascii="Times New Roman" w:hAnsi="Times New Roman" w:eastAsia="宋体" w:cs="Times New Roman"/>
                <w:color w:val="auto"/>
                <w:sz w:val="24"/>
                <w:highlight w:val="none"/>
              </w:rPr>
              <w:instrText xml:space="preserve"> REF 排水路径 \h  \* MERGEFORMAT </w:instrText>
            </w:r>
            <w:r>
              <w:rPr>
                <w:rFonts w:hint="default" w:ascii="Times New Roman" w:hAnsi="Times New Roman" w:eastAsia="宋体" w:cs="Times New Roman"/>
                <w:color w:val="auto"/>
                <w:sz w:val="24"/>
                <w:highlight w:val="none"/>
              </w:rPr>
              <w:fldChar w:fldCharType="separate"/>
            </w:r>
            <w:r>
              <w:rPr>
                <w:rFonts w:hint="default" w:ascii="Times New Roman" w:hAnsi="Times New Roman" w:eastAsia="宋体" w:cs="Times New Roman"/>
                <w:color w:val="auto"/>
                <w:sz w:val="24"/>
                <w:highlight w:val="none"/>
                <w:lang w:val="en-US" w:eastAsia="zh-CN"/>
              </w:rPr>
              <w:t>格栅+调节池兼预曝气氧化池</w:t>
            </w:r>
            <w:r>
              <w:rPr>
                <w:rFonts w:hint="default" w:ascii="Times New Roman" w:hAnsi="Times New Roman" w:eastAsia="宋体" w:cs="Times New Roman"/>
                <w:color w:val="auto"/>
                <w:sz w:val="24"/>
                <w:highlight w:val="none"/>
              </w:rPr>
              <w:t>+一级水解酸化池+AO池</w:t>
            </w:r>
            <w:r>
              <w:rPr>
                <w:rFonts w:hint="default" w:ascii="Times New Roman" w:hAnsi="Times New Roman" w:eastAsia="宋体" w:cs="Times New Roman"/>
                <w:color w:val="auto"/>
                <w:sz w:val="24"/>
                <w:highlight w:val="none"/>
                <w:lang w:val="en-US" w:eastAsia="zh-CN"/>
              </w:rPr>
              <w:t>+混凝池+沉淀池+清水池</w:t>
            </w:r>
            <w:r>
              <w:rPr>
                <w:rFonts w:hint="eastAsia" w:cs="Times New Roman"/>
                <w:color w:val="auto"/>
                <w:sz w:val="24"/>
                <w:highlight w:val="none"/>
                <w:lang w:eastAsia="zh-CN"/>
              </w:rPr>
              <w:t>，</w:t>
            </w:r>
            <w:r>
              <w:rPr>
                <w:rFonts w:hint="default" w:ascii="Times New Roman" w:hAnsi="Times New Roman" w:eastAsia="宋体" w:cs="Times New Roman"/>
                <w:color w:val="auto"/>
                <w:sz w:val="24"/>
                <w:highlight w:val="none"/>
              </w:rPr>
              <w:t>处理后满足</w:t>
            </w:r>
            <w:r>
              <w:rPr>
                <w:rFonts w:hint="default" w:ascii="Times New Roman" w:hAnsi="Times New Roman" w:eastAsia="宋体" w:cs="Times New Roman"/>
                <w:color w:val="auto"/>
                <w:sz w:val="24"/>
                <w:highlight w:val="none"/>
              </w:rPr>
              <w:fldChar w:fldCharType="end"/>
            </w:r>
            <w:r>
              <w:rPr>
                <w:rFonts w:hint="eastAsia" w:cs="Times New Roman"/>
                <w:color w:val="auto"/>
                <w:sz w:val="24"/>
                <w:highlight w:val="none"/>
                <w:lang w:val="en-US" w:eastAsia="zh-CN"/>
              </w:rPr>
              <w:t>官家嘴镇污水处理站纳管标准</w:t>
            </w: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lang w:val="en-US" w:eastAsia="zh-CN"/>
              </w:rPr>
              <w:t>废水从厂区通过重力流管道排入厂内自建污水站，达标尾水通过压力流管道排入官家嘴镇污水处理站。</w:t>
            </w:r>
            <w:r>
              <w:rPr>
                <w:rFonts w:hint="default" w:ascii="Times New Roman" w:hAnsi="Times New Roman" w:eastAsia="宋体" w:cs="Times New Roman"/>
                <w:color w:val="auto"/>
                <w:sz w:val="24"/>
                <w:highlight w:val="none"/>
              </w:rPr>
              <w:t>①污水处理站的工艺流程简述：</w:t>
            </w:r>
          </w:p>
          <w:p w14:paraId="373D6636">
            <w:pPr>
              <w:pStyle w:val="106"/>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eastAsia="zh-CN"/>
              </w:rPr>
            </w:pPr>
            <w:r>
              <w:rPr>
                <w:rFonts w:hint="default" w:ascii="Times New Roman" w:hAnsi="Times New Roman" w:eastAsia="宋体" w:cs="Times New Roman"/>
                <w:color w:val="auto"/>
                <w:highlight w:val="none"/>
                <w:lang w:eastAsia="zh-CN"/>
              </w:rPr>
              <w:object>
                <v:shape id="_x0000_i1029" o:spt="75" alt="" type="#_x0000_t75" style="height:323.85pt;width:325.3pt;" o:ole="t" filled="f" o:preferrelative="t" stroked="f" coordsize="21600,21600">
                  <v:path/>
                  <v:fill on="f" focussize="0,0"/>
                  <v:stroke on="f"/>
                  <v:imagedata r:id="rId30" o:title=""/>
                  <o:lock v:ext="edit" aspectratio="f"/>
                  <w10:wrap type="none"/>
                  <w10:anchorlock/>
                </v:shape>
                <o:OLEObject Type="Embed" ProgID="Visio.Drawing.15" ShapeID="_x0000_i1029" DrawAspect="Content" ObjectID="_1468075729" r:id="rId29">
                  <o:LockedField>false</o:LockedField>
                </o:OLEObject>
              </w:object>
            </w:r>
          </w:p>
          <w:p w14:paraId="0E855A9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4"/>
                <w:highlight w:val="yellow"/>
              </w:rPr>
            </w:pPr>
            <w:r>
              <w:rPr>
                <w:rFonts w:hint="default" w:ascii="Times New Roman" w:hAnsi="Times New Roman" w:eastAsia="宋体" w:cs="Times New Roman"/>
                <w:b/>
                <w:color w:val="auto"/>
                <w:sz w:val="24"/>
                <w:highlight w:val="none"/>
              </w:rPr>
              <w:t>图</w:t>
            </w:r>
            <w:r>
              <w:rPr>
                <w:rFonts w:hint="default" w:ascii="Times New Roman" w:hAnsi="Times New Roman" w:eastAsia="宋体" w:cs="Times New Roman"/>
                <w:b/>
                <w:bCs w:val="0"/>
                <w:color w:val="auto"/>
                <w:sz w:val="24"/>
                <w:highlight w:val="none"/>
              </w:rPr>
              <w:t>4-</w:t>
            </w:r>
            <w:r>
              <w:rPr>
                <w:rFonts w:hint="eastAsia" w:cs="Times New Roman"/>
                <w:b/>
                <w:bCs w:val="0"/>
                <w:color w:val="auto"/>
                <w:sz w:val="24"/>
                <w:highlight w:val="none"/>
                <w:lang w:val="en-US" w:eastAsia="zh-CN"/>
              </w:rPr>
              <w:t>1</w:t>
            </w:r>
            <w:r>
              <w:rPr>
                <w:rFonts w:hint="default" w:ascii="Times New Roman" w:hAnsi="Times New Roman" w:eastAsia="宋体" w:cs="Times New Roman"/>
                <w:b/>
                <w:bCs w:val="0"/>
                <w:color w:val="auto"/>
                <w:sz w:val="24"/>
                <w:highlight w:val="none"/>
              </w:rPr>
              <w:t xml:space="preserve">  </w:t>
            </w:r>
            <w:r>
              <w:rPr>
                <w:rFonts w:hint="default" w:ascii="Times New Roman" w:hAnsi="Times New Roman" w:eastAsia="宋体" w:cs="Times New Roman"/>
                <w:b/>
                <w:bCs w:val="0"/>
                <w:color w:val="auto"/>
                <w:sz w:val="24"/>
                <w:highlight w:val="none"/>
                <w:lang w:val="en-US" w:eastAsia="zh-CN"/>
              </w:rPr>
              <w:t>本</w:t>
            </w:r>
            <w:r>
              <w:rPr>
                <w:rFonts w:hint="default" w:ascii="Times New Roman" w:hAnsi="Times New Roman" w:eastAsia="宋体" w:cs="Times New Roman"/>
                <w:b/>
                <w:bCs w:val="0"/>
                <w:color w:val="auto"/>
                <w:sz w:val="24"/>
                <w:highlight w:val="none"/>
              </w:rPr>
              <w:t>项目</w:t>
            </w:r>
            <w:r>
              <w:rPr>
                <w:rFonts w:hint="default" w:ascii="Times New Roman" w:hAnsi="Times New Roman" w:eastAsia="宋体" w:cs="Times New Roman"/>
                <w:b/>
                <w:bCs w:val="0"/>
                <w:color w:val="auto"/>
                <w:sz w:val="24"/>
                <w:highlight w:val="none"/>
                <w:lang w:val="en-US" w:eastAsia="zh-CN"/>
              </w:rPr>
              <w:t>自建</w:t>
            </w:r>
            <w:r>
              <w:rPr>
                <w:rFonts w:hint="default" w:ascii="Times New Roman" w:hAnsi="Times New Roman" w:eastAsia="宋体" w:cs="Times New Roman"/>
                <w:b/>
                <w:bCs w:val="0"/>
                <w:color w:val="auto"/>
                <w:sz w:val="24"/>
                <w:highlight w:val="none"/>
              </w:rPr>
              <w:t>污水处理站</w:t>
            </w:r>
            <w:r>
              <w:rPr>
                <w:rFonts w:hint="default" w:ascii="Times New Roman" w:hAnsi="Times New Roman" w:eastAsia="宋体" w:cs="Times New Roman"/>
                <w:b/>
                <w:color w:val="auto"/>
                <w:sz w:val="24"/>
                <w:highlight w:val="none"/>
              </w:rPr>
              <w:t>工艺流程图</w:t>
            </w:r>
          </w:p>
          <w:p w14:paraId="55FEC787">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工艺流程简述：</w:t>
            </w:r>
          </w:p>
          <w:p w14:paraId="524DB60B">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eastAsia" w:cs="Times New Roman"/>
                <w:color w:val="auto"/>
                <w:sz w:val="24"/>
                <w:highlight w:val="none"/>
                <w:lang w:val="en-US" w:eastAsia="zh-CN"/>
              </w:rPr>
              <w:t>1）</w:t>
            </w:r>
            <w:r>
              <w:rPr>
                <w:rFonts w:hint="default" w:ascii="Times New Roman" w:hAnsi="Times New Roman" w:eastAsia="宋体" w:cs="Times New Roman"/>
                <w:color w:val="auto"/>
                <w:sz w:val="24"/>
                <w:highlight w:val="none"/>
              </w:rPr>
              <w:t>格栅</w:t>
            </w:r>
          </w:p>
          <w:p w14:paraId="5F64035C">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利用格栅栏栅结构，通过物理拦截方式，去除污水中体积较大的悬浮、漂浮固体污染物</w:t>
            </w:r>
            <w:r>
              <w:rPr>
                <w:rFonts w:hint="eastAsia" w:cs="Times New Roman"/>
                <w:color w:val="auto"/>
                <w:sz w:val="24"/>
                <w:highlight w:val="none"/>
                <w:lang w:eastAsia="zh-CN"/>
              </w:rPr>
              <w:t>，</w:t>
            </w:r>
            <w:r>
              <w:rPr>
                <w:rFonts w:hint="default" w:ascii="Times New Roman" w:hAnsi="Times New Roman" w:eastAsia="宋体" w:cs="Times New Roman"/>
                <w:color w:val="auto"/>
                <w:sz w:val="24"/>
                <w:highlight w:val="none"/>
              </w:rPr>
              <w:t>保护后续处理设备，避免大颗粒杂质堵塞管道、损伤水泵等，降低后续处理单元的负荷。</w:t>
            </w:r>
          </w:p>
          <w:p w14:paraId="5E22A6BC">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eastAsia" w:cs="Times New Roman"/>
                <w:color w:val="auto"/>
                <w:sz w:val="24"/>
                <w:highlight w:val="none"/>
                <w:lang w:val="en-US" w:eastAsia="zh-CN"/>
              </w:rPr>
              <w:t>2）</w:t>
            </w:r>
            <w:r>
              <w:rPr>
                <w:rFonts w:hint="default" w:ascii="Times New Roman" w:hAnsi="Times New Roman" w:eastAsia="宋体" w:cs="Times New Roman"/>
                <w:color w:val="auto"/>
                <w:sz w:val="24"/>
                <w:highlight w:val="none"/>
              </w:rPr>
              <w:t>调节池兼预曝气氧化池</w:t>
            </w:r>
          </w:p>
          <w:p w14:paraId="278D7B0C">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水质水量调节：收集不同时段、不同来源的污水，混合均化水质（如调节 pH、污染物浓度波动 ），平衡后续处理单元的进水负荷；</w:t>
            </w:r>
          </w:p>
          <w:p w14:paraId="61950DE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预曝气氧化：通过曝气（通入空气），一方面促进污水中易氧化分解的还原性污染物发生氧化反应；另一方面起到搅拌作用，防止悬浮物沉淀，同时初步充氧，利于后续微生物适应；</w:t>
            </w:r>
          </w:p>
          <w:p w14:paraId="356D257A">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片碱（NaOH）投加：用于调节污水pH，使进入后续处理单元的污水pH处于适宜微生物生长的范围。</w:t>
            </w:r>
          </w:p>
          <w:p w14:paraId="5F2CCEFD">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调节池兼预曝气氧化池</w:t>
            </w:r>
            <w:r>
              <w:rPr>
                <w:rFonts w:hint="eastAsia" w:ascii="Times New Roman" w:hAnsi="Times New Roman" w:eastAsia="宋体" w:cs="Times New Roman"/>
                <w:color w:val="auto"/>
                <w:sz w:val="24"/>
                <w:highlight w:val="none"/>
                <w:lang w:val="en-US" w:eastAsia="zh-CN"/>
              </w:rPr>
              <w:t>主要用于</w:t>
            </w:r>
            <w:r>
              <w:rPr>
                <w:rFonts w:hint="default" w:ascii="Times New Roman" w:hAnsi="Times New Roman" w:eastAsia="宋体" w:cs="Times New Roman"/>
                <w:color w:val="auto"/>
                <w:sz w:val="24"/>
                <w:highlight w:val="none"/>
              </w:rPr>
              <w:t>稳定系统进水条件，减轻冲击负荷；初步降解部分污染物，提升污水可生化性，为后续生物处理创造有利条件。</w:t>
            </w:r>
          </w:p>
          <w:p w14:paraId="173205E1">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eastAsia" w:cs="Times New Roman"/>
                <w:color w:val="auto"/>
                <w:sz w:val="24"/>
                <w:highlight w:val="none"/>
                <w:lang w:val="en-US" w:eastAsia="zh-CN"/>
              </w:rPr>
              <w:t>3）</w:t>
            </w:r>
            <w:r>
              <w:rPr>
                <w:rFonts w:hint="default" w:ascii="Times New Roman" w:hAnsi="Times New Roman" w:eastAsia="宋体" w:cs="Times New Roman"/>
                <w:color w:val="auto"/>
                <w:sz w:val="24"/>
                <w:highlight w:val="none"/>
              </w:rPr>
              <w:t>一级水解酸化池</w:t>
            </w:r>
          </w:p>
          <w:p w14:paraId="0EEEEA39">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rPr>
              <w:t>一级水解酸化池是</w:t>
            </w:r>
            <w:r>
              <w:rPr>
                <w:rFonts w:hint="eastAsia" w:ascii="Times New Roman" w:hAnsi="Times New Roman" w:eastAsia="宋体" w:cs="Times New Roman"/>
                <w:color w:val="auto"/>
                <w:sz w:val="24"/>
                <w:highlight w:val="none"/>
                <w:lang w:val="en-US" w:eastAsia="zh-CN"/>
              </w:rPr>
              <w:t>本项目废水</w:t>
            </w:r>
            <w:r>
              <w:rPr>
                <w:rFonts w:hint="default" w:ascii="Times New Roman" w:hAnsi="Times New Roman" w:eastAsia="宋体" w:cs="Times New Roman"/>
                <w:color w:val="auto"/>
                <w:sz w:val="24"/>
                <w:highlight w:val="none"/>
              </w:rPr>
              <w:t>硫酸盐还原的核心单元之一。在厌氧环境下，耐盐菌以污水中有机物为电子供体，将SO₄²⁻ 还原为S²⁻ 等硫化物，实现硫酸盐去除。水解酸化</w:t>
            </w:r>
            <w:r>
              <w:rPr>
                <w:rFonts w:hint="eastAsia" w:ascii="Times New Roman" w:hAnsi="Times New Roman" w:eastAsia="宋体" w:cs="Times New Roman"/>
                <w:color w:val="auto"/>
                <w:sz w:val="24"/>
                <w:highlight w:val="none"/>
                <w:lang w:val="en-US" w:eastAsia="zh-CN"/>
              </w:rPr>
              <w:t>单元可</w:t>
            </w:r>
            <w:r>
              <w:rPr>
                <w:rFonts w:hint="default" w:ascii="Times New Roman" w:hAnsi="Times New Roman" w:eastAsia="宋体" w:cs="Times New Roman"/>
                <w:color w:val="auto"/>
                <w:sz w:val="24"/>
                <w:highlight w:val="none"/>
              </w:rPr>
              <w:t>提升污水可生化性，将难降解大分子转化为易被后续好氧菌利用的小分子</w:t>
            </w:r>
            <w:r>
              <w:rPr>
                <w:rFonts w:hint="eastAsia" w:cs="Times New Roman"/>
                <w:color w:val="auto"/>
                <w:sz w:val="24"/>
                <w:highlight w:val="none"/>
                <w:lang w:eastAsia="zh-CN"/>
              </w:rPr>
              <w:t>。</w:t>
            </w:r>
            <w:r>
              <w:rPr>
                <w:rFonts w:hint="eastAsia" w:cs="Times New Roman"/>
                <w:color w:val="auto"/>
                <w:sz w:val="24"/>
                <w:highlight w:val="none"/>
                <w:lang w:val="en-US" w:eastAsia="zh-CN"/>
              </w:rPr>
              <w:t>在水解酸化池中投加耐盐菌。</w:t>
            </w:r>
          </w:p>
          <w:p w14:paraId="40A7CDBC">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eastAsia" w:cs="Times New Roman"/>
                <w:color w:val="auto"/>
                <w:sz w:val="24"/>
                <w:highlight w:val="none"/>
                <w:lang w:val="en-US" w:eastAsia="zh-CN"/>
              </w:rPr>
              <w:t>4）</w:t>
            </w:r>
            <w:r>
              <w:rPr>
                <w:rFonts w:hint="default" w:ascii="Times New Roman" w:hAnsi="Times New Roman" w:eastAsia="宋体" w:cs="Times New Roman"/>
                <w:color w:val="auto"/>
                <w:sz w:val="24"/>
                <w:highlight w:val="none"/>
              </w:rPr>
              <w:t>A/O 池</w:t>
            </w:r>
          </w:p>
          <w:p w14:paraId="3658340F">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A段（缺氧区）：在缺氧环境下，反硝化细菌利用污水中硝酸盐氮作为电子受体，以污水中有机物为碳源，进行反硝化反应，将NO₃⁻ - N还原为N₂去除。</w:t>
            </w:r>
            <w:r>
              <w:rPr>
                <w:rFonts w:hint="eastAsia" w:cs="Times New Roman"/>
                <w:color w:val="auto"/>
                <w:sz w:val="24"/>
                <w:highlight w:val="none"/>
                <w:lang w:val="en-US" w:eastAsia="zh-CN"/>
              </w:rPr>
              <w:t>在A池中投加耐盐菌。</w:t>
            </w:r>
          </w:p>
          <w:p w14:paraId="5A4F5661">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O段（好氧区）：在好氧环境下，好氧异养菌分解污水中剩余有机物，通过有氧呼吸代谢为CO₂和H₂O，实现COD 降解；同时，硝化细菌将氨氮氧化为NO₃⁻ - N，为A段反硝化提供底物。</w:t>
            </w:r>
          </w:p>
          <w:p w14:paraId="6D52AD9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eastAsia" w:cs="Times New Roman"/>
                <w:color w:val="auto"/>
                <w:sz w:val="24"/>
                <w:highlight w:val="none"/>
                <w:lang w:val="en-US" w:eastAsia="zh-CN"/>
              </w:rPr>
              <w:t>5）</w:t>
            </w:r>
            <w:r>
              <w:rPr>
                <w:rFonts w:hint="default" w:ascii="Times New Roman" w:hAnsi="Times New Roman" w:eastAsia="宋体" w:cs="Times New Roman"/>
                <w:color w:val="auto"/>
                <w:sz w:val="24"/>
                <w:highlight w:val="none"/>
              </w:rPr>
              <w:t>混凝池</w:t>
            </w:r>
            <w:r>
              <w:rPr>
                <w:rFonts w:hint="eastAsia" w:cs="Times New Roman"/>
                <w:color w:val="auto"/>
                <w:sz w:val="24"/>
                <w:highlight w:val="none"/>
                <w:lang w:eastAsia="zh-CN"/>
              </w:rPr>
              <w:t>（</w:t>
            </w:r>
            <w:r>
              <w:rPr>
                <w:rFonts w:hint="default" w:ascii="Times New Roman" w:hAnsi="Times New Roman" w:eastAsia="宋体" w:cs="Times New Roman"/>
                <w:color w:val="auto"/>
                <w:sz w:val="24"/>
                <w:highlight w:val="none"/>
              </w:rPr>
              <w:t>PAM、PAC 投加</w:t>
            </w:r>
            <w:r>
              <w:rPr>
                <w:rFonts w:hint="eastAsia" w:cs="Times New Roman"/>
                <w:color w:val="auto"/>
                <w:sz w:val="24"/>
                <w:highlight w:val="none"/>
                <w:lang w:eastAsia="zh-CN"/>
              </w:rPr>
              <w:t>）</w:t>
            </w:r>
            <w:r>
              <w:rPr>
                <w:rFonts w:hint="default" w:ascii="Times New Roman" w:hAnsi="Times New Roman" w:eastAsia="宋体" w:cs="Times New Roman"/>
                <w:color w:val="auto"/>
                <w:sz w:val="24"/>
                <w:highlight w:val="none"/>
              </w:rPr>
              <w:t xml:space="preserve"> </w:t>
            </w:r>
          </w:p>
          <w:p w14:paraId="28119BCF">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eastAsia" w:cs="Times New Roman"/>
                <w:color w:val="auto"/>
                <w:sz w:val="24"/>
                <w:highlight w:val="none"/>
                <w:lang w:val="en-US" w:eastAsia="zh-CN"/>
              </w:rPr>
              <w:t>通过添加</w:t>
            </w:r>
            <w:r>
              <w:rPr>
                <w:rFonts w:hint="default" w:ascii="Times New Roman" w:hAnsi="Times New Roman" w:eastAsia="宋体" w:cs="Times New Roman"/>
                <w:color w:val="auto"/>
                <w:sz w:val="24"/>
                <w:highlight w:val="none"/>
              </w:rPr>
              <w:t>PAM、PAC去除污水中难以通过生物处理去除的细小悬浮物、胶体物质，降低出水浊度，提升出水水质。</w:t>
            </w:r>
          </w:p>
          <w:p w14:paraId="6F1E1C29">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6. 沉淀池</w:t>
            </w:r>
          </w:p>
          <w:p w14:paraId="00461C1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利用重力沉降作用，使混凝池产生的大颗粒絮体（污泥 ）沉淀至池底，实现泥水分离。保障清水进入后续清水池，污泥则排入污泥池处理。</w:t>
            </w:r>
          </w:p>
          <w:p w14:paraId="0D58DC0F">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eastAsia" w:cs="Times New Roman"/>
                <w:color w:val="auto"/>
                <w:sz w:val="24"/>
                <w:highlight w:val="none"/>
                <w:lang w:val="en-US" w:eastAsia="zh-CN"/>
              </w:rPr>
              <w:t>7）</w:t>
            </w:r>
            <w:r>
              <w:rPr>
                <w:rFonts w:hint="default" w:ascii="Times New Roman" w:hAnsi="Times New Roman" w:eastAsia="宋体" w:cs="Times New Roman"/>
                <w:color w:val="auto"/>
                <w:sz w:val="24"/>
                <w:highlight w:val="none"/>
              </w:rPr>
              <w:t>清水池</w:t>
            </w:r>
          </w:p>
          <w:p w14:paraId="4653A8C6">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暂时储存经前面单元处理后的达标清水，起到水量调节、水质均质作用（让出水水质在短时间内保持稳定）。为后续</w:t>
            </w:r>
            <w:r>
              <w:rPr>
                <w:rFonts w:hint="eastAsia" w:cs="Times New Roman"/>
                <w:color w:val="auto"/>
                <w:sz w:val="24"/>
                <w:highlight w:val="none"/>
                <w:lang w:eastAsia="zh-CN"/>
              </w:rPr>
              <w:t>“</w:t>
            </w:r>
            <w:r>
              <w:rPr>
                <w:rFonts w:hint="default" w:ascii="Times New Roman" w:hAnsi="Times New Roman" w:eastAsia="宋体" w:cs="Times New Roman"/>
                <w:color w:val="auto"/>
                <w:sz w:val="24"/>
                <w:highlight w:val="none"/>
              </w:rPr>
              <w:t>压力流外排</w:t>
            </w:r>
            <w:r>
              <w:rPr>
                <w:rFonts w:hint="eastAsia" w:cs="Times New Roman"/>
                <w:color w:val="auto"/>
                <w:sz w:val="24"/>
                <w:highlight w:val="none"/>
                <w:lang w:eastAsia="zh-CN"/>
              </w:rPr>
              <w:t>”</w:t>
            </w:r>
            <w:r>
              <w:rPr>
                <w:rFonts w:hint="default" w:ascii="Times New Roman" w:hAnsi="Times New Roman" w:eastAsia="宋体" w:cs="Times New Roman"/>
                <w:color w:val="auto"/>
                <w:sz w:val="24"/>
                <w:highlight w:val="none"/>
              </w:rPr>
              <w:t xml:space="preserve"> 提供稳定水源，也可作为应急储存，缓冲排水高峰。</w:t>
            </w:r>
          </w:p>
          <w:p w14:paraId="03BAFD5E">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eastAsia" w:cs="Times New Roman"/>
                <w:color w:val="auto"/>
                <w:sz w:val="24"/>
                <w:highlight w:val="none"/>
                <w:lang w:val="en-US" w:eastAsia="zh-CN"/>
              </w:rPr>
              <w:t>8）</w:t>
            </w:r>
            <w:r>
              <w:rPr>
                <w:rFonts w:hint="default" w:ascii="Times New Roman" w:hAnsi="Times New Roman" w:eastAsia="宋体" w:cs="Times New Roman"/>
                <w:color w:val="auto"/>
                <w:sz w:val="24"/>
                <w:highlight w:val="none"/>
              </w:rPr>
              <w:t xml:space="preserve">污泥池 </w:t>
            </w:r>
          </w:p>
          <w:p w14:paraId="7782D388">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收集各单元产生的污泥（格栅拦截的杂物、沉淀池污泥等），通过压滤机脱水</w:t>
            </w:r>
            <w:r>
              <w:rPr>
                <w:rFonts w:hint="eastAsia" w:cs="Times New Roman"/>
                <w:color w:val="auto"/>
                <w:sz w:val="24"/>
                <w:highlight w:val="none"/>
                <w:lang w:val="en-US" w:eastAsia="zh-CN"/>
              </w:rPr>
              <w:t>后外运</w:t>
            </w:r>
            <w:r>
              <w:rPr>
                <w:rFonts w:hint="default" w:ascii="Times New Roman" w:hAnsi="Times New Roman" w:eastAsia="宋体" w:cs="Times New Roman"/>
                <w:color w:val="auto"/>
                <w:sz w:val="24"/>
                <w:highlight w:val="none"/>
              </w:rPr>
              <w:t>。</w:t>
            </w:r>
          </w:p>
          <w:p w14:paraId="6E1F8A38">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本项目</w:t>
            </w:r>
            <w:r>
              <w:rPr>
                <w:rFonts w:hint="eastAsia" w:cs="Times New Roman"/>
                <w:color w:val="auto"/>
                <w:sz w:val="24"/>
                <w:highlight w:val="none"/>
                <w:lang w:val="en-US" w:eastAsia="zh-CN"/>
              </w:rPr>
              <w:t>综合</w:t>
            </w:r>
            <w:r>
              <w:rPr>
                <w:rFonts w:hint="default" w:ascii="Times New Roman" w:hAnsi="Times New Roman" w:eastAsia="宋体" w:cs="Times New Roman"/>
                <w:color w:val="auto"/>
                <w:sz w:val="24"/>
                <w:highlight w:val="none"/>
              </w:rPr>
              <w:t>废水处理设施主要采用"</w:t>
            </w:r>
            <w:r>
              <w:rPr>
                <w:rFonts w:hint="default" w:ascii="Times New Roman" w:hAnsi="Times New Roman" w:eastAsia="宋体" w:cs="Times New Roman"/>
                <w:color w:val="auto"/>
                <w:sz w:val="24"/>
                <w:highlight w:val="none"/>
                <w:lang w:val="en-US" w:eastAsia="zh-CN"/>
              </w:rPr>
              <w:t>格栅+调节池兼预曝气氧化池</w:t>
            </w:r>
            <w:r>
              <w:rPr>
                <w:rFonts w:hint="default" w:ascii="Times New Roman" w:hAnsi="Times New Roman" w:eastAsia="宋体" w:cs="Times New Roman"/>
                <w:color w:val="auto"/>
                <w:sz w:val="24"/>
                <w:highlight w:val="none"/>
              </w:rPr>
              <w:t>+一级水解酸化池+AO池</w:t>
            </w:r>
            <w:r>
              <w:rPr>
                <w:rFonts w:hint="default" w:ascii="Times New Roman" w:hAnsi="Times New Roman" w:eastAsia="宋体" w:cs="Times New Roman"/>
                <w:color w:val="auto"/>
                <w:sz w:val="24"/>
                <w:highlight w:val="none"/>
                <w:lang w:val="en-US" w:eastAsia="zh-CN"/>
              </w:rPr>
              <w:t>+混凝池+沉淀池+清水池</w:t>
            </w:r>
            <w:r>
              <w:rPr>
                <w:rFonts w:hint="default" w:ascii="Times New Roman" w:hAnsi="Times New Roman" w:eastAsia="宋体" w:cs="Times New Roman"/>
                <w:color w:val="auto"/>
                <w:sz w:val="24"/>
                <w:highlight w:val="none"/>
              </w:rPr>
              <w:t>"处理工艺，参照《排污许可证申请与核发技术规范 食品制造工业—方便食品、食品及饲料添加剂制造工业》（HJ1030.3—2019）A1方便食品制造工业废水污染防治可行技术参考表，</w:t>
            </w:r>
            <w:r>
              <w:rPr>
                <w:rFonts w:hint="eastAsia" w:cs="Times New Roman"/>
                <w:color w:val="auto"/>
                <w:sz w:val="24"/>
                <w:highlight w:val="none"/>
                <w:lang w:val="en-US" w:eastAsia="zh-CN"/>
              </w:rPr>
              <w:t>本</w:t>
            </w:r>
            <w:r>
              <w:rPr>
                <w:rFonts w:hint="default" w:ascii="Times New Roman" w:hAnsi="Times New Roman" w:eastAsia="宋体" w:cs="Times New Roman"/>
                <w:color w:val="auto"/>
                <w:sz w:val="24"/>
                <w:highlight w:val="none"/>
              </w:rPr>
              <w:t>项目</w:t>
            </w:r>
            <w:r>
              <w:rPr>
                <w:rFonts w:hint="eastAsia" w:cs="Times New Roman"/>
                <w:color w:val="auto"/>
                <w:sz w:val="24"/>
                <w:highlight w:val="none"/>
                <w:lang w:val="en-US" w:eastAsia="zh-CN"/>
              </w:rPr>
              <w:t>采用的</w:t>
            </w:r>
            <w:r>
              <w:rPr>
                <w:rFonts w:hint="default" w:ascii="Times New Roman" w:hAnsi="Times New Roman" w:eastAsia="宋体" w:cs="Times New Roman"/>
                <w:color w:val="auto"/>
                <w:sz w:val="24"/>
                <w:highlight w:val="none"/>
              </w:rPr>
              <w:t>废水处理工艺属于可行技术。</w:t>
            </w:r>
          </w:p>
          <w:p w14:paraId="48AD1D1A">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项目</w:t>
            </w:r>
            <w:r>
              <w:rPr>
                <w:rFonts w:hint="default" w:ascii="Times New Roman" w:hAnsi="Times New Roman" w:eastAsia="宋体" w:cs="Times New Roman"/>
                <w:color w:val="auto"/>
                <w:sz w:val="24"/>
                <w:highlight w:val="none"/>
              </w:rPr>
              <w:fldChar w:fldCharType="begin"/>
            </w:r>
            <w:r>
              <w:rPr>
                <w:rFonts w:hint="default" w:ascii="Times New Roman" w:hAnsi="Times New Roman" w:eastAsia="宋体" w:cs="Times New Roman"/>
                <w:color w:val="auto"/>
                <w:sz w:val="24"/>
                <w:highlight w:val="none"/>
              </w:rPr>
              <w:instrText xml:space="preserve"> REF 排水路径 \h  \* MERGEFORMAT </w:instrText>
            </w:r>
            <w:r>
              <w:rPr>
                <w:rFonts w:hint="default" w:ascii="Times New Roman" w:hAnsi="Times New Roman" w:eastAsia="宋体" w:cs="Times New Roman"/>
                <w:color w:val="auto"/>
                <w:sz w:val="24"/>
                <w:highlight w:val="none"/>
              </w:rPr>
              <w:fldChar w:fldCharType="separate"/>
            </w:r>
            <w:r>
              <w:rPr>
                <w:rFonts w:hint="default" w:ascii="Times New Roman" w:hAnsi="Times New Roman" w:eastAsia="宋体" w:cs="Times New Roman"/>
                <w:color w:val="auto"/>
                <w:sz w:val="24"/>
                <w:highlight w:val="none"/>
              </w:rPr>
              <w:t>废水经过自建的污水处理站处理后</w:t>
            </w:r>
            <w:r>
              <w:rPr>
                <w:rFonts w:hint="eastAsia" w:cs="Times New Roman"/>
                <w:color w:val="auto"/>
                <w:sz w:val="24"/>
                <w:highlight w:val="none"/>
                <w:lang w:val="en-US" w:eastAsia="zh-CN"/>
              </w:rPr>
              <w:t>可达到官家嘴镇污水处理站纳管标准。</w:t>
            </w:r>
            <w:r>
              <w:rPr>
                <w:rFonts w:hint="default" w:ascii="Times New Roman" w:hAnsi="Times New Roman" w:eastAsia="宋体" w:cs="Times New Roman"/>
                <w:color w:val="auto"/>
                <w:sz w:val="24"/>
                <w:highlight w:val="none"/>
              </w:rPr>
              <w:fldChar w:fldCharType="end"/>
            </w:r>
          </w:p>
          <w:p w14:paraId="3960AC98">
            <w:pPr>
              <w:pStyle w:val="108"/>
              <w:keepNext w:val="0"/>
              <w:keepLines w:val="0"/>
              <w:suppressLineNumbers w:val="0"/>
              <w:spacing w:before="0" w:beforeAutospacing="0" w:after="0" w:afterAutospacing="0"/>
              <w:ind w:left="0" w:right="0" w:firstLine="482"/>
              <w:outlineLvl w:val="0"/>
              <w:rPr>
                <w:rFonts w:hint="default" w:ascii="Times New Roman" w:hAnsi="Times New Roman" w:eastAsia="宋体" w:cs="Times New Roman"/>
                <w:b/>
                <w:bCs/>
                <w:color w:val="auto"/>
                <w:highlight w:val="none"/>
                <w:lang w:val="en-US" w:eastAsia="zh-CN"/>
              </w:rPr>
            </w:pPr>
            <w:bookmarkStart w:id="29" w:name="_Toc30742"/>
            <w:bookmarkStart w:id="30" w:name="_Toc111457504"/>
            <w:bookmarkStart w:id="31" w:name="_Toc111444409"/>
            <w:bookmarkStart w:id="32" w:name="_Toc23473"/>
            <w:bookmarkStart w:id="33" w:name="_Toc27904"/>
            <w:r>
              <w:rPr>
                <w:rFonts w:hint="default" w:ascii="Times New Roman" w:hAnsi="Times New Roman" w:eastAsia="宋体" w:cs="Times New Roman"/>
                <w:b/>
                <w:bCs/>
                <w:color w:val="auto"/>
                <w:highlight w:val="none"/>
                <w:lang w:val="en-US" w:eastAsia="zh-CN"/>
              </w:rPr>
              <w:t>（3）</w:t>
            </w:r>
            <w:r>
              <w:rPr>
                <w:rFonts w:hint="eastAsia" w:ascii="Times New Roman" w:hAnsi="Times New Roman" w:cs="Times New Roman"/>
                <w:b/>
                <w:bCs/>
                <w:color w:val="auto"/>
                <w:highlight w:val="none"/>
                <w:lang w:val="en-US" w:eastAsia="zh-CN"/>
              </w:rPr>
              <w:t>官家嘴镇污水处理站可依托性分析</w:t>
            </w:r>
          </w:p>
          <w:p w14:paraId="2F0B55EE">
            <w:pPr>
              <w:pStyle w:val="108"/>
              <w:keepNext w:val="0"/>
              <w:keepLines w:val="0"/>
              <w:suppressLineNumbers w:val="0"/>
              <w:spacing w:before="0" w:beforeAutospacing="0" w:after="0" w:afterAutospacing="0"/>
              <w:ind w:left="0" w:right="0" w:firstLine="482"/>
              <w:outlineLvl w:val="0"/>
              <w:rPr>
                <w:rFonts w:hint="default" w:ascii="Times New Roman" w:hAnsi="Times New Roman" w:eastAsia="宋体" w:cs="Times New Roman"/>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①</w:t>
            </w:r>
            <w:r>
              <w:rPr>
                <w:rFonts w:hint="eastAsia" w:ascii="Times New Roman" w:hAnsi="Times New Roman" w:cs="Times New Roman"/>
                <w:color w:val="auto"/>
                <w:sz w:val="24"/>
                <w:szCs w:val="24"/>
                <w:highlight w:val="none"/>
                <w:u w:val="none"/>
                <w:lang w:val="en-US" w:eastAsia="zh-CN"/>
              </w:rPr>
              <w:t>官家嘴镇污水处理站简介</w:t>
            </w:r>
          </w:p>
          <w:p w14:paraId="3C5568A3">
            <w:pPr>
              <w:pStyle w:val="108"/>
              <w:keepNext w:val="0"/>
              <w:keepLines w:val="0"/>
              <w:suppressLineNumbers w:val="0"/>
              <w:spacing w:before="0" w:beforeAutospacing="0" w:after="0" w:afterAutospacing="0"/>
              <w:ind w:left="0" w:right="0" w:firstLine="482"/>
              <w:outlineLvl w:val="0"/>
              <w:rPr>
                <w:rFonts w:hint="eastAsia" w:ascii="Times New Roman" w:hAnsi="Times New Roman" w:cs="Times New Roman"/>
                <w:szCs w:val="24"/>
                <w:lang w:val="en-US" w:eastAsia="zh-CN"/>
              </w:rPr>
            </w:pPr>
            <w:r>
              <w:rPr>
                <w:rFonts w:hint="default" w:ascii="Times New Roman" w:hAnsi="Times New Roman" w:cs="Times New Roman"/>
                <w:color w:val="auto"/>
                <w:sz w:val="24"/>
                <w:szCs w:val="24"/>
                <w:highlight w:val="none"/>
                <w:u w:val="none"/>
                <w:lang w:val="en-US" w:eastAsia="zh-CN"/>
              </w:rPr>
              <w:t>官家嘴镇污水处理站位于官家嘴镇集镇区南侧，设计近期处理规模200m</w:t>
            </w:r>
            <w:r>
              <w:rPr>
                <w:rFonts w:hint="default" w:ascii="Times New Roman" w:hAnsi="Times New Roman" w:cs="Times New Roman"/>
                <w:color w:val="auto"/>
                <w:sz w:val="24"/>
                <w:szCs w:val="24"/>
                <w:highlight w:val="none"/>
                <w:u w:val="none"/>
                <w:vertAlign w:val="superscript"/>
                <w:lang w:val="en-US" w:eastAsia="zh-CN"/>
              </w:rPr>
              <w:t>3</w:t>
            </w:r>
            <w:r>
              <w:rPr>
                <w:rFonts w:hint="default" w:ascii="Times New Roman" w:hAnsi="Times New Roman" w:cs="Times New Roman"/>
                <w:color w:val="auto"/>
                <w:sz w:val="24"/>
                <w:szCs w:val="24"/>
                <w:highlight w:val="none"/>
                <w:u w:val="none"/>
                <w:lang w:val="en-US" w:eastAsia="zh-CN"/>
              </w:rPr>
              <w:t>/d，远期处理规模700m</w:t>
            </w:r>
            <w:r>
              <w:rPr>
                <w:rFonts w:hint="default" w:ascii="Times New Roman" w:hAnsi="Times New Roman" w:cs="Times New Roman"/>
                <w:color w:val="auto"/>
                <w:sz w:val="24"/>
                <w:szCs w:val="24"/>
                <w:highlight w:val="none"/>
                <w:u w:val="none"/>
                <w:vertAlign w:val="superscript"/>
                <w:lang w:val="en-US" w:eastAsia="zh-CN"/>
              </w:rPr>
              <w:t>3</w:t>
            </w:r>
            <w:r>
              <w:rPr>
                <w:rFonts w:hint="default" w:ascii="Times New Roman" w:hAnsi="Times New Roman" w:cs="Times New Roman"/>
                <w:color w:val="auto"/>
                <w:sz w:val="24"/>
                <w:szCs w:val="24"/>
                <w:highlight w:val="none"/>
                <w:u w:val="none"/>
                <w:lang w:val="en-US" w:eastAsia="zh-CN"/>
              </w:rPr>
              <w:t>/d，处理后达标尾水通过管道排入黄狮江。其入河排污口位于祁东县官家嘴镇黄狮江左岸，地理坐标为E111°50′10.3″，N26°55′54.68″。官家嘴镇污水处理站</w:t>
            </w:r>
            <w:r>
              <w:rPr>
                <w:rFonts w:hint="eastAsia" w:ascii="Times New Roman" w:hAnsi="Times New Roman" w:cs="Times New Roman"/>
                <w:color w:val="auto"/>
                <w:sz w:val="24"/>
                <w:szCs w:val="24"/>
                <w:highlight w:val="none"/>
                <w:u w:val="none"/>
                <w:lang w:val="en-US" w:eastAsia="zh-CN"/>
              </w:rPr>
              <w:t>于2023年6月开工建设，目前已建成运行</w:t>
            </w:r>
            <w:r>
              <w:rPr>
                <w:rFonts w:hint="default" w:ascii="Times New Roman" w:hAnsi="Times New Roman" w:cs="Times New Roman"/>
                <w:color w:val="auto"/>
                <w:sz w:val="24"/>
                <w:szCs w:val="24"/>
                <w:highlight w:val="none"/>
                <w:u w:val="none"/>
                <w:lang w:val="en-US" w:eastAsia="zh-CN"/>
              </w:rPr>
              <w:t>（处理规模：200m</w:t>
            </w:r>
            <w:r>
              <w:rPr>
                <w:rFonts w:hint="default" w:ascii="Times New Roman" w:hAnsi="Times New Roman" w:cs="Times New Roman"/>
                <w:color w:val="auto"/>
                <w:sz w:val="24"/>
                <w:szCs w:val="24"/>
                <w:highlight w:val="none"/>
                <w:u w:val="none"/>
                <w:vertAlign w:val="superscript"/>
                <w:lang w:val="en-US" w:eastAsia="zh-CN"/>
              </w:rPr>
              <w:t>3</w:t>
            </w:r>
            <w:r>
              <w:rPr>
                <w:rFonts w:hint="default" w:ascii="Times New Roman" w:hAnsi="Times New Roman" w:cs="Times New Roman"/>
                <w:color w:val="auto"/>
                <w:sz w:val="24"/>
                <w:szCs w:val="24"/>
                <w:highlight w:val="none"/>
                <w:u w:val="none"/>
                <w:lang w:val="en-US" w:eastAsia="zh-CN"/>
              </w:rPr>
              <w:t>/d），处理工艺为</w:t>
            </w:r>
            <w:r>
              <w:rPr>
                <w:rFonts w:hint="eastAsia" w:ascii="Times New Roman" w:hAnsi="Times New Roman" w:cs="Times New Roman"/>
                <w:color w:val="auto"/>
                <w:sz w:val="24"/>
                <w:szCs w:val="24"/>
                <w:highlight w:val="none"/>
                <w:u w:val="none"/>
                <w:lang w:val="en-US" w:eastAsia="zh-CN"/>
              </w:rPr>
              <w:t>“</w:t>
            </w:r>
            <w:r>
              <w:rPr>
                <w:rFonts w:hint="default" w:ascii="Times New Roman" w:hAnsi="Times New Roman" w:cs="Times New Roman"/>
                <w:szCs w:val="24"/>
              </w:rPr>
              <w:t>组合池+一体化污水处理</w:t>
            </w:r>
            <w:r>
              <w:rPr>
                <w:rFonts w:hint="default" w:ascii="Times New Roman" w:hAnsi="Times New Roman" w:cs="Times New Roman"/>
                <w:szCs w:val="24"/>
                <w:lang w:val="en-US" w:eastAsia="zh-CN"/>
              </w:rPr>
              <w:t>设施（</w:t>
            </w:r>
            <w:r>
              <w:rPr>
                <w:rFonts w:hint="default" w:ascii="Times New Roman" w:hAnsi="Times New Roman" w:cs="Times New Roman"/>
                <w:szCs w:val="24"/>
              </w:rPr>
              <w:t>工艺采用A</w:t>
            </w:r>
            <w:r>
              <w:rPr>
                <w:rFonts w:hint="default" w:ascii="Times New Roman" w:hAnsi="Times New Roman" w:cs="Times New Roman"/>
                <w:szCs w:val="24"/>
                <w:vertAlign w:val="superscript"/>
              </w:rPr>
              <w:t>2</w:t>
            </w:r>
            <w:r>
              <w:rPr>
                <w:rFonts w:hint="default" w:ascii="Times New Roman" w:hAnsi="Times New Roman" w:cs="Times New Roman"/>
                <w:szCs w:val="24"/>
              </w:rPr>
              <w:t>/O工艺</w:t>
            </w:r>
            <w:r>
              <w:rPr>
                <w:rFonts w:hint="default" w:ascii="Times New Roman" w:hAnsi="Times New Roman" w:cs="Times New Roman"/>
                <w:szCs w:val="24"/>
                <w:lang w:val="en-US" w:eastAsia="zh-CN"/>
              </w:rPr>
              <w:t>）</w:t>
            </w:r>
            <w:r>
              <w:rPr>
                <w:rFonts w:hint="eastAsia" w:ascii="Times New Roman" w:hAnsi="Times New Roman" w:cs="Times New Roman"/>
                <w:color w:val="auto"/>
                <w:sz w:val="24"/>
                <w:szCs w:val="24"/>
                <w:highlight w:val="none"/>
                <w:u w:val="none"/>
                <w:lang w:val="en-US" w:eastAsia="zh-CN"/>
              </w:rPr>
              <w:t>”</w:t>
            </w:r>
            <w:r>
              <w:rPr>
                <w:rFonts w:hint="eastAsia" w:ascii="Times New Roman" w:hAnsi="Times New Roman" w:cs="Times New Roman"/>
                <w:szCs w:val="24"/>
                <w:lang w:eastAsia="zh-CN"/>
              </w:rPr>
              <w:t>，</w:t>
            </w:r>
            <w:r>
              <w:rPr>
                <w:rFonts w:hint="eastAsia" w:ascii="Times New Roman" w:hAnsi="Times New Roman" w:cs="Times New Roman"/>
                <w:szCs w:val="24"/>
                <w:lang w:val="en-US" w:eastAsia="zh-CN"/>
              </w:rPr>
              <w:t>官家嘴镇污水处理站工艺流程见下图。</w:t>
            </w:r>
          </w:p>
          <w:p w14:paraId="65D97C97">
            <w:pPr>
              <w:pStyle w:val="108"/>
              <w:keepNext w:val="0"/>
              <w:keepLines w:val="0"/>
              <w:suppressLineNumbers w:val="0"/>
              <w:spacing w:before="0" w:beforeAutospacing="0" w:after="0" w:afterAutospacing="0"/>
              <w:ind w:left="0" w:leftChars="0" w:right="0" w:firstLine="0" w:firstLineChars="0"/>
              <w:jc w:val="center"/>
              <w:outlineLvl w:val="0"/>
              <w:rPr>
                <w:rFonts w:hint="eastAsia" w:ascii="Times New Roman" w:hAnsi="Times New Roman" w:cs="Times New Roman"/>
                <w:szCs w:val="24"/>
                <w:lang w:val="en-US" w:eastAsia="zh-CN"/>
              </w:rPr>
            </w:pPr>
            <w:r>
              <w:rPr>
                <w:rFonts w:hint="default"/>
              </w:rPr>
              <w:drawing>
                <wp:inline distT="0" distB="0" distL="0" distR="0">
                  <wp:extent cx="4519295" cy="4628515"/>
                  <wp:effectExtent l="0" t="0" r="14605" b="635"/>
                  <wp:docPr id="10156766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6632" name="图片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19295" cy="4628515"/>
                          </a:xfrm>
                          <a:prstGeom prst="rect">
                            <a:avLst/>
                          </a:prstGeom>
                          <a:noFill/>
                          <a:ln>
                            <a:noFill/>
                          </a:ln>
                        </pic:spPr>
                      </pic:pic>
                    </a:graphicData>
                  </a:graphic>
                </wp:inline>
              </w:drawing>
            </w:r>
          </w:p>
          <w:p w14:paraId="48EF416B">
            <w:pPr>
              <w:pStyle w:val="108"/>
              <w:keepNext w:val="0"/>
              <w:keepLines w:val="0"/>
              <w:suppressLineNumbers w:val="0"/>
              <w:spacing w:before="0" w:beforeAutospacing="0" w:after="0" w:afterAutospacing="0"/>
              <w:ind w:left="0" w:right="0" w:firstLine="482"/>
              <w:jc w:val="center"/>
              <w:outlineLvl w:val="0"/>
              <w:rPr>
                <w:rFonts w:hint="default" w:ascii="Times New Roman" w:hAnsi="Times New Roman" w:cs="Times New Roman"/>
                <w:szCs w:val="24"/>
                <w:lang w:val="en-US" w:eastAsia="zh-CN"/>
              </w:rPr>
            </w:pPr>
            <w:r>
              <w:rPr>
                <w:rFonts w:hint="eastAsia" w:ascii="Times New Roman" w:hAnsi="Times New Roman" w:cs="Times New Roman"/>
                <w:b/>
                <w:bCs/>
                <w:color w:val="000000" w:themeColor="text1"/>
                <w:szCs w:val="24"/>
                <w:lang w:val="en-US" w:eastAsia="zh-CN"/>
                <w14:textFill>
                  <w14:solidFill>
                    <w14:schemeClr w14:val="tx1"/>
                  </w14:solidFill>
                </w14:textFill>
              </w:rPr>
              <w:t>图4-2 官家嘴镇污水处理站处理工艺流程图</w:t>
            </w:r>
          </w:p>
          <w:p w14:paraId="16C94343">
            <w:pPr>
              <w:pStyle w:val="108"/>
              <w:keepNext w:val="0"/>
              <w:keepLines w:val="0"/>
              <w:suppressLineNumbers w:val="0"/>
              <w:spacing w:before="0" w:beforeAutospacing="0" w:after="0" w:afterAutospacing="0"/>
              <w:ind w:left="0" w:right="0" w:firstLine="482"/>
              <w:outlineLvl w:val="0"/>
              <w:rPr>
                <w:rFonts w:hint="default" w:ascii="Times New Roman" w:hAnsi="Times New Roman" w:cs="Times New Roman"/>
                <w:szCs w:val="24"/>
                <w:lang w:val="en-US" w:eastAsia="zh-CN"/>
              </w:rPr>
            </w:pPr>
            <w:r>
              <w:rPr>
                <w:rFonts w:hint="eastAsia" w:ascii="宋体" w:hAnsi="宋体" w:eastAsia="宋体" w:cs="宋体"/>
                <w:szCs w:val="24"/>
                <w:lang w:val="en-US" w:eastAsia="zh-CN"/>
              </w:rPr>
              <w:t>②</w:t>
            </w:r>
            <w:r>
              <w:rPr>
                <w:rFonts w:hint="eastAsia" w:ascii="Times New Roman" w:hAnsi="Times New Roman" w:cs="Times New Roman"/>
                <w:szCs w:val="24"/>
                <w:lang w:val="en-US" w:eastAsia="zh-CN"/>
              </w:rPr>
              <w:t>管家嘴镇污水处理站设计进出水水质</w:t>
            </w:r>
          </w:p>
          <w:p w14:paraId="43EEB948">
            <w:pPr>
              <w:pStyle w:val="103"/>
              <w:keepNext w:val="0"/>
              <w:keepLines w:val="0"/>
              <w:suppressLineNumbers w:val="0"/>
              <w:spacing w:before="0" w:beforeAutospacing="0" w:after="0" w:afterAutospacing="0"/>
              <w:ind w:left="0" w:right="0"/>
              <w:rPr>
                <w:rFonts w:hint="eastAsia"/>
                <w:sz w:val="21"/>
                <w:szCs w:val="21"/>
              </w:rPr>
            </w:pPr>
          </w:p>
          <w:p w14:paraId="5D7D4AD6">
            <w:pPr>
              <w:pStyle w:val="103"/>
              <w:keepNext w:val="0"/>
              <w:keepLines w:val="0"/>
              <w:suppressLineNumbers w:val="0"/>
              <w:spacing w:before="0" w:beforeAutospacing="0" w:after="0" w:afterAutospacing="0"/>
              <w:ind w:left="0" w:right="0"/>
              <w:rPr>
                <w:rFonts w:hint="default"/>
                <w:sz w:val="21"/>
                <w:szCs w:val="21"/>
              </w:rPr>
            </w:pPr>
            <w:r>
              <w:rPr>
                <w:rFonts w:hint="eastAsia"/>
                <w:sz w:val="21"/>
                <w:szCs w:val="21"/>
              </w:rPr>
              <w:t>表</w:t>
            </w:r>
            <w:r>
              <w:rPr>
                <w:rFonts w:hint="eastAsia"/>
                <w:sz w:val="21"/>
                <w:szCs w:val="21"/>
                <w:lang w:val="en-US" w:eastAsia="zh-CN"/>
              </w:rPr>
              <w:t>4-11</w:t>
            </w:r>
            <w:r>
              <w:rPr>
                <w:rFonts w:hint="default"/>
                <w:sz w:val="21"/>
                <w:szCs w:val="21"/>
              </w:rPr>
              <w:t xml:space="preserve">  </w:t>
            </w:r>
            <w:r>
              <w:rPr>
                <w:rFonts w:hint="eastAsia"/>
                <w:sz w:val="21"/>
                <w:szCs w:val="21"/>
                <w:lang w:val="en-US" w:eastAsia="zh-CN"/>
              </w:rPr>
              <w:t>官家嘴镇污水处理站</w:t>
            </w:r>
            <w:r>
              <w:rPr>
                <w:rFonts w:hint="eastAsia"/>
                <w:sz w:val="21"/>
                <w:szCs w:val="21"/>
              </w:rPr>
              <w:t>设计</w:t>
            </w:r>
            <w:r>
              <w:rPr>
                <w:rFonts w:hint="default"/>
                <w:sz w:val="21"/>
                <w:szCs w:val="21"/>
              </w:rPr>
              <w:t>进出</w:t>
            </w:r>
            <w:r>
              <w:rPr>
                <w:rFonts w:hint="eastAsia"/>
                <w:sz w:val="21"/>
                <w:szCs w:val="21"/>
              </w:rPr>
              <w:t>水</w:t>
            </w:r>
            <w:r>
              <w:rPr>
                <w:rFonts w:hint="default"/>
                <w:sz w:val="21"/>
                <w:szCs w:val="21"/>
              </w:rPr>
              <w:t>水质一览表</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3"/>
              <w:gridCol w:w="897"/>
              <w:gridCol w:w="1084"/>
              <w:gridCol w:w="1082"/>
              <w:gridCol w:w="1084"/>
              <w:gridCol w:w="1082"/>
              <w:gridCol w:w="1082"/>
            </w:tblGrid>
            <w:tr w14:paraId="4F323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9" w:type="pct"/>
                  <w:vAlign w:val="center"/>
                </w:tcPr>
                <w:p w14:paraId="724CD16E">
                  <w:pPr>
                    <w:pStyle w:val="105"/>
                    <w:keepNext w:val="0"/>
                    <w:keepLines w:val="0"/>
                    <w:suppressLineNumbers w:val="0"/>
                    <w:spacing w:before="0" w:beforeAutospacing="0" w:after="0" w:afterAutospacing="0"/>
                    <w:ind w:left="0" w:right="0"/>
                    <w:rPr>
                      <w:rFonts w:hint="default"/>
                    </w:rPr>
                  </w:pPr>
                  <w:r>
                    <w:rPr>
                      <w:rFonts w:hint="default"/>
                    </w:rPr>
                    <w:t>项目</w:t>
                  </w:r>
                </w:p>
              </w:tc>
              <w:tc>
                <w:tcPr>
                  <w:tcW w:w="527" w:type="pct"/>
                  <w:vAlign w:val="center"/>
                </w:tcPr>
                <w:p w14:paraId="080B5BC2">
                  <w:pPr>
                    <w:pStyle w:val="105"/>
                    <w:keepNext w:val="0"/>
                    <w:keepLines w:val="0"/>
                    <w:suppressLineNumbers w:val="0"/>
                    <w:spacing w:before="0" w:beforeAutospacing="0" w:after="0" w:afterAutospacing="0"/>
                    <w:ind w:left="0" w:right="0"/>
                    <w:rPr>
                      <w:rFonts w:hint="default"/>
                    </w:rPr>
                  </w:pPr>
                  <w:r>
                    <w:rPr>
                      <w:rFonts w:hint="default"/>
                    </w:rPr>
                    <w:t>COD</w:t>
                  </w:r>
                  <w:r>
                    <w:rPr>
                      <w:rFonts w:hint="default"/>
                      <w:vertAlign w:val="subscript"/>
                    </w:rPr>
                    <w:t>Cr</w:t>
                  </w:r>
                </w:p>
              </w:tc>
              <w:tc>
                <w:tcPr>
                  <w:tcW w:w="637" w:type="pct"/>
                  <w:vAlign w:val="center"/>
                </w:tcPr>
                <w:p w14:paraId="36CBC6DE">
                  <w:pPr>
                    <w:pStyle w:val="105"/>
                    <w:keepNext w:val="0"/>
                    <w:keepLines w:val="0"/>
                    <w:suppressLineNumbers w:val="0"/>
                    <w:spacing w:before="0" w:beforeAutospacing="0" w:after="0" w:afterAutospacing="0"/>
                    <w:ind w:left="0" w:right="0"/>
                    <w:rPr>
                      <w:rFonts w:hint="default"/>
                    </w:rPr>
                  </w:pPr>
                  <w:r>
                    <w:rPr>
                      <w:rFonts w:hint="default"/>
                    </w:rPr>
                    <w:t>BOD</w:t>
                  </w:r>
                  <w:r>
                    <w:rPr>
                      <w:rFonts w:hint="default"/>
                      <w:vertAlign w:val="subscript"/>
                    </w:rPr>
                    <w:t>5</w:t>
                  </w:r>
                </w:p>
              </w:tc>
              <w:tc>
                <w:tcPr>
                  <w:tcW w:w="636" w:type="pct"/>
                  <w:vAlign w:val="center"/>
                </w:tcPr>
                <w:p w14:paraId="4298FEA0">
                  <w:pPr>
                    <w:pStyle w:val="105"/>
                    <w:keepNext w:val="0"/>
                    <w:keepLines w:val="0"/>
                    <w:suppressLineNumbers w:val="0"/>
                    <w:spacing w:before="0" w:beforeAutospacing="0" w:after="0" w:afterAutospacing="0"/>
                    <w:ind w:left="0" w:right="0"/>
                    <w:rPr>
                      <w:rFonts w:hint="default"/>
                    </w:rPr>
                  </w:pPr>
                  <w:r>
                    <w:rPr>
                      <w:rFonts w:hint="default"/>
                    </w:rPr>
                    <w:t>SS</w:t>
                  </w:r>
                </w:p>
              </w:tc>
              <w:tc>
                <w:tcPr>
                  <w:tcW w:w="637" w:type="pct"/>
                  <w:vAlign w:val="center"/>
                </w:tcPr>
                <w:p w14:paraId="026D2103">
                  <w:pPr>
                    <w:pStyle w:val="105"/>
                    <w:keepNext w:val="0"/>
                    <w:keepLines w:val="0"/>
                    <w:suppressLineNumbers w:val="0"/>
                    <w:spacing w:before="0" w:beforeAutospacing="0" w:after="0" w:afterAutospacing="0"/>
                    <w:ind w:left="0" w:right="0"/>
                    <w:rPr>
                      <w:rFonts w:hint="default"/>
                    </w:rPr>
                  </w:pPr>
                  <w:r>
                    <w:rPr>
                      <w:rFonts w:hint="default"/>
                    </w:rPr>
                    <w:t>NH</w:t>
                  </w:r>
                  <w:r>
                    <w:rPr>
                      <w:rFonts w:hint="default"/>
                      <w:vertAlign w:val="subscript"/>
                    </w:rPr>
                    <w:t>3</w:t>
                  </w:r>
                  <w:r>
                    <w:rPr>
                      <w:rFonts w:hint="default"/>
                    </w:rPr>
                    <w:t>-N</w:t>
                  </w:r>
                </w:p>
              </w:tc>
              <w:tc>
                <w:tcPr>
                  <w:tcW w:w="636" w:type="pct"/>
                  <w:vAlign w:val="center"/>
                </w:tcPr>
                <w:p w14:paraId="2F981E3F">
                  <w:pPr>
                    <w:pStyle w:val="105"/>
                    <w:keepNext w:val="0"/>
                    <w:keepLines w:val="0"/>
                    <w:suppressLineNumbers w:val="0"/>
                    <w:spacing w:before="0" w:beforeAutospacing="0" w:after="0" w:afterAutospacing="0"/>
                    <w:ind w:left="0" w:right="0"/>
                    <w:rPr>
                      <w:rFonts w:hint="default"/>
                    </w:rPr>
                  </w:pPr>
                  <w:r>
                    <w:rPr>
                      <w:rFonts w:hint="default"/>
                    </w:rPr>
                    <w:t>TP</w:t>
                  </w:r>
                </w:p>
              </w:tc>
              <w:tc>
                <w:tcPr>
                  <w:tcW w:w="636" w:type="pct"/>
                  <w:vAlign w:val="center"/>
                </w:tcPr>
                <w:p w14:paraId="79CD2C87">
                  <w:pPr>
                    <w:pStyle w:val="105"/>
                    <w:keepNext w:val="0"/>
                    <w:keepLines w:val="0"/>
                    <w:suppressLineNumbers w:val="0"/>
                    <w:spacing w:before="0" w:beforeAutospacing="0" w:after="0" w:afterAutospacing="0"/>
                    <w:ind w:left="0" w:right="0"/>
                    <w:rPr>
                      <w:rFonts w:hint="default"/>
                    </w:rPr>
                  </w:pPr>
                  <w:r>
                    <w:rPr>
                      <w:rFonts w:hint="default"/>
                    </w:rPr>
                    <w:t>TN</w:t>
                  </w:r>
                </w:p>
              </w:tc>
            </w:tr>
            <w:tr w14:paraId="3E0B3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9" w:type="pct"/>
                  <w:vAlign w:val="center"/>
                </w:tcPr>
                <w:p w14:paraId="55BA6F68">
                  <w:pPr>
                    <w:pStyle w:val="105"/>
                    <w:keepNext w:val="0"/>
                    <w:keepLines w:val="0"/>
                    <w:suppressLineNumbers w:val="0"/>
                    <w:spacing w:before="0" w:beforeAutospacing="0" w:after="0" w:afterAutospacing="0"/>
                    <w:ind w:left="0" w:right="0"/>
                    <w:rPr>
                      <w:rFonts w:hint="default"/>
                    </w:rPr>
                  </w:pPr>
                  <w:r>
                    <w:rPr>
                      <w:rFonts w:hint="default"/>
                    </w:rPr>
                    <w:t>设计进水</w:t>
                  </w:r>
                </w:p>
              </w:tc>
              <w:tc>
                <w:tcPr>
                  <w:tcW w:w="527" w:type="pct"/>
                  <w:vAlign w:val="center"/>
                </w:tcPr>
                <w:p w14:paraId="6C50D02E">
                  <w:pPr>
                    <w:pStyle w:val="105"/>
                    <w:keepNext w:val="0"/>
                    <w:keepLines w:val="0"/>
                    <w:suppressLineNumbers w:val="0"/>
                    <w:spacing w:before="0" w:beforeAutospacing="0" w:after="0" w:afterAutospacing="0"/>
                    <w:ind w:left="0" w:right="0"/>
                    <w:rPr>
                      <w:rFonts w:hint="default"/>
                    </w:rPr>
                  </w:pPr>
                  <w:r>
                    <w:rPr>
                      <w:rFonts w:hint="default"/>
                    </w:rPr>
                    <w:t>280</w:t>
                  </w:r>
                </w:p>
              </w:tc>
              <w:tc>
                <w:tcPr>
                  <w:tcW w:w="637" w:type="pct"/>
                  <w:vAlign w:val="center"/>
                </w:tcPr>
                <w:p w14:paraId="734F6806">
                  <w:pPr>
                    <w:pStyle w:val="105"/>
                    <w:keepNext w:val="0"/>
                    <w:keepLines w:val="0"/>
                    <w:suppressLineNumbers w:val="0"/>
                    <w:spacing w:before="0" w:beforeAutospacing="0" w:after="0" w:afterAutospacing="0"/>
                    <w:ind w:left="0" w:right="0"/>
                    <w:rPr>
                      <w:rFonts w:hint="default"/>
                    </w:rPr>
                  </w:pPr>
                  <w:r>
                    <w:rPr>
                      <w:rFonts w:hint="default"/>
                    </w:rPr>
                    <w:t>150</w:t>
                  </w:r>
                </w:p>
              </w:tc>
              <w:tc>
                <w:tcPr>
                  <w:tcW w:w="636" w:type="pct"/>
                  <w:vAlign w:val="center"/>
                </w:tcPr>
                <w:p w14:paraId="48569D00">
                  <w:pPr>
                    <w:pStyle w:val="105"/>
                    <w:keepNext w:val="0"/>
                    <w:keepLines w:val="0"/>
                    <w:suppressLineNumbers w:val="0"/>
                    <w:spacing w:before="0" w:beforeAutospacing="0" w:after="0" w:afterAutospacing="0"/>
                    <w:ind w:left="0" w:right="0"/>
                    <w:rPr>
                      <w:rFonts w:hint="default"/>
                    </w:rPr>
                  </w:pPr>
                  <w:r>
                    <w:rPr>
                      <w:rFonts w:hint="default"/>
                    </w:rPr>
                    <w:t>200</w:t>
                  </w:r>
                </w:p>
              </w:tc>
              <w:tc>
                <w:tcPr>
                  <w:tcW w:w="637" w:type="pct"/>
                  <w:vAlign w:val="center"/>
                </w:tcPr>
                <w:p w14:paraId="3DD1D55A">
                  <w:pPr>
                    <w:pStyle w:val="105"/>
                    <w:keepNext w:val="0"/>
                    <w:keepLines w:val="0"/>
                    <w:suppressLineNumbers w:val="0"/>
                    <w:spacing w:before="0" w:beforeAutospacing="0" w:after="0" w:afterAutospacing="0"/>
                    <w:ind w:left="0" w:right="0"/>
                    <w:rPr>
                      <w:rFonts w:hint="default"/>
                    </w:rPr>
                  </w:pPr>
                  <w:r>
                    <w:rPr>
                      <w:rFonts w:hint="default"/>
                    </w:rPr>
                    <w:t>35</w:t>
                  </w:r>
                </w:p>
              </w:tc>
              <w:tc>
                <w:tcPr>
                  <w:tcW w:w="636" w:type="pct"/>
                  <w:vAlign w:val="center"/>
                </w:tcPr>
                <w:p w14:paraId="35F2BB0F">
                  <w:pPr>
                    <w:pStyle w:val="105"/>
                    <w:keepNext w:val="0"/>
                    <w:keepLines w:val="0"/>
                    <w:suppressLineNumbers w:val="0"/>
                    <w:spacing w:before="0" w:beforeAutospacing="0" w:after="0" w:afterAutospacing="0"/>
                    <w:ind w:left="0" w:right="0"/>
                    <w:rPr>
                      <w:rFonts w:hint="default"/>
                    </w:rPr>
                  </w:pPr>
                  <w:r>
                    <w:rPr>
                      <w:rFonts w:hint="default"/>
                    </w:rPr>
                    <w:t>3</w:t>
                  </w:r>
                </w:p>
              </w:tc>
              <w:tc>
                <w:tcPr>
                  <w:tcW w:w="636" w:type="pct"/>
                  <w:vAlign w:val="center"/>
                </w:tcPr>
                <w:p w14:paraId="3BFEEE5D">
                  <w:pPr>
                    <w:pStyle w:val="105"/>
                    <w:keepNext w:val="0"/>
                    <w:keepLines w:val="0"/>
                    <w:suppressLineNumbers w:val="0"/>
                    <w:spacing w:before="0" w:beforeAutospacing="0" w:after="0" w:afterAutospacing="0"/>
                    <w:ind w:left="0" w:right="0"/>
                    <w:rPr>
                      <w:rFonts w:hint="default"/>
                    </w:rPr>
                  </w:pPr>
                  <w:r>
                    <w:rPr>
                      <w:rFonts w:hint="default"/>
                    </w:rPr>
                    <w:t>40</w:t>
                  </w:r>
                </w:p>
              </w:tc>
            </w:tr>
            <w:tr w14:paraId="7C2CF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9" w:type="pct"/>
                  <w:vAlign w:val="center"/>
                </w:tcPr>
                <w:p w14:paraId="503B92CE">
                  <w:pPr>
                    <w:pStyle w:val="105"/>
                    <w:keepNext w:val="0"/>
                    <w:keepLines w:val="0"/>
                    <w:suppressLineNumbers w:val="0"/>
                    <w:spacing w:before="0" w:beforeAutospacing="0" w:after="0" w:afterAutospacing="0"/>
                    <w:ind w:left="0" w:right="0"/>
                    <w:rPr>
                      <w:rFonts w:hint="eastAsia" w:eastAsia="宋体"/>
                      <w:lang w:eastAsia="zh-CN"/>
                    </w:rPr>
                  </w:pPr>
                  <w:r>
                    <w:rPr>
                      <w:rFonts w:hint="default"/>
                    </w:rPr>
                    <w:t>设计出水</w:t>
                  </w:r>
                  <w:r>
                    <w:rPr>
                      <w:rFonts w:hint="eastAsia"/>
                      <w:lang w:eastAsia="zh-CN"/>
                    </w:rPr>
                    <w:t>（（GB18918－2002）一级B标准）</w:t>
                  </w:r>
                </w:p>
              </w:tc>
              <w:tc>
                <w:tcPr>
                  <w:tcW w:w="527" w:type="pct"/>
                  <w:vAlign w:val="center"/>
                </w:tcPr>
                <w:p w14:paraId="187BCEE4">
                  <w:pPr>
                    <w:pStyle w:val="105"/>
                    <w:keepNext w:val="0"/>
                    <w:keepLines w:val="0"/>
                    <w:suppressLineNumbers w:val="0"/>
                    <w:spacing w:before="0" w:beforeAutospacing="0" w:after="0" w:afterAutospacing="0"/>
                    <w:ind w:left="0" w:right="0"/>
                    <w:rPr>
                      <w:rFonts w:hint="default"/>
                    </w:rPr>
                  </w:pPr>
                  <w:r>
                    <w:rPr>
                      <w:rFonts w:hint="default"/>
                    </w:rPr>
                    <w:t>60</w:t>
                  </w:r>
                </w:p>
              </w:tc>
              <w:tc>
                <w:tcPr>
                  <w:tcW w:w="637" w:type="pct"/>
                  <w:vAlign w:val="center"/>
                </w:tcPr>
                <w:p w14:paraId="60BCC370">
                  <w:pPr>
                    <w:pStyle w:val="105"/>
                    <w:keepNext w:val="0"/>
                    <w:keepLines w:val="0"/>
                    <w:suppressLineNumbers w:val="0"/>
                    <w:spacing w:before="0" w:beforeAutospacing="0" w:after="0" w:afterAutospacing="0"/>
                    <w:ind w:left="0" w:right="0"/>
                    <w:rPr>
                      <w:rFonts w:hint="default"/>
                    </w:rPr>
                  </w:pPr>
                  <w:r>
                    <w:rPr>
                      <w:rFonts w:hint="default"/>
                    </w:rPr>
                    <w:t>20</w:t>
                  </w:r>
                </w:p>
              </w:tc>
              <w:tc>
                <w:tcPr>
                  <w:tcW w:w="636" w:type="pct"/>
                  <w:vAlign w:val="center"/>
                </w:tcPr>
                <w:p w14:paraId="44A28BE2">
                  <w:pPr>
                    <w:pStyle w:val="105"/>
                    <w:keepNext w:val="0"/>
                    <w:keepLines w:val="0"/>
                    <w:suppressLineNumbers w:val="0"/>
                    <w:spacing w:before="0" w:beforeAutospacing="0" w:after="0" w:afterAutospacing="0"/>
                    <w:ind w:left="0" w:right="0"/>
                    <w:rPr>
                      <w:rFonts w:hint="default"/>
                    </w:rPr>
                  </w:pPr>
                  <w:r>
                    <w:rPr>
                      <w:rFonts w:hint="default"/>
                    </w:rPr>
                    <w:t>20</w:t>
                  </w:r>
                </w:p>
              </w:tc>
              <w:tc>
                <w:tcPr>
                  <w:tcW w:w="637" w:type="pct"/>
                  <w:vAlign w:val="center"/>
                </w:tcPr>
                <w:p w14:paraId="2ADD4208">
                  <w:pPr>
                    <w:pStyle w:val="105"/>
                    <w:keepNext w:val="0"/>
                    <w:keepLines w:val="0"/>
                    <w:suppressLineNumbers w:val="0"/>
                    <w:spacing w:before="0" w:beforeAutospacing="0" w:after="0" w:afterAutospacing="0"/>
                    <w:ind w:left="0" w:right="0"/>
                    <w:rPr>
                      <w:rFonts w:hint="default"/>
                    </w:rPr>
                  </w:pPr>
                  <w:r>
                    <w:rPr>
                      <w:rFonts w:hint="default"/>
                    </w:rPr>
                    <w:t>8</w:t>
                  </w:r>
                </w:p>
              </w:tc>
              <w:tc>
                <w:tcPr>
                  <w:tcW w:w="636" w:type="pct"/>
                  <w:vAlign w:val="center"/>
                </w:tcPr>
                <w:p w14:paraId="053AFA16">
                  <w:pPr>
                    <w:pStyle w:val="105"/>
                    <w:keepNext w:val="0"/>
                    <w:keepLines w:val="0"/>
                    <w:suppressLineNumbers w:val="0"/>
                    <w:spacing w:before="0" w:beforeAutospacing="0" w:after="0" w:afterAutospacing="0"/>
                    <w:ind w:left="0" w:right="0"/>
                    <w:rPr>
                      <w:rFonts w:hint="default"/>
                    </w:rPr>
                  </w:pPr>
                  <w:r>
                    <w:rPr>
                      <w:rFonts w:hint="default"/>
                    </w:rPr>
                    <w:t>1</w:t>
                  </w:r>
                </w:p>
              </w:tc>
              <w:tc>
                <w:tcPr>
                  <w:tcW w:w="636" w:type="pct"/>
                  <w:vAlign w:val="center"/>
                </w:tcPr>
                <w:p w14:paraId="4298D4EA">
                  <w:pPr>
                    <w:pStyle w:val="105"/>
                    <w:keepNext w:val="0"/>
                    <w:keepLines w:val="0"/>
                    <w:suppressLineNumbers w:val="0"/>
                    <w:spacing w:before="0" w:beforeAutospacing="0" w:after="0" w:afterAutospacing="0"/>
                    <w:ind w:left="0" w:right="0"/>
                    <w:rPr>
                      <w:rFonts w:hint="default"/>
                    </w:rPr>
                  </w:pPr>
                  <w:r>
                    <w:rPr>
                      <w:rFonts w:hint="default"/>
                    </w:rPr>
                    <w:t>20</w:t>
                  </w:r>
                </w:p>
              </w:tc>
            </w:tr>
          </w:tbl>
          <w:p w14:paraId="7012ABC2">
            <w:pPr>
              <w:pStyle w:val="108"/>
              <w:keepNext w:val="0"/>
              <w:keepLines w:val="0"/>
              <w:suppressLineNumbers w:val="0"/>
              <w:spacing w:before="0" w:beforeAutospacing="0" w:after="0" w:afterAutospacing="0"/>
              <w:ind w:left="0" w:right="0" w:firstLine="482"/>
              <w:outlineLvl w:val="0"/>
              <w:rPr>
                <w:rFonts w:hint="eastAsia" w:ascii="Times New Roman" w:hAnsi="Times New Roman" w:cs="Times New Roman"/>
                <w:szCs w:val="24"/>
                <w:lang w:val="en-US" w:eastAsia="zh-CN"/>
              </w:rPr>
            </w:pPr>
          </w:p>
          <w:p w14:paraId="34D976A8">
            <w:pPr>
              <w:pStyle w:val="108"/>
              <w:keepNext w:val="0"/>
              <w:keepLines w:val="0"/>
              <w:suppressLineNumbers w:val="0"/>
              <w:spacing w:before="0" w:beforeAutospacing="0" w:after="0" w:afterAutospacing="0"/>
              <w:ind w:left="0" w:right="0"/>
              <w:outlineLvl w:val="0"/>
              <w:rPr>
                <w:rFonts w:hint="default" w:ascii="Times New Roman" w:hAnsi="Times New Roman" w:cs="Times New Roman"/>
                <w:szCs w:val="24"/>
                <w:lang w:val="en-US" w:eastAsia="zh-CN"/>
              </w:rPr>
            </w:pPr>
            <w:r>
              <w:rPr>
                <w:rFonts w:hint="eastAsia" w:ascii="新宋体" w:hAnsi="新宋体" w:eastAsia="新宋体" w:cs="新宋体"/>
                <w:szCs w:val="24"/>
                <w:lang w:val="en-US" w:eastAsia="zh-CN"/>
              </w:rPr>
              <w:t>③本项目废水可依托性分析</w:t>
            </w:r>
          </w:p>
          <w:p w14:paraId="6D55CE9D">
            <w:pPr>
              <w:pStyle w:val="108"/>
              <w:keepNext w:val="0"/>
              <w:keepLines w:val="0"/>
              <w:suppressLineNumbers w:val="0"/>
              <w:spacing w:before="0" w:beforeAutospacing="0" w:after="0" w:afterAutospacing="0"/>
              <w:ind w:left="0" w:right="0"/>
              <w:outlineLvl w:val="0"/>
              <w:rPr>
                <w:rFonts w:hint="default" w:ascii="Times New Roman" w:hAnsi="Times New Roman" w:cs="Times New Roman"/>
                <w:szCs w:val="24"/>
                <w:lang w:val="en-US" w:eastAsia="zh-CN"/>
              </w:rPr>
            </w:pPr>
            <w:r>
              <w:rPr>
                <w:rFonts w:hint="eastAsia" w:ascii="Times New Roman" w:hAnsi="Times New Roman" w:cs="Times New Roman"/>
                <w:szCs w:val="24"/>
                <w:lang w:val="en-US" w:eastAsia="zh-CN"/>
              </w:rPr>
              <w:t>1）水量角度的可依托性分析</w:t>
            </w:r>
          </w:p>
          <w:p w14:paraId="2A7A9154">
            <w:pPr>
              <w:pStyle w:val="108"/>
              <w:keepNext w:val="0"/>
              <w:keepLines w:val="0"/>
              <w:suppressLineNumbers w:val="0"/>
              <w:spacing w:before="0" w:beforeAutospacing="0" w:after="0" w:afterAutospacing="0"/>
              <w:ind w:left="0" w:right="0"/>
              <w:outlineLvl w:val="0"/>
              <w:rPr>
                <w:rFonts w:hint="default" w:ascii="Times New Roman" w:hAnsi="Times New Roman" w:cs="Times New Roman"/>
                <w:szCs w:val="24"/>
                <w:lang w:val="en-US" w:eastAsia="zh-CN"/>
              </w:rPr>
            </w:pPr>
            <w:r>
              <w:rPr>
                <w:rFonts w:hint="eastAsia" w:ascii="Times New Roman" w:hAnsi="Times New Roman" w:cs="Times New Roman"/>
                <w:szCs w:val="24"/>
                <w:lang w:val="en-US" w:eastAsia="zh-CN"/>
              </w:rPr>
              <w:t>官家嘴镇污水处理站设计处理规模为200m</w:t>
            </w:r>
            <w:r>
              <w:rPr>
                <w:rFonts w:hint="eastAsia" w:ascii="Times New Roman" w:hAnsi="Times New Roman" w:cs="Times New Roman"/>
                <w:szCs w:val="24"/>
                <w:vertAlign w:val="superscript"/>
                <w:lang w:val="en-US" w:eastAsia="zh-CN"/>
              </w:rPr>
              <w:t>3</w:t>
            </w:r>
            <w:r>
              <w:rPr>
                <w:rFonts w:hint="eastAsia" w:ascii="Times New Roman" w:hAnsi="Times New Roman" w:cs="Times New Roman"/>
                <w:szCs w:val="24"/>
                <w:lang w:val="en-US" w:eastAsia="zh-CN"/>
              </w:rPr>
              <w:t>/d，根据调查，目前实际处理规模为40~50m</w:t>
            </w:r>
            <w:r>
              <w:rPr>
                <w:rFonts w:hint="eastAsia" w:ascii="Times New Roman" w:hAnsi="Times New Roman" w:cs="Times New Roman"/>
                <w:szCs w:val="24"/>
                <w:vertAlign w:val="superscript"/>
                <w:lang w:val="en-US" w:eastAsia="zh-CN"/>
              </w:rPr>
              <w:t>3</w:t>
            </w:r>
            <w:r>
              <w:rPr>
                <w:rFonts w:hint="eastAsia" w:ascii="Times New Roman" w:hAnsi="Times New Roman" w:cs="Times New Roman"/>
                <w:szCs w:val="24"/>
                <w:lang w:val="en-US" w:eastAsia="zh-CN"/>
              </w:rPr>
              <w:t>/d，尚有150m</w:t>
            </w:r>
            <w:r>
              <w:rPr>
                <w:rFonts w:hint="eastAsia" w:ascii="Times New Roman" w:hAnsi="Times New Roman" w:cs="Times New Roman"/>
                <w:szCs w:val="24"/>
                <w:vertAlign w:val="superscript"/>
                <w:lang w:val="en-US" w:eastAsia="zh-CN"/>
              </w:rPr>
              <w:t>3</w:t>
            </w:r>
            <w:r>
              <w:rPr>
                <w:rFonts w:hint="eastAsia" w:ascii="Times New Roman" w:hAnsi="Times New Roman" w:cs="Times New Roman"/>
                <w:szCs w:val="24"/>
                <w:lang w:val="en-US" w:eastAsia="zh-CN"/>
              </w:rPr>
              <w:t>/d的余量，根据前文核算，本项目最大日排放量为107.99m</w:t>
            </w:r>
            <w:r>
              <w:rPr>
                <w:rFonts w:hint="eastAsia" w:ascii="Times New Roman" w:hAnsi="Times New Roman" w:cs="Times New Roman"/>
                <w:szCs w:val="24"/>
                <w:vertAlign w:val="superscript"/>
                <w:lang w:val="en-US" w:eastAsia="zh-CN"/>
              </w:rPr>
              <w:t>3</w:t>
            </w:r>
            <w:r>
              <w:rPr>
                <w:rFonts w:hint="eastAsia" w:ascii="Times New Roman" w:hAnsi="Times New Roman" w:cs="Times New Roman"/>
                <w:szCs w:val="24"/>
                <w:lang w:val="en-US" w:eastAsia="zh-CN"/>
              </w:rPr>
              <w:t>/d，因此官家嘴镇污水处理站尚有余量接纳本项目废水。</w:t>
            </w:r>
          </w:p>
          <w:p w14:paraId="3F5C8916">
            <w:pPr>
              <w:pStyle w:val="108"/>
              <w:keepNext w:val="0"/>
              <w:keepLines w:val="0"/>
              <w:suppressLineNumbers w:val="0"/>
              <w:spacing w:before="0" w:beforeAutospacing="0" w:after="0" w:afterAutospacing="0"/>
              <w:ind w:left="0" w:right="0"/>
              <w:outlineLvl w:val="0"/>
              <w:rPr>
                <w:rFonts w:hint="default" w:ascii="Times New Roman" w:hAnsi="Times New Roman" w:cs="Times New Roman"/>
                <w:szCs w:val="24"/>
                <w:lang w:val="en-US" w:eastAsia="zh-CN"/>
              </w:rPr>
            </w:pPr>
            <w:r>
              <w:rPr>
                <w:rFonts w:hint="eastAsia" w:ascii="Times New Roman" w:hAnsi="Times New Roman" w:cs="Times New Roman"/>
                <w:szCs w:val="24"/>
                <w:lang w:val="en-US" w:eastAsia="zh-CN"/>
              </w:rPr>
              <w:t>2）水质角度的可依托性分析</w:t>
            </w:r>
          </w:p>
          <w:p w14:paraId="436F7942">
            <w:pPr>
              <w:pStyle w:val="108"/>
              <w:keepNext w:val="0"/>
              <w:keepLines w:val="0"/>
              <w:suppressLineNumbers w:val="0"/>
              <w:spacing w:before="0" w:beforeAutospacing="0" w:after="0" w:afterAutospacing="0"/>
              <w:ind w:left="0" w:right="0"/>
              <w:outlineLvl w:val="0"/>
              <w:rPr>
                <w:rFonts w:hint="default" w:ascii="Times New Roman" w:hAnsi="Times New Roman" w:eastAsia="宋体" w:cs="Times New Roman"/>
                <w:color w:val="auto"/>
                <w:sz w:val="24"/>
                <w:szCs w:val="24"/>
                <w:highlight w:val="yellow"/>
                <w:u w:val="none"/>
                <w:lang w:val="en-US" w:eastAsia="zh-CN"/>
              </w:rPr>
            </w:pPr>
            <w:r>
              <w:rPr>
                <w:rFonts w:hint="default" w:ascii="Times New Roman" w:hAnsi="Times New Roman" w:cs="Times New Roman"/>
                <w:szCs w:val="24"/>
                <w:lang w:val="en-US" w:eastAsia="zh-CN"/>
              </w:rPr>
              <w:t>本项目废水中污染物主要为pH、COD、氨氮、总磷、总氮、硫酸盐等，在厂内经自建污水处理站（格栅+调节池兼预曝气氧化池+一级水解酸化池+AO池+混凝池+沉淀池+清水池）处理可达到官家嘴镇污水处理站的纳管标准。为避免本项目废水中盐分对官家嘴镇污水处理站造成冲击，对于废水中的硫酸盐，一方面在本项目厂内污水处理流程中，</w:t>
            </w:r>
            <w:r>
              <w:rPr>
                <w:rFonts w:hint="default" w:ascii="Times New Roman" w:hAnsi="Times New Roman" w:eastAsia="Segoe UI" w:cs="Times New Roman"/>
                <w:i w:val="0"/>
                <w:iCs w:val="0"/>
                <w:caps w:val="0"/>
                <w:spacing w:val="0"/>
                <w:sz w:val="24"/>
                <w:szCs w:val="24"/>
                <w:shd w:val="clear" w:fill="FFFFFF"/>
              </w:rPr>
              <w:t>水解酸化池与A</w:t>
            </w:r>
            <w:r>
              <w:rPr>
                <w:rFonts w:hint="eastAsia" w:ascii="Times New Roman" w:hAnsi="Times New Roman" w:eastAsia="宋体" w:cs="Times New Roman"/>
                <w:i w:val="0"/>
                <w:iCs w:val="0"/>
                <w:caps w:val="0"/>
                <w:spacing w:val="0"/>
                <w:sz w:val="24"/>
                <w:szCs w:val="24"/>
                <w:shd w:val="clear" w:fill="FFFFFF"/>
                <w:lang w:val="en-US" w:eastAsia="zh-CN"/>
              </w:rPr>
              <w:t>/</w:t>
            </w:r>
            <w:r>
              <w:rPr>
                <w:rFonts w:hint="default" w:ascii="Times New Roman" w:hAnsi="Times New Roman" w:eastAsia="Segoe UI" w:cs="Times New Roman"/>
                <w:i w:val="0"/>
                <w:iCs w:val="0"/>
                <w:caps w:val="0"/>
                <w:spacing w:val="0"/>
                <w:sz w:val="24"/>
                <w:szCs w:val="24"/>
                <w:shd w:val="clear" w:fill="FFFFFF"/>
              </w:rPr>
              <w:t>O池在耐盐菌协同作用下，会对硫酸盐进行生物转化处理，降低其浓度波动风险</w:t>
            </w:r>
            <w:r>
              <w:rPr>
                <w:rFonts w:hint="default" w:ascii="Times New Roman" w:hAnsi="Times New Roman" w:eastAsia="宋体" w:cs="Times New Roman"/>
                <w:i w:val="0"/>
                <w:iCs w:val="0"/>
                <w:caps w:val="0"/>
                <w:spacing w:val="0"/>
                <w:sz w:val="24"/>
                <w:szCs w:val="24"/>
                <w:shd w:val="clear" w:fill="FFFFFF"/>
                <w:lang w:eastAsia="zh-CN"/>
              </w:rPr>
              <w:t>；</w:t>
            </w:r>
            <w:r>
              <w:rPr>
                <w:rFonts w:hint="default" w:ascii="Times New Roman" w:hAnsi="Times New Roman" w:eastAsia="宋体" w:cs="Times New Roman"/>
                <w:i w:val="0"/>
                <w:iCs w:val="0"/>
                <w:caps w:val="0"/>
                <w:spacing w:val="0"/>
                <w:sz w:val="24"/>
                <w:szCs w:val="24"/>
                <w:shd w:val="clear" w:fill="FFFFFF"/>
                <w:lang w:val="en-US" w:eastAsia="zh-CN"/>
              </w:rPr>
              <w:t>另一方面官家嘴镇污水站</w:t>
            </w:r>
            <w:r>
              <w:rPr>
                <w:rFonts w:hint="eastAsia" w:ascii="Times New Roman" w:hAnsi="Times New Roman" w:cs="Times New Roman"/>
                <w:i w:val="0"/>
                <w:iCs w:val="0"/>
                <w:caps w:val="0"/>
                <w:spacing w:val="0"/>
                <w:sz w:val="24"/>
                <w:szCs w:val="24"/>
                <w:shd w:val="clear" w:fill="FFFFFF"/>
                <w:lang w:val="en-US" w:eastAsia="zh-CN"/>
              </w:rPr>
              <w:t>进行</w:t>
            </w:r>
            <w:r>
              <w:rPr>
                <w:rFonts w:hint="default" w:ascii="Times New Roman" w:hAnsi="Times New Roman" w:eastAsia="宋体" w:cs="Times New Roman"/>
                <w:i w:val="0"/>
                <w:iCs w:val="0"/>
                <w:caps w:val="0"/>
                <w:spacing w:val="0"/>
                <w:sz w:val="24"/>
                <w:szCs w:val="24"/>
                <w:shd w:val="clear" w:fill="FFFFFF"/>
                <w:lang w:val="en-US" w:eastAsia="zh-CN"/>
              </w:rPr>
              <w:t>耐盐菌</w:t>
            </w:r>
            <w:r>
              <w:rPr>
                <w:rFonts w:hint="eastAsia" w:ascii="Times New Roman" w:hAnsi="Times New Roman" w:cs="Times New Roman"/>
                <w:i w:val="0"/>
                <w:iCs w:val="0"/>
                <w:caps w:val="0"/>
                <w:spacing w:val="0"/>
                <w:sz w:val="24"/>
                <w:szCs w:val="24"/>
                <w:shd w:val="clear" w:fill="FFFFFF"/>
                <w:lang w:val="en-US" w:eastAsia="zh-CN"/>
              </w:rPr>
              <w:t>培养</w:t>
            </w:r>
            <w:r>
              <w:rPr>
                <w:rFonts w:hint="default" w:ascii="Times New Roman" w:hAnsi="Times New Roman" w:eastAsia="宋体" w:cs="Times New Roman"/>
                <w:i w:val="0"/>
                <w:iCs w:val="0"/>
                <w:caps w:val="0"/>
                <w:spacing w:val="0"/>
                <w:sz w:val="24"/>
                <w:szCs w:val="24"/>
                <w:shd w:val="clear" w:fill="FFFFFF"/>
                <w:lang w:val="en-US" w:eastAsia="zh-CN"/>
              </w:rPr>
              <w:t>，增强其系统对盐分的耐受与处理能力</w:t>
            </w:r>
            <w:r>
              <w:rPr>
                <w:rFonts w:hint="eastAsia" w:ascii="Times New Roman" w:hAnsi="Times New Roman" w:eastAsia="宋体" w:cs="Times New Roman"/>
                <w:i w:val="0"/>
                <w:iCs w:val="0"/>
                <w:caps w:val="0"/>
                <w:spacing w:val="0"/>
                <w:sz w:val="24"/>
                <w:szCs w:val="24"/>
                <w:shd w:val="clear" w:fill="FFFFFF"/>
                <w:lang w:val="en-US" w:eastAsia="zh-CN"/>
              </w:rPr>
              <w:t>。</w:t>
            </w:r>
            <w:r>
              <w:rPr>
                <w:rFonts w:hint="default" w:ascii="Times New Roman" w:hAnsi="Times New Roman" w:eastAsia="宋体" w:cs="Times New Roman"/>
                <w:i w:val="0"/>
                <w:iCs w:val="0"/>
                <w:caps w:val="0"/>
                <w:spacing w:val="0"/>
                <w:sz w:val="24"/>
                <w:szCs w:val="24"/>
                <w:shd w:val="clear" w:fill="FFFFFF"/>
                <w:lang w:val="en-US" w:eastAsia="zh-CN"/>
              </w:rPr>
              <w:t>双重保障下，本项目废水所含硫酸盐不会对官家嘴镇污水处理站的正常运行造成盐分冲击</w:t>
            </w:r>
            <w:r>
              <w:rPr>
                <w:rFonts w:hint="eastAsia" w:ascii="Times New Roman" w:hAnsi="Times New Roman" w:cs="Times New Roman"/>
                <w:szCs w:val="24"/>
                <w:lang w:val="en-US" w:eastAsia="zh-CN"/>
              </w:rPr>
              <w:t>。</w:t>
            </w:r>
          </w:p>
          <w:p w14:paraId="7859CA1D">
            <w:pPr>
              <w:pStyle w:val="108"/>
              <w:keepNext w:val="0"/>
              <w:keepLines w:val="0"/>
              <w:suppressLineNumbers w:val="0"/>
              <w:spacing w:before="0" w:beforeAutospacing="0" w:after="0" w:afterAutospacing="0"/>
              <w:ind w:left="0" w:right="0" w:firstLine="482"/>
              <w:outlineLvl w:val="0"/>
              <w:rPr>
                <w:rFonts w:hint="default" w:ascii="Times New Roman" w:hAnsi="Times New Roman" w:cs="Times New Roman"/>
                <w:color w:val="auto"/>
                <w:sz w:val="24"/>
                <w:szCs w:val="24"/>
                <w:highlight w:val="none"/>
                <w:u w:val="none"/>
                <w:lang w:val="en-US" w:eastAsia="zh-CN"/>
              </w:rPr>
            </w:pPr>
            <w:r>
              <w:rPr>
                <w:rFonts w:hint="eastAsia" w:ascii="Times New Roman" w:hAnsi="Times New Roman" w:cs="Times New Roman"/>
                <w:color w:val="auto"/>
                <w:sz w:val="24"/>
                <w:szCs w:val="24"/>
                <w:highlight w:val="none"/>
                <w:u w:val="none"/>
                <w:lang w:val="en-US" w:eastAsia="zh-CN"/>
              </w:rPr>
              <w:t>根据《官家嘴镇污水处理工程污水处理站入河排污口设置论证报告》中黄狮江枯水期水文参数核算本项目废水排入黄狮江后硫酸盐完全混合初始断面浓度。</w:t>
            </w:r>
          </w:p>
          <w:p w14:paraId="3661EBB2">
            <w:pPr>
              <w:pStyle w:val="10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0"/>
              <w:rPr>
                <w:rFonts w:hint="eastAsia" w:ascii="Times New Roman" w:hAnsi="Times New Roman" w:cs="Times New Roman"/>
                <w:b/>
                <w:bCs/>
                <w:color w:val="auto"/>
                <w:sz w:val="21"/>
                <w:szCs w:val="21"/>
                <w:highlight w:val="none"/>
                <w:u w:val="none"/>
                <w:lang w:val="en-US" w:eastAsia="zh-CN"/>
              </w:rPr>
            </w:pPr>
            <w:r>
              <w:rPr>
                <w:rFonts w:hint="eastAsia" w:ascii="Times New Roman" w:hAnsi="Times New Roman" w:cs="Times New Roman"/>
                <w:b/>
                <w:bCs/>
                <w:color w:val="auto"/>
                <w:sz w:val="21"/>
                <w:szCs w:val="21"/>
                <w:highlight w:val="none"/>
                <w:u w:val="none"/>
                <w:lang w:val="en-US" w:eastAsia="zh-CN"/>
              </w:rPr>
              <w:t>表4-12 黄狮江枯水期水文参数</w:t>
            </w:r>
          </w:p>
          <w:tbl>
            <w:tblPr>
              <w:tblStyle w:val="2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4"/>
              <w:gridCol w:w="1347"/>
              <w:gridCol w:w="1148"/>
              <w:gridCol w:w="1545"/>
              <w:gridCol w:w="1198"/>
              <w:gridCol w:w="1162"/>
              <w:gridCol w:w="1307"/>
            </w:tblGrid>
            <w:tr w14:paraId="5030F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67" w:type="pct"/>
                  <w:vAlign w:val="center"/>
                </w:tcPr>
                <w:p w14:paraId="07DC86CC">
                  <w:pPr>
                    <w:pStyle w:val="105"/>
                  </w:pPr>
                  <w:r>
                    <w:rPr>
                      <w:rFonts w:hint="eastAsia"/>
                    </w:rPr>
                    <w:t>水期</w:t>
                  </w:r>
                </w:p>
              </w:tc>
              <w:tc>
                <w:tcPr>
                  <w:tcW w:w="792" w:type="pct"/>
                  <w:vAlign w:val="center"/>
                </w:tcPr>
                <w:p w14:paraId="322C0678">
                  <w:pPr>
                    <w:pStyle w:val="105"/>
                  </w:pPr>
                  <w:r>
                    <w:rPr>
                      <w:rFonts w:hint="eastAsia"/>
                    </w:rPr>
                    <w:t>流量（m</w:t>
                  </w:r>
                  <w:r>
                    <w:rPr>
                      <w:rFonts w:hint="eastAsia"/>
                      <w:vertAlign w:val="superscript"/>
                    </w:rPr>
                    <w:t>3</w:t>
                  </w:r>
                  <w:r>
                    <w:rPr>
                      <w:rFonts w:hint="eastAsia"/>
                    </w:rPr>
                    <w:t>/s）</w:t>
                  </w:r>
                </w:p>
              </w:tc>
              <w:tc>
                <w:tcPr>
                  <w:tcW w:w="675" w:type="pct"/>
                  <w:vAlign w:val="center"/>
                </w:tcPr>
                <w:p w14:paraId="5E00F293">
                  <w:pPr>
                    <w:pStyle w:val="105"/>
                  </w:pPr>
                  <w:r>
                    <w:rPr>
                      <w:rFonts w:hint="eastAsia"/>
                    </w:rPr>
                    <w:t>河宽（m）</w:t>
                  </w:r>
                </w:p>
              </w:tc>
              <w:tc>
                <w:tcPr>
                  <w:tcW w:w="908" w:type="pct"/>
                  <w:vAlign w:val="center"/>
                </w:tcPr>
                <w:p w14:paraId="27F0D721">
                  <w:pPr>
                    <w:pStyle w:val="105"/>
                  </w:pPr>
                  <w:r>
                    <w:rPr>
                      <w:rFonts w:hint="eastAsia"/>
                    </w:rPr>
                    <w:t>平均水深（m）</w:t>
                  </w:r>
                </w:p>
              </w:tc>
              <w:tc>
                <w:tcPr>
                  <w:tcW w:w="704" w:type="pct"/>
                  <w:vAlign w:val="center"/>
                </w:tcPr>
                <w:p w14:paraId="6566C818">
                  <w:pPr>
                    <w:pStyle w:val="105"/>
                  </w:pPr>
                  <w:r>
                    <w:rPr>
                      <w:rFonts w:hint="eastAsia"/>
                    </w:rPr>
                    <w:t>平均流速（m/s）</w:t>
                  </w:r>
                </w:p>
              </w:tc>
              <w:tc>
                <w:tcPr>
                  <w:tcW w:w="683" w:type="pct"/>
                  <w:vAlign w:val="center"/>
                </w:tcPr>
                <w:p w14:paraId="331720A1">
                  <w:pPr>
                    <w:pStyle w:val="105"/>
                  </w:pPr>
                  <w:r>
                    <w:rPr>
                      <w:rFonts w:hint="eastAsia"/>
                    </w:rPr>
                    <w:t>河底坡降</w:t>
                  </w:r>
                </w:p>
              </w:tc>
              <w:tc>
                <w:tcPr>
                  <w:tcW w:w="768" w:type="pct"/>
                  <w:vAlign w:val="center"/>
                </w:tcPr>
                <w:p w14:paraId="36FC3CEF">
                  <w:pPr>
                    <w:pStyle w:val="105"/>
                    <w:rPr>
                      <w:rFonts w:hint="eastAsia"/>
                    </w:rPr>
                  </w:pPr>
                  <w:r>
                    <w:rPr>
                      <w:rFonts w:hint="eastAsia"/>
                    </w:rPr>
                    <w:t>横向扩散系数Ey</w:t>
                  </w:r>
                </w:p>
              </w:tc>
            </w:tr>
            <w:tr w14:paraId="4723A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67" w:type="pct"/>
                  <w:vAlign w:val="center"/>
                </w:tcPr>
                <w:p w14:paraId="018C7B4D">
                  <w:pPr>
                    <w:pStyle w:val="105"/>
                  </w:pPr>
                  <w:r>
                    <w:rPr>
                      <w:rFonts w:hint="eastAsia"/>
                    </w:rPr>
                    <w:t>枯水期</w:t>
                  </w:r>
                </w:p>
              </w:tc>
              <w:tc>
                <w:tcPr>
                  <w:tcW w:w="792" w:type="pct"/>
                  <w:vAlign w:val="center"/>
                </w:tcPr>
                <w:p w14:paraId="0562D8D2">
                  <w:pPr>
                    <w:pStyle w:val="105"/>
                  </w:pPr>
                  <w:r>
                    <w:rPr>
                      <w:rFonts w:hint="eastAsia"/>
                    </w:rPr>
                    <w:t>1.5</w:t>
                  </w:r>
                </w:p>
              </w:tc>
              <w:tc>
                <w:tcPr>
                  <w:tcW w:w="675" w:type="pct"/>
                  <w:vAlign w:val="center"/>
                </w:tcPr>
                <w:p w14:paraId="3C24AB56">
                  <w:pPr>
                    <w:pStyle w:val="105"/>
                  </w:pPr>
                  <w:r>
                    <w:rPr>
                      <w:rFonts w:hint="eastAsia"/>
                    </w:rPr>
                    <w:t>15</w:t>
                  </w:r>
                </w:p>
              </w:tc>
              <w:tc>
                <w:tcPr>
                  <w:tcW w:w="908" w:type="pct"/>
                  <w:vAlign w:val="center"/>
                </w:tcPr>
                <w:p w14:paraId="27D88D5B">
                  <w:pPr>
                    <w:pStyle w:val="105"/>
                  </w:pPr>
                  <w:r>
                    <w:rPr>
                      <w:rFonts w:hint="eastAsia"/>
                    </w:rPr>
                    <w:t>0</w:t>
                  </w:r>
                  <w:r>
                    <w:t>.85</w:t>
                  </w:r>
                </w:p>
              </w:tc>
              <w:tc>
                <w:tcPr>
                  <w:tcW w:w="704" w:type="pct"/>
                  <w:vAlign w:val="center"/>
                </w:tcPr>
                <w:p w14:paraId="65CDC64F">
                  <w:pPr>
                    <w:pStyle w:val="105"/>
                  </w:pPr>
                  <w:r>
                    <w:rPr>
                      <w:rFonts w:hint="eastAsia"/>
                    </w:rPr>
                    <w:t>0</w:t>
                  </w:r>
                  <w:r>
                    <w:t>.</w:t>
                  </w:r>
                  <w:r>
                    <w:rPr>
                      <w:rFonts w:hint="eastAsia"/>
                    </w:rPr>
                    <w:t>12</w:t>
                  </w:r>
                </w:p>
              </w:tc>
              <w:tc>
                <w:tcPr>
                  <w:tcW w:w="683" w:type="pct"/>
                  <w:vAlign w:val="center"/>
                </w:tcPr>
                <w:p w14:paraId="223DAAE7">
                  <w:pPr>
                    <w:pStyle w:val="105"/>
                  </w:pPr>
                  <w:r>
                    <w:t>0.7</w:t>
                  </w:r>
                  <w:r>
                    <w:rPr>
                      <w:rFonts w:hint="eastAsia"/>
                    </w:rPr>
                    <w:t>‰</w:t>
                  </w:r>
                </w:p>
              </w:tc>
              <w:tc>
                <w:tcPr>
                  <w:tcW w:w="768" w:type="pct"/>
                  <w:vAlign w:val="center"/>
                </w:tcPr>
                <w:p w14:paraId="37B2B50E">
                  <w:pPr>
                    <w:pStyle w:val="105"/>
                    <w:rPr>
                      <w:rFonts w:hint="default" w:eastAsia="宋体"/>
                      <w:lang w:val="en-US" w:eastAsia="zh-CN"/>
                    </w:rPr>
                  </w:pPr>
                  <w:r>
                    <w:rPr>
                      <w:rFonts w:hint="eastAsia"/>
                      <w:lang w:val="en-US" w:eastAsia="zh-CN"/>
                    </w:rPr>
                    <w:t>0.0112</w:t>
                  </w:r>
                </w:p>
              </w:tc>
            </w:tr>
          </w:tbl>
          <w:p w14:paraId="612670E1">
            <w:pPr>
              <w:pStyle w:val="108"/>
              <w:keepNext w:val="0"/>
              <w:keepLines w:val="0"/>
              <w:suppressLineNumbers w:val="0"/>
              <w:spacing w:before="0" w:beforeAutospacing="0" w:after="0" w:afterAutospacing="0"/>
              <w:ind w:left="0" w:leftChars="0" w:right="0" w:firstLine="0" w:firstLineChars="0"/>
              <w:outlineLvl w:val="0"/>
              <w:rPr>
                <w:rFonts w:hint="default" w:ascii="Times New Roman" w:hAnsi="Times New Roman" w:cs="Times New Roman"/>
                <w:color w:val="auto"/>
                <w:sz w:val="24"/>
                <w:szCs w:val="24"/>
                <w:highlight w:val="none"/>
                <w:u w:val="none"/>
                <w:lang w:val="en-US" w:eastAsia="zh-CN"/>
              </w:rPr>
            </w:pPr>
          </w:p>
          <w:p w14:paraId="7443E39D">
            <w:pPr>
              <w:keepNext w:val="0"/>
              <w:keepLines w:val="0"/>
              <w:pageBreakBefore w:val="0"/>
              <w:widowControl w:val="0"/>
              <w:kinsoku/>
              <w:wordWrap/>
              <w:overflowPunct/>
              <w:topLinePunct w:val="0"/>
              <w:autoSpaceDE/>
              <w:autoSpaceDN/>
              <w:bidi w:val="0"/>
              <w:adjustRightInd w:val="0"/>
              <w:snapToGrid/>
              <w:ind w:left="0" w:leftChars="0" w:firstLine="480" w:firstLineChars="200"/>
              <w:textAlignment w:val="auto"/>
              <w:rPr>
                <w:rFonts w:hint="default" w:eastAsia="宋体"/>
                <w:lang w:val="en-US" w:eastAsia="zh-CN"/>
              </w:rPr>
            </w:pPr>
            <w:r>
              <w:rPr>
                <w:rFonts w:hint="eastAsia" w:ascii="Times New Roman" w:hAnsi="Times New Roman" w:cs="Times New Roman"/>
                <w:u w:val="none"/>
                <w:lang w:val="en-US" w:eastAsia="zh-CN"/>
              </w:rPr>
              <w:t>完全混合模式采用以下公示计算：</w:t>
            </w:r>
          </w:p>
          <w:p w14:paraId="0A6A1917">
            <w:pPr>
              <w:pStyle w:val="7"/>
              <w:keepNext w:val="0"/>
              <w:keepLines w:val="0"/>
              <w:pageBreakBefore w:val="0"/>
              <w:widowControl w:val="0"/>
              <w:tabs>
                <w:tab w:val="left" w:pos="1021"/>
              </w:tabs>
              <w:kinsoku/>
              <w:wordWrap/>
              <w:overflowPunct/>
              <w:topLinePunct w:val="0"/>
              <w:autoSpaceDE/>
              <w:autoSpaceDN/>
              <w:bidi w:val="0"/>
              <w:adjustRightInd w:val="0"/>
              <w:snapToGrid/>
              <w:spacing w:line="500" w:lineRule="atLeast"/>
              <w:ind w:firstLine="0" w:firstLineChars="0"/>
              <w:jc w:val="center"/>
              <w:textAlignment w:val="auto"/>
              <w:rPr>
                <w:rFonts w:hint="default" w:ascii="Times New Roman" w:hAnsi="Times New Roman" w:eastAsia="宋体"/>
                <w:lang w:val="en-US" w:eastAsia="zh-CN"/>
              </w:rPr>
            </w:pPr>
            <w:r>
              <w:rPr>
                <w:rFonts w:hint="eastAsia" w:ascii="Times New Roman" w:hAnsi="Times New Roman" w:eastAsia="宋体"/>
                <w:position w:val="-32"/>
                <w:lang w:eastAsia="zh-CN"/>
              </w:rPr>
              <w:object>
                <v:shape id="_x0000_i1033" o:spt="75" type="#_x0000_t75" style="height:37pt;width:93pt;" o:ole="t" filled="f" o:preferrelative="t" stroked="f" coordsize="21600,21600">
                  <v:path/>
                  <v:fill on="f" focussize="0,0"/>
                  <v:stroke on="f"/>
                  <v:imagedata r:id="rId33" o:title=""/>
                  <o:lock v:ext="edit" aspectratio="t"/>
                  <w10:wrap type="none"/>
                  <w10:anchorlock/>
                </v:shape>
                <o:OLEObject Type="Embed" ProgID="Equation.KSEE3" ShapeID="_x0000_i1033" DrawAspect="Content" ObjectID="_1468075730" r:id="rId32">
                  <o:LockedField>false</o:LockedField>
                </o:OLEObject>
              </w:object>
            </w:r>
            <w:r>
              <w:rPr>
                <w:rFonts w:hint="eastAsia" w:ascii="Times New Roman" w:hAnsi="Times New Roman"/>
                <w:position w:val="-32"/>
                <w:lang w:val="en-US" w:eastAsia="zh-CN"/>
              </w:rPr>
              <w:t xml:space="preserve">        ................................................................(4)</w:t>
            </w:r>
          </w:p>
          <w:p w14:paraId="08C6806A">
            <w:pPr>
              <w:spacing w:before="78" w:after="78"/>
              <w:ind w:firstLine="480"/>
              <w:rPr>
                <w:rFonts w:ascii="Times New Roman" w:hAnsi="Times New Roman" w:cs="Times New Roman"/>
              </w:rPr>
            </w:pPr>
            <w:r>
              <w:rPr>
                <w:rFonts w:ascii="Times New Roman" w:hAnsi="Times New Roman" w:cs="Times New Roman"/>
              </w:rPr>
              <w:t>式中：</w:t>
            </w:r>
            <w:r>
              <w:rPr>
                <w:rFonts w:ascii="Times New Roman" w:hAnsi="Times New Roman" w:cs="Times New Roman"/>
                <w:u w:val="none"/>
              </w:rPr>
              <w:t>C</w:t>
            </w:r>
            <w:r>
              <w:rPr>
                <w:rFonts w:hint="eastAsia" w:ascii="Times New Roman" w:hAnsi="Times New Roman" w:cs="Times New Roman"/>
                <w:u w:val="none"/>
                <w:vertAlign w:val="subscript"/>
                <w:lang w:val="en-US" w:eastAsia="zh-CN"/>
              </w:rPr>
              <w:t>0</w:t>
            </w:r>
            <w:r>
              <w:rPr>
                <w:rFonts w:ascii="Times New Roman" w:hAnsi="Times New Roman" w:cs="Times New Roman"/>
                <w:u w:val="none"/>
              </w:rPr>
              <w:t>－</w:t>
            </w:r>
            <w:r>
              <w:rPr>
                <w:rFonts w:hint="eastAsia" w:ascii="Times New Roman" w:hAnsi="Times New Roman" w:cs="Times New Roman"/>
                <w:u w:val="none"/>
                <w:lang w:val="en-US" w:eastAsia="zh-CN"/>
              </w:rPr>
              <w:t>河流排放口初始断面混合</w:t>
            </w:r>
            <w:r>
              <w:rPr>
                <w:rFonts w:ascii="Times New Roman" w:hAnsi="Times New Roman" w:cs="Times New Roman"/>
                <w:u w:val="none"/>
              </w:rPr>
              <w:t>浓度</w:t>
            </w:r>
            <w:r>
              <w:rPr>
                <w:rFonts w:ascii="Times New Roman" w:hAnsi="Times New Roman" w:cs="Times New Roman"/>
              </w:rPr>
              <w:t>（mg/L）；</w:t>
            </w:r>
          </w:p>
          <w:p w14:paraId="27689BCF">
            <w:pPr>
              <w:spacing w:before="78" w:after="78"/>
              <w:ind w:firstLine="480"/>
              <w:rPr>
                <w:rFonts w:ascii="Times New Roman" w:hAnsi="Times New Roman" w:cs="Times New Roman"/>
              </w:rPr>
            </w:pPr>
            <w:r>
              <w:rPr>
                <w:rFonts w:ascii="Times New Roman" w:hAnsi="Times New Roman" w:cs="Times New Roman"/>
              </w:rPr>
              <w:t xml:space="preserve">      C</w:t>
            </w:r>
            <w:r>
              <w:rPr>
                <w:rFonts w:ascii="Times New Roman" w:hAnsi="Times New Roman" w:cs="Times New Roman"/>
                <w:vertAlign w:val="subscript"/>
              </w:rPr>
              <w:t>p</w:t>
            </w:r>
            <w:r>
              <w:rPr>
                <w:rFonts w:ascii="Times New Roman" w:hAnsi="Times New Roman" w:cs="Times New Roman"/>
              </w:rPr>
              <w:t>－污染物排放浓度（mg/L）</w:t>
            </w:r>
            <w:r>
              <w:rPr>
                <w:rFonts w:hint="eastAsia" w:ascii="Times New Roman" w:hAnsi="Times New Roman" w:cs="Times New Roman"/>
                <w:lang w:eastAsia="zh-CN"/>
              </w:rPr>
              <w:t>，</w:t>
            </w:r>
            <w:r>
              <w:rPr>
                <w:rFonts w:hint="eastAsia" w:ascii="Times New Roman" w:hAnsi="Times New Roman" w:cs="Times New Roman"/>
                <w:lang w:val="en-US" w:eastAsia="zh-CN"/>
              </w:rPr>
              <w:t>本项目硫酸盐排放浓度为7000mg/L</w:t>
            </w:r>
            <w:r>
              <w:rPr>
                <w:rFonts w:ascii="Times New Roman" w:hAnsi="Times New Roman" w:cs="Times New Roman"/>
              </w:rPr>
              <w:t>；</w:t>
            </w:r>
          </w:p>
          <w:p w14:paraId="5378A22D">
            <w:pPr>
              <w:spacing w:before="78" w:after="78"/>
              <w:ind w:firstLine="480"/>
              <w:rPr>
                <w:rFonts w:ascii="Times New Roman" w:hAnsi="Times New Roman" w:cs="Times New Roman"/>
              </w:rPr>
            </w:pPr>
            <w:r>
              <w:rPr>
                <w:rFonts w:ascii="Times New Roman" w:hAnsi="Times New Roman" w:cs="Times New Roman"/>
              </w:rPr>
              <w:t xml:space="preserve">      C</w:t>
            </w:r>
            <w:r>
              <w:rPr>
                <w:rFonts w:ascii="Times New Roman" w:hAnsi="Times New Roman" w:cs="Times New Roman"/>
                <w:vertAlign w:val="subscript"/>
              </w:rPr>
              <w:t>h</w:t>
            </w:r>
            <w:r>
              <w:rPr>
                <w:rFonts w:ascii="Times New Roman" w:hAnsi="Times New Roman" w:cs="Times New Roman"/>
              </w:rPr>
              <w:t>－河水中上游污染物浓度（mg/L）</w:t>
            </w:r>
            <w:r>
              <w:rPr>
                <w:rFonts w:hint="eastAsia" w:ascii="Times New Roman" w:hAnsi="Times New Roman" w:cs="Times New Roman"/>
                <w:lang w:eastAsia="zh-CN"/>
              </w:rPr>
              <w:t>，</w:t>
            </w:r>
            <w:r>
              <w:rPr>
                <w:rFonts w:hint="eastAsia" w:ascii="Times New Roman" w:hAnsi="Times New Roman" w:cs="Times New Roman"/>
                <w:lang w:val="en-US" w:eastAsia="zh-CN"/>
              </w:rPr>
              <w:t>取现状监测最大值74.7</w:t>
            </w:r>
            <w:r>
              <w:rPr>
                <w:rFonts w:ascii="Times New Roman" w:hAnsi="Times New Roman" w:cs="Times New Roman"/>
              </w:rPr>
              <w:t>mg/L；</w:t>
            </w:r>
          </w:p>
          <w:p w14:paraId="28258E57">
            <w:pPr>
              <w:spacing w:before="78" w:after="78"/>
              <w:ind w:firstLine="480"/>
              <w:rPr>
                <w:rFonts w:ascii="Times New Roman" w:hAnsi="Times New Roman" w:cs="Times New Roman"/>
              </w:rPr>
            </w:pPr>
            <w:r>
              <w:rPr>
                <w:rFonts w:ascii="Times New Roman" w:hAnsi="Times New Roman" w:cs="Times New Roman"/>
              </w:rPr>
              <w:t xml:space="preserve">      Q</w:t>
            </w:r>
            <w:r>
              <w:rPr>
                <w:rFonts w:ascii="Times New Roman" w:hAnsi="Times New Roman" w:cs="Times New Roman"/>
                <w:vertAlign w:val="subscript"/>
              </w:rPr>
              <w:t>p</w:t>
            </w:r>
            <w:r>
              <w:rPr>
                <w:rFonts w:ascii="Times New Roman" w:hAnsi="Times New Roman" w:cs="Times New Roman"/>
              </w:rPr>
              <w:t>－污水排放量（m</w:t>
            </w:r>
            <w:r>
              <w:rPr>
                <w:rFonts w:ascii="Times New Roman" w:hAnsi="Times New Roman" w:cs="Times New Roman"/>
                <w:vertAlign w:val="superscript"/>
              </w:rPr>
              <w:t>3</w:t>
            </w:r>
            <w:r>
              <w:rPr>
                <w:rFonts w:ascii="Times New Roman" w:hAnsi="Times New Roman" w:cs="Times New Roman"/>
              </w:rPr>
              <w:t>/s）</w:t>
            </w:r>
            <w:r>
              <w:rPr>
                <w:rFonts w:hint="eastAsia" w:ascii="Times New Roman" w:hAnsi="Times New Roman" w:cs="Times New Roman"/>
                <w:lang w:eastAsia="zh-CN"/>
              </w:rPr>
              <w:t>，</w:t>
            </w:r>
            <w:r>
              <w:rPr>
                <w:rFonts w:hint="eastAsia" w:ascii="Times New Roman" w:hAnsi="Times New Roman" w:cs="Times New Roman"/>
                <w:lang w:val="en-US" w:eastAsia="zh-CN"/>
              </w:rPr>
              <w:t>本项目污水站设计规模0.0014</w:t>
            </w:r>
            <w:r>
              <w:rPr>
                <w:rFonts w:ascii="Times New Roman" w:hAnsi="Times New Roman" w:cs="Times New Roman"/>
              </w:rPr>
              <w:t>m</w:t>
            </w:r>
            <w:r>
              <w:rPr>
                <w:rFonts w:ascii="Times New Roman" w:hAnsi="Times New Roman" w:cs="Times New Roman"/>
                <w:vertAlign w:val="superscript"/>
              </w:rPr>
              <w:t>3</w:t>
            </w:r>
            <w:r>
              <w:rPr>
                <w:rFonts w:ascii="Times New Roman" w:hAnsi="Times New Roman" w:cs="Times New Roman"/>
              </w:rPr>
              <w:t>/s；</w:t>
            </w:r>
          </w:p>
          <w:p w14:paraId="36EB4BB5">
            <w:pPr>
              <w:ind w:firstLine="1200" w:firstLineChars="500"/>
              <w:jc w:val="both"/>
            </w:pPr>
            <w:r>
              <w:rPr>
                <w:rFonts w:ascii="Times New Roman" w:hAnsi="Times New Roman" w:cs="Times New Roman"/>
              </w:rPr>
              <w:t>Q</w:t>
            </w:r>
            <w:r>
              <w:rPr>
                <w:rFonts w:ascii="Times New Roman" w:hAnsi="Times New Roman" w:cs="Times New Roman"/>
                <w:vertAlign w:val="subscript"/>
              </w:rPr>
              <w:t>h</w:t>
            </w:r>
            <w:r>
              <w:rPr>
                <w:rFonts w:ascii="Times New Roman" w:hAnsi="Times New Roman" w:cs="Times New Roman"/>
              </w:rPr>
              <w:t>－河水流量（m</w:t>
            </w:r>
            <w:r>
              <w:rPr>
                <w:rFonts w:ascii="Times New Roman" w:hAnsi="Times New Roman" w:cs="Times New Roman"/>
                <w:vertAlign w:val="superscript"/>
              </w:rPr>
              <w:t>3</w:t>
            </w:r>
            <w:r>
              <w:rPr>
                <w:rFonts w:ascii="Times New Roman" w:hAnsi="Times New Roman" w:cs="Times New Roman"/>
              </w:rPr>
              <w:t>/s）。</w:t>
            </w:r>
          </w:p>
          <w:p w14:paraId="3FA9F183">
            <w:pPr>
              <w:keepNext w:val="0"/>
              <w:keepLines w:val="0"/>
              <w:pageBreakBefore w:val="0"/>
              <w:widowControl/>
              <w:suppressLineNumbers w:val="0"/>
              <w:kinsoku/>
              <w:wordWrap/>
              <w:overflowPunct/>
              <w:topLinePunct w:val="0"/>
              <w:autoSpaceDE/>
              <w:autoSpaceDN/>
              <w:bidi w:val="0"/>
              <w:adjustRightInd w:val="0"/>
              <w:snapToGrid/>
              <w:ind w:firstLine="480" w:firstLineChars="200"/>
              <w:jc w:val="both"/>
              <w:textAlignment w:val="auto"/>
              <w:rPr>
                <w:rFonts w:hint="default" w:eastAsia="宋体" w:cs="Times New Roman"/>
                <w:color w:val="000000"/>
                <w:kern w:val="0"/>
                <w:sz w:val="24"/>
                <w:szCs w:val="24"/>
                <w:highlight w:val="none"/>
                <w:u w:val="single"/>
                <w:lang w:val="en-US" w:eastAsia="zh-CN" w:bidi="ar"/>
              </w:rPr>
            </w:pPr>
            <w:r>
              <w:rPr>
                <w:rFonts w:hint="default" w:ascii="Times New Roman" w:hAnsi="Times New Roman" w:eastAsia="宋体" w:cs="Times New Roman"/>
                <w:color w:val="000000"/>
                <w:kern w:val="0"/>
                <w:sz w:val="24"/>
                <w:szCs w:val="24"/>
                <w:highlight w:val="none"/>
                <w:u w:val="none"/>
                <w:lang w:val="en-US" w:eastAsia="zh-CN" w:bidi="ar"/>
              </w:rPr>
              <w:t>根据上式计算本项目废水排入黄狮江完全混合初始断面浓度为81.158</w:t>
            </w:r>
            <w:r>
              <w:rPr>
                <w:rFonts w:hint="default" w:ascii="Times New Roman" w:hAnsi="Times New Roman" w:cs="Times New Roman"/>
                <w:u w:val="none"/>
              </w:rPr>
              <w:t>mg/L</w:t>
            </w:r>
            <w:r>
              <w:rPr>
                <w:rFonts w:hint="default" w:ascii="Times New Roman" w:hAnsi="Times New Roman" w:cs="Times New Roman"/>
                <w:u w:val="none"/>
                <w:lang w:eastAsia="zh-CN"/>
              </w:rPr>
              <w:t>，</w:t>
            </w:r>
            <w:r>
              <w:rPr>
                <w:rFonts w:hint="default" w:ascii="Times New Roman" w:hAnsi="Times New Roman" w:cs="Times New Roman"/>
                <w:u w:val="none"/>
                <w:lang w:val="en-US" w:eastAsia="zh-CN"/>
              </w:rPr>
              <w:t>满足《地表水环境质量标准》（GB3838-2002）</w:t>
            </w:r>
            <w:r>
              <w:rPr>
                <w:rFonts w:hint="eastAsia" w:ascii="Times New Roman" w:hAnsi="Times New Roman" w:cs="Times New Roman"/>
                <w:u w:val="none"/>
                <w:lang w:val="en-US" w:eastAsia="zh-CN"/>
              </w:rPr>
              <w:t>表2集中式生活饮用水地表水源地补充项目标准限值。</w:t>
            </w:r>
          </w:p>
          <w:p w14:paraId="56E09081">
            <w:pPr>
              <w:pStyle w:val="108"/>
              <w:keepNext w:val="0"/>
              <w:keepLines w:val="0"/>
              <w:suppressLineNumbers w:val="0"/>
              <w:spacing w:before="0" w:beforeAutospacing="0" w:after="0" w:afterAutospacing="0"/>
              <w:ind w:left="0" w:right="0" w:firstLine="482"/>
              <w:outlineLvl w:val="0"/>
              <w:rPr>
                <w:rFonts w:hint="default" w:ascii="Times New Roman" w:hAnsi="Times New Roman" w:eastAsia="宋体" w:cs="Times New Roman"/>
                <w:b/>
                <w:bCs/>
                <w:color w:val="auto"/>
                <w:highlight w:val="yellow"/>
                <w:lang w:val="en-US" w:eastAsia="zh-CN"/>
              </w:rPr>
            </w:pPr>
            <w:r>
              <w:rPr>
                <w:rFonts w:hint="eastAsia" w:ascii="Times New Roman" w:hAnsi="Times New Roman" w:cs="Times New Roman"/>
                <w:color w:val="auto"/>
                <w:sz w:val="24"/>
                <w:szCs w:val="24"/>
                <w:highlight w:val="none"/>
                <w:u w:val="none"/>
                <w:lang w:val="en-US" w:eastAsia="zh-CN"/>
              </w:rPr>
              <w:t>综上，采取上述废水处理措施后，本项目营运期废水可达到</w:t>
            </w:r>
            <w:r>
              <w:rPr>
                <w:rFonts w:hint="eastAsia" w:ascii="Times New Roman" w:hAnsi="Times New Roman" w:cs="Times New Roman"/>
                <w:szCs w:val="24"/>
                <w:highlight w:val="none"/>
                <w:lang w:val="en-US" w:eastAsia="zh-CN"/>
              </w:rPr>
              <w:t>官</w:t>
            </w:r>
            <w:r>
              <w:rPr>
                <w:rFonts w:hint="eastAsia" w:ascii="Times New Roman" w:hAnsi="Times New Roman" w:cs="Times New Roman"/>
                <w:szCs w:val="24"/>
                <w:lang w:val="en-US" w:eastAsia="zh-CN"/>
              </w:rPr>
              <w:t>家嘴镇污水处理站的纳管标准，本项目废水预处理后可依托官家嘴镇污水处理站进一步处理排入黄狮江，对水环境影响较小。</w:t>
            </w:r>
          </w:p>
          <w:p w14:paraId="4AEA87B9">
            <w:pPr>
              <w:pStyle w:val="108"/>
              <w:keepNext w:val="0"/>
              <w:keepLines w:val="0"/>
              <w:suppressLineNumbers w:val="0"/>
              <w:spacing w:before="0" w:beforeAutospacing="0" w:after="0" w:afterAutospacing="0"/>
              <w:ind w:left="0" w:right="0" w:firstLine="482"/>
              <w:outlineLvl w:val="0"/>
              <w:rPr>
                <w:rFonts w:hint="default" w:ascii="Times New Roman" w:hAnsi="Times New Roman" w:eastAsia="宋体" w:cs="Times New Roman"/>
                <w:b/>
                <w:bCs/>
                <w:color w:val="auto"/>
                <w:highlight w:val="none"/>
              </w:rPr>
            </w:pPr>
            <w:r>
              <w:rPr>
                <w:rFonts w:hint="default" w:ascii="Times New Roman" w:hAnsi="Times New Roman" w:eastAsia="宋体" w:cs="Times New Roman"/>
                <w:b/>
                <w:bCs/>
                <w:color w:val="auto"/>
                <w:highlight w:val="none"/>
                <w:lang w:val="en-US" w:eastAsia="zh-CN"/>
              </w:rPr>
              <w:t>（4）</w:t>
            </w:r>
            <w:r>
              <w:rPr>
                <w:rFonts w:hint="default" w:ascii="Times New Roman" w:hAnsi="Times New Roman" w:eastAsia="宋体" w:cs="Times New Roman"/>
                <w:b/>
                <w:bCs/>
                <w:color w:val="auto"/>
                <w:highlight w:val="none"/>
              </w:rPr>
              <w:t>废水污染物排放信息</w:t>
            </w:r>
            <w:bookmarkEnd w:id="29"/>
            <w:bookmarkEnd w:id="30"/>
            <w:bookmarkEnd w:id="31"/>
            <w:bookmarkEnd w:id="32"/>
            <w:bookmarkEnd w:id="33"/>
          </w:p>
          <w:p w14:paraId="17D2D428">
            <w:pPr>
              <w:pStyle w:val="10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bCs/>
                <w:color w:val="auto"/>
                <w:sz w:val="24"/>
                <w:szCs w:val="24"/>
                <w:highlight w:val="yellow"/>
              </w:rPr>
            </w:pPr>
            <w:r>
              <w:rPr>
                <w:rFonts w:hint="default" w:ascii="Times New Roman" w:hAnsi="Times New Roman" w:eastAsia="宋体" w:cs="Times New Roman"/>
                <w:b/>
                <w:bCs/>
                <w:color w:val="auto"/>
                <w:kern w:val="0"/>
                <w:sz w:val="21"/>
                <w:szCs w:val="21"/>
                <w:highlight w:val="none"/>
              </w:rPr>
              <w:t>表4-</w:t>
            </w:r>
            <w:r>
              <w:rPr>
                <w:rFonts w:hint="eastAsia" w:ascii="Times New Roman" w:hAnsi="Times New Roman" w:eastAsia="宋体" w:cs="Times New Roman"/>
                <w:b/>
                <w:bCs/>
                <w:color w:val="auto"/>
                <w:kern w:val="0"/>
                <w:sz w:val="21"/>
                <w:szCs w:val="21"/>
                <w:highlight w:val="none"/>
                <w:lang w:val="en-US" w:eastAsia="zh-CN"/>
              </w:rPr>
              <w:t>13</w:t>
            </w:r>
            <w:r>
              <w:rPr>
                <w:rFonts w:hint="default" w:ascii="Times New Roman" w:hAnsi="Times New Roman" w:eastAsia="宋体" w:cs="Times New Roman"/>
                <w:b/>
                <w:bCs/>
                <w:color w:val="auto"/>
                <w:kern w:val="0"/>
                <w:sz w:val="21"/>
                <w:szCs w:val="21"/>
                <w:highlight w:val="none"/>
              </w:rPr>
              <w:t xml:space="preserve">   废水类别、污染物及污染治理设施信息表</w:t>
            </w:r>
          </w:p>
          <w:tbl>
            <w:tblPr>
              <w:tblStyle w:val="28"/>
              <w:tblW w:w="4956" w:type="pct"/>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57" w:type="dxa"/>
                <w:bottom w:w="0" w:type="dxa"/>
                <w:right w:w="57" w:type="dxa"/>
              </w:tblCellMar>
            </w:tblPr>
            <w:tblGrid>
              <w:gridCol w:w="364"/>
              <w:gridCol w:w="724"/>
              <w:gridCol w:w="819"/>
              <w:gridCol w:w="726"/>
              <w:gridCol w:w="739"/>
              <w:gridCol w:w="879"/>
              <w:gridCol w:w="726"/>
              <w:gridCol w:w="935"/>
              <w:gridCol w:w="797"/>
              <w:gridCol w:w="976"/>
              <w:gridCol w:w="744"/>
            </w:tblGrid>
            <w:tr w14:paraId="7CF44FA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7" w:type="dxa"/>
                  <w:bottom w:w="0" w:type="dxa"/>
                  <w:right w:w="57" w:type="dxa"/>
                </w:tblCellMar>
              </w:tblPrEx>
              <w:trPr>
                <w:trHeight w:val="397" w:hRule="atLeast"/>
              </w:trPr>
              <w:tc>
                <w:tcPr>
                  <w:tcW w:w="216" w:type="pct"/>
                  <w:vMerge w:val="restart"/>
                  <w:vAlign w:val="center"/>
                </w:tcPr>
                <w:p w14:paraId="771A4B01">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序号</w:t>
                  </w:r>
                </w:p>
              </w:tc>
              <w:tc>
                <w:tcPr>
                  <w:tcW w:w="429" w:type="pct"/>
                  <w:vMerge w:val="restart"/>
                  <w:vAlign w:val="center"/>
                </w:tcPr>
                <w:p w14:paraId="7430215C">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废水类别（a）</w:t>
                  </w:r>
                </w:p>
              </w:tc>
              <w:tc>
                <w:tcPr>
                  <w:tcW w:w="485" w:type="pct"/>
                  <w:vMerge w:val="restart"/>
                  <w:vAlign w:val="center"/>
                </w:tcPr>
                <w:p w14:paraId="2B7F0CCD">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污染物种类（b）</w:t>
                  </w:r>
                </w:p>
              </w:tc>
              <w:tc>
                <w:tcPr>
                  <w:tcW w:w="430" w:type="pct"/>
                  <w:vMerge w:val="restart"/>
                  <w:vAlign w:val="center"/>
                </w:tcPr>
                <w:p w14:paraId="08208189">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排放去向（c）</w:t>
                  </w:r>
                </w:p>
              </w:tc>
              <w:tc>
                <w:tcPr>
                  <w:tcW w:w="438" w:type="pct"/>
                  <w:vMerge w:val="restart"/>
                  <w:vAlign w:val="center"/>
                </w:tcPr>
                <w:p w14:paraId="6E78E4ED">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排放规律（d）</w:t>
                  </w:r>
                </w:p>
              </w:tc>
              <w:tc>
                <w:tcPr>
                  <w:tcW w:w="1505" w:type="pct"/>
                  <w:gridSpan w:val="3"/>
                  <w:vAlign w:val="center"/>
                </w:tcPr>
                <w:p w14:paraId="6561F05E">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污染治理设施</w:t>
                  </w:r>
                </w:p>
              </w:tc>
              <w:tc>
                <w:tcPr>
                  <w:tcW w:w="472" w:type="pct"/>
                  <w:vMerge w:val="restart"/>
                  <w:vAlign w:val="center"/>
                </w:tcPr>
                <w:p w14:paraId="039275DD">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排放口编号（f）</w:t>
                  </w:r>
                </w:p>
              </w:tc>
              <w:tc>
                <w:tcPr>
                  <w:tcW w:w="578" w:type="pct"/>
                  <w:vMerge w:val="restart"/>
                  <w:vAlign w:val="center"/>
                </w:tcPr>
                <w:p w14:paraId="38926FCF">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排放口设置是否符合要求（g）</w:t>
                  </w:r>
                </w:p>
              </w:tc>
              <w:tc>
                <w:tcPr>
                  <w:tcW w:w="441" w:type="pct"/>
                  <w:vMerge w:val="restart"/>
                  <w:vAlign w:val="center"/>
                </w:tcPr>
                <w:p w14:paraId="169AA271">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排放口类型</w:t>
                  </w:r>
                </w:p>
              </w:tc>
            </w:tr>
            <w:tr w14:paraId="12BAC89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7" w:type="dxa"/>
                  <w:bottom w:w="0" w:type="dxa"/>
                  <w:right w:w="57" w:type="dxa"/>
                </w:tblCellMar>
              </w:tblPrEx>
              <w:trPr>
                <w:trHeight w:val="397" w:hRule="atLeast"/>
              </w:trPr>
              <w:tc>
                <w:tcPr>
                  <w:tcW w:w="216" w:type="pct"/>
                  <w:vMerge w:val="continue"/>
                  <w:vAlign w:val="center"/>
                </w:tcPr>
                <w:p w14:paraId="780D041F">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bCs/>
                      <w:color w:val="auto"/>
                      <w:sz w:val="21"/>
                      <w:szCs w:val="21"/>
                      <w:highlight w:val="none"/>
                    </w:rPr>
                  </w:pPr>
                </w:p>
              </w:tc>
              <w:tc>
                <w:tcPr>
                  <w:tcW w:w="429" w:type="pct"/>
                  <w:vMerge w:val="continue"/>
                  <w:vAlign w:val="center"/>
                </w:tcPr>
                <w:p w14:paraId="2F657EF8">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bCs/>
                      <w:color w:val="auto"/>
                      <w:sz w:val="21"/>
                      <w:szCs w:val="21"/>
                      <w:highlight w:val="none"/>
                    </w:rPr>
                  </w:pPr>
                </w:p>
              </w:tc>
              <w:tc>
                <w:tcPr>
                  <w:tcW w:w="485" w:type="pct"/>
                  <w:vMerge w:val="continue"/>
                  <w:vAlign w:val="center"/>
                </w:tcPr>
                <w:p w14:paraId="5A8B172A">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bCs/>
                      <w:color w:val="auto"/>
                      <w:sz w:val="21"/>
                      <w:szCs w:val="21"/>
                      <w:highlight w:val="none"/>
                    </w:rPr>
                  </w:pPr>
                </w:p>
              </w:tc>
              <w:tc>
                <w:tcPr>
                  <w:tcW w:w="430" w:type="pct"/>
                  <w:vMerge w:val="continue"/>
                  <w:vAlign w:val="center"/>
                </w:tcPr>
                <w:p w14:paraId="2D2CEE60">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bCs/>
                      <w:color w:val="auto"/>
                      <w:sz w:val="21"/>
                      <w:szCs w:val="21"/>
                      <w:highlight w:val="none"/>
                    </w:rPr>
                  </w:pPr>
                </w:p>
              </w:tc>
              <w:tc>
                <w:tcPr>
                  <w:tcW w:w="438" w:type="pct"/>
                  <w:vMerge w:val="continue"/>
                  <w:vAlign w:val="center"/>
                </w:tcPr>
                <w:p w14:paraId="19C4F5C5">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bCs/>
                      <w:color w:val="auto"/>
                      <w:sz w:val="21"/>
                      <w:szCs w:val="21"/>
                      <w:highlight w:val="none"/>
                    </w:rPr>
                  </w:pPr>
                </w:p>
              </w:tc>
              <w:tc>
                <w:tcPr>
                  <w:tcW w:w="521" w:type="pct"/>
                  <w:vAlign w:val="center"/>
                </w:tcPr>
                <w:p w14:paraId="45F69928">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污染治理设施编号</w:t>
                  </w:r>
                </w:p>
              </w:tc>
              <w:tc>
                <w:tcPr>
                  <w:tcW w:w="430" w:type="pct"/>
                  <w:vAlign w:val="center"/>
                </w:tcPr>
                <w:p w14:paraId="40C06AB0">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污染治理设施名称（e）</w:t>
                  </w:r>
                </w:p>
              </w:tc>
              <w:tc>
                <w:tcPr>
                  <w:tcW w:w="553" w:type="pct"/>
                  <w:vAlign w:val="center"/>
                </w:tcPr>
                <w:p w14:paraId="1CA92FEB">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污染治理设施工艺</w:t>
                  </w:r>
                </w:p>
              </w:tc>
              <w:tc>
                <w:tcPr>
                  <w:tcW w:w="472" w:type="pct"/>
                  <w:vMerge w:val="continue"/>
                  <w:vAlign w:val="center"/>
                </w:tcPr>
                <w:p w14:paraId="4623EEF0">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bCs/>
                      <w:color w:val="auto"/>
                      <w:sz w:val="21"/>
                      <w:szCs w:val="21"/>
                      <w:highlight w:val="none"/>
                    </w:rPr>
                  </w:pPr>
                </w:p>
              </w:tc>
              <w:tc>
                <w:tcPr>
                  <w:tcW w:w="578" w:type="pct"/>
                  <w:vMerge w:val="continue"/>
                  <w:vAlign w:val="center"/>
                </w:tcPr>
                <w:p w14:paraId="6597C196">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bCs/>
                      <w:color w:val="auto"/>
                      <w:sz w:val="21"/>
                      <w:szCs w:val="21"/>
                      <w:highlight w:val="none"/>
                    </w:rPr>
                  </w:pPr>
                </w:p>
              </w:tc>
              <w:tc>
                <w:tcPr>
                  <w:tcW w:w="441" w:type="pct"/>
                  <w:vMerge w:val="continue"/>
                  <w:vAlign w:val="center"/>
                </w:tcPr>
                <w:p w14:paraId="3D7952BC">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bCs/>
                      <w:color w:val="auto"/>
                      <w:sz w:val="21"/>
                      <w:szCs w:val="21"/>
                      <w:highlight w:val="none"/>
                    </w:rPr>
                  </w:pPr>
                </w:p>
              </w:tc>
            </w:tr>
            <w:tr w14:paraId="1F9946D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7" w:type="dxa"/>
                  <w:bottom w:w="0" w:type="dxa"/>
                  <w:right w:w="57" w:type="dxa"/>
                </w:tblCellMar>
              </w:tblPrEx>
              <w:trPr>
                <w:trHeight w:val="1591" w:hRule="atLeast"/>
              </w:trPr>
              <w:tc>
                <w:tcPr>
                  <w:tcW w:w="216" w:type="pct"/>
                  <w:vAlign w:val="center"/>
                </w:tcPr>
                <w:p w14:paraId="6ED0E84E">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429" w:type="pct"/>
                  <w:vAlign w:val="center"/>
                </w:tcPr>
                <w:p w14:paraId="545F6262">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生产废水</w:t>
                  </w:r>
                </w:p>
              </w:tc>
              <w:tc>
                <w:tcPr>
                  <w:tcW w:w="485" w:type="pct"/>
                  <w:vMerge w:val="restart"/>
                  <w:vAlign w:val="center"/>
                </w:tcPr>
                <w:p w14:paraId="59BB20FF">
                  <w:pPr>
                    <w:keepNext w:val="0"/>
                    <w:keepLines w:val="0"/>
                    <w:pageBreakBefore w:val="0"/>
                    <w:suppressLineNumbers w:val="0"/>
                    <w:kinsoku/>
                    <w:wordWrap/>
                    <w:overflowPunct/>
                    <w:topLinePunct w:val="0"/>
                    <w:autoSpaceDE w:val="0"/>
                    <w:autoSpaceDN w:val="0"/>
                    <w:bidi w:val="0"/>
                    <w:adjustRightIn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snapToGrid w:val="0"/>
                      <w:color w:val="auto"/>
                      <w:sz w:val="21"/>
                      <w:szCs w:val="21"/>
                      <w:highlight w:val="none"/>
                    </w:rPr>
                    <w:t>COD</w:t>
                  </w:r>
                  <w:r>
                    <w:rPr>
                      <w:rFonts w:hint="default" w:ascii="Times New Roman" w:hAnsi="Times New Roman" w:eastAsia="宋体" w:cs="Times New Roman"/>
                      <w:snapToGrid w:val="0"/>
                      <w:color w:val="auto"/>
                      <w:sz w:val="21"/>
                      <w:szCs w:val="21"/>
                      <w:highlight w:val="none"/>
                      <w:vertAlign w:val="subscript"/>
                    </w:rPr>
                    <w:t>Cr</w:t>
                  </w:r>
                </w:p>
                <w:p w14:paraId="6C1044AD">
                  <w:pPr>
                    <w:keepNext w:val="0"/>
                    <w:keepLines w:val="0"/>
                    <w:pageBreakBefore w:val="0"/>
                    <w:suppressLineNumbers w:val="0"/>
                    <w:kinsoku/>
                    <w:wordWrap/>
                    <w:overflowPunct/>
                    <w:topLinePunct w:val="0"/>
                    <w:autoSpaceDE w:val="0"/>
                    <w:autoSpaceDN w:val="0"/>
                    <w:bidi w:val="0"/>
                    <w:adjustRightIn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snapToGrid w:val="0"/>
                      <w:color w:val="auto"/>
                      <w:sz w:val="21"/>
                      <w:szCs w:val="21"/>
                      <w:highlight w:val="none"/>
                    </w:rPr>
                    <w:t>BOD</w:t>
                  </w:r>
                  <w:r>
                    <w:rPr>
                      <w:rFonts w:hint="default" w:ascii="Times New Roman" w:hAnsi="Times New Roman" w:eastAsia="宋体" w:cs="Times New Roman"/>
                      <w:snapToGrid w:val="0"/>
                      <w:color w:val="auto"/>
                      <w:sz w:val="21"/>
                      <w:szCs w:val="21"/>
                      <w:highlight w:val="none"/>
                      <w:vertAlign w:val="subscript"/>
                    </w:rPr>
                    <w:t>5</w:t>
                  </w:r>
                </w:p>
                <w:p w14:paraId="777643DA">
                  <w:pPr>
                    <w:keepNext w:val="0"/>
                    <w:keepLines w:val="0"/>
                    <w:pageBreakBefore w:val="0"/>
                    <w:suppressLineNumbers w:val="0"/>
                    <w:kinsoku/>
                    <w:wordWrap/>
                    <w:overflowPunct/>
                    <w:topLinePunct w:val="0"/>
                    <w:autoSpaceDE w:val="0"/>
                    <w:autoSpaceDN w:val="0"/>
                    <w:bidi w:val="0"/>
                    <w:adjustRightIn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snapToGrid w:val="0"/>
                      <w:color w:val="auto"/>
                      <w:sz w:val="21"/>
                      <w:szCs w:val="21"/>
                      <w:highlight w:val="none"/>
                    </w:rPr>
                    <w:t>SS</w:t>
                  </w:r>
                </w:p>
                <w:p w14:paraId="517318E3">
                  <w:pPr>
                    <w:keepNext w:val="0"/>
                    <w:keepLines w:val="0"/>
                    <w:pageBreakBefore w:val="0"/>
                    <w:suppressLineNumbers w:val="0"/>
                    <w:kinsoku/>
                    <w:wordWrap/>
                    <w:overflowPunct/>
                    <w:topLinePunct w:val="0"/>
                    <w:autoSpaceDE w:val="0"/>
                    <w:autoSpaceDN w:val="0"/>
                    <w:bidi w:val="0"/>
                    <w:adjustRightIn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Cs/>
                      <w:snapToGrid w:val="0"/>
                      <w:color w:val="auto"/>
                      <w:sz w:val="21"/>
                      <w:szCs w:val="21"/>
                      <w:highlight w:val="none"/>
                    </w:rPr>
                    <w:t>NH</w:t>
                  </w:r>
                  <w:r>
                    <w:rPr>
                      <w:rFonts w:hint="default" w:ascii="Times New Roman" w:hAnsi="Times New Roman" w:eastAsia="宋体" w:cs="Times New Roman"/>
                      <w:bCs/>
                      <w:snapToGrid w:val="0"/>
                      <w:color w:val="auto"/>
                      <w:sz w:val="21"/>
                      <w:szCs w:val="21"/>
                      <w:highlight w:val="none"/>
                      <w:vertAlign w:val="subscript"/>
                    </w:rPr>
                    <w:t>3</w:t>
                  </w:r>
                  <w:r>
                    <w:rPr>
                      <w:rFonts w:hint="default" w:ascii="Times New Roman" w:hAnsi="Times New Roman" w:eastAsia="宋体" w:cs="Times New Roman"/>
                      <w:bCs/>
                      <w:snapToGrid w:val="0"/>
                      <w:color w:val="auto"/>
                      <w:sz w:val="21"/>
                      <w:szCs w:val="21"/>
                      <w:highlight w:val="none"/>
                    </w:rPr>
                    <w:t>-N</w:t>
                  </w:r>
                </w:p>
                <w:p w14:paraId="30F465A9">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TP</w:t>
                  </w:r>
                </w:p>
                <w:p w14:paraId="3AE8D732">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TN等</w:t>
                  </w:r>
                </w:p>
              </w:tc>
              <w:tc>
                <w:tcPr>
                  <w:tcW w:w="430" w:type="pct"/>
                  <w:vMerge w:val="restart"/>
                  <w:vAlign w:val="center"/>
                </w:tcPr>
                <w:p w14:paraId="22A4D642">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官家嘴镇污水处理站</w:t>
                  </w:r>
                </w:p>
              </w:tc>
              <w:tc>
                <w:tcPr>
                  <w:tcW w:w="438" w:type="pct"/>
                  <w:vMerge w:val="restart"/>
                  <w:vAlign w:val="center"/>
                </w:tcPr>
                <w:p w14:paraId="07264BB4">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间歇</w:t>
                  </w:r>
                </w:p>
              </w:tc>
              <w:tc>
                <w:tcPr>
                  <w:tcW w:w="521" w:type="pct"/>
                  <w:vMerge w:val="restart"/>
                  <w:vAlign w:val="center"/>
                </w:tcPr>
                <w:p w14:paraId="614E7CB3">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TW001</w:t>
                  </w:r>
                </w:p>
              </w:tc>
              <w:tc>
                <w:tcPr>
                  <w:tcW w:w="430" w:type="pct"/>
                  <w:vMerge w:val="restart"/>
                  <w:vAlign w:val="center"/>
                </w:tcPr>
                <w:p w14:paraId="55271698">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污水处理站</w:t>
                  </w:r>
                </w:p>
              </w:tc>
              <w:tc>
                <w:tcPr>
                  <w:tcW w:w="553" w:type="pct"/>
                  <w:vMerge w:val="restart"/>
                  <w:vAlign w:val="center"/>
                </w:tcPr>
                <w:p w14:paraId="2BB8B601">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格栅+调节池兼预曝气氧化池+一级水解酸化池+AO池+混凝池+沉淀池+清水池</w:t>
                  </w:r>
                </w:p>
              </w:tc>
              <w:tc>
                <w:tcPr>
                  <w:tcW w:w="472" w:type="pct"/>
                  <w:vMerge w:val="restart"/>
                  <w:vAlign w:val="center"/>
                </w:tcPr>
                <w:p w14:paraId="11856263">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DW001</w:t>
                  </w:r>
                </w:p>
              </w:tc>
              <w:tc>
                <w:tcPr>
                  <w:tcW w:w="578" w:type="pct"/>
                  <w:vMerge w:val="restart"/>
                  <w:vAlign w:val="center"/>
                </w:tcPr>
                <w:p w14:paraId="57A3F12D">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是</w:t>
                  </w:r>
                </w:p>
                <w:p w14:paraId="7CEFA951">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□否</w:t>
                  </w:r>
                </w:p>
              </w:tc>
              <w:tc>
                <w:tcPr>
                  <w:tcW w:w="441" w:type="pct"/>
                  <w:vMerge w:val="restart"/>
                  <w:vAlign w:val="center"/>
                </w:tcPr>
                <w:p w14:paraId="04288E92">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企业总排口</w:t>
                  </w:r>
                </w:p>
              </w:tc>
            </w:tr>
            <w:tr w14:paraId="59FA834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7" w:type="dxa"/>
                  <w:bottom w:w="0" w:type="dxa"/>
                  <w:right w:w="57" w:type="dxa"/>
                </w:tblCellMar>
              </w:tblPrEx>
              <w:trPr>
                <w:trHeight w:val="397" w:hRule="atLeast"/>
              </w:trPr>
              <w:tc>
                <w:tcPr>
                  <w:tcW w:w="216" w:type="pct"/>
                  <w:vAlign w:val="center"/>
                </w:tcPr>
                <w:p w14:paraId="30CED36A">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w:t>
                  </w:r>
                </w:p>
              </w:tc>
              <w:tc>
                <w:tcPr>
                  <w:tcW w:w="429" w:type="pct"/>
                  <w:vAlign w:val="center"/>
                </w:tcPr>
                <w:p w14:paraId="12A64BD5">
                  <w:pPr>
                    <w:keepNext w:val="0"/>
                    <w:keepLines w:val="0"/>
                    <w:pageBreakBefore w:val="0"/>
                    <w:suppressLineNumbers w:val="0"/>
                    <w:kinsoku/>
                    <w:wordWrap/>
                    <w:overflowPunct/>
                    <w:topLinePunct w:val="0"/>
                    <w:bidi w:val="0"/>
                    <w:adjustRightInd/>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生活污水</w:t>
                  </w:r>
                </w:p>
              </w:tc>
              <w:tc>
                <w:tcPr>
                  <w:tcW w:w="485" w:type="pct"/>
                  <w:vMerge w:val="continue"/>
                  <w:vAlign w:val="center"/>
                </w:tcPr>
                <w:p w14:paraId="34E75273">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p>
              </w:tc>
              <w:tc>
                <w:tcPr>
                  <w:tcW w:w="430" w:type="pct"/>
                  <w:vMerge w:val="continue"/>
                  <w:vAlign w:val="center"/>
                </w:tcPr>
                <w:p w14:paraId="386F3F2E">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p>
              </w:tc>
              <w:tc>
                <w:tcPr>
                  <w:tcW w:w="438" w:type="pct"/>
                  <w:vMerge w:val="continue"/>
                  <w:vAlign w:val="center"/>
                </w:tcPr>
                <w:p w14:paraId="7AB555CD">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p>
              </w:tc>
              <w:tc>
                <w:tcPr>
                  <w:tcW w:w="521" w:type="pct"/>
                  <w:vMerge w:val="continue"/>
                  <w:vAlign w:val="center"/>
                </w:tcPr>
                <w:p w14:paraId="39BE2FAA">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p>
              </w:tc>
              <w:tc>
                <w:tcPr>
                  <w:tcW w:w="430" w:type="pct"/>
                  <w:vMerge w:val="continue"/>
                  <w:vAlign w:val="center"/>
                </w:tcPr>
                <w:p w14:paraId="17F2F697">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p>
              </w:tc>
              <w:tc>
                <w:tcPr>
                  <w:tcW w:w="553" w:type="pct"/>
                  <w:vMerge w:val="continue"/>
                  <w:vAlign w:val="center"/>
                </w:tcPr>
                <w:p w14:paraId="2F19A279">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p>
              </w:tc>
              <w:tc>
                <w:tcPr>
                  <w:tcW w:w="472" w:type="pct"/>
                  <w:vMerge w:val="continue"/>
                  <w:vAlign w:val="center"/>
                </w:tcPr>
                <w:p w14:paraId="10E2F63E">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p>
              </w:tc>
              <w:tc>
                <w:tcPr>
                  <w:tcW w:w="578" w:type="pct"/>
                  <w:vMerge w:val="continue"/>
                  <w:vAlign w:val="center"/>
                </w:tcPr>
                <w:p w14:paraId="33B91FE9">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p>
              </w:tc>
              <w:tc>
                <w:tcPr>
                  <w:tcW w:w="441" w:type="pct"/>
                  <w:vMerge w:val="continue"/>
                  <w:vAlign w:val="center"/>
                </w:tcPr>
                <w:p w14:paraId="56B11376">
                  <w:pPr>
                    <w:keepNext w:val="0"/>
                    <w:keepLines w:val="0"/>
                    <w:pageBreakBefore w:val="0"/>
                    <w:widowControl/>
                    <w:suppressLineNumbers w:val="0"/>
                    <w:kinsoku/>
                    <w:wordWrap/>
                    <w:overflowPunct/>
                    <w:topLinePunct w:val="0"/>
                    <w:bidi w:val="0"/>
                    <w:adjustRightInd/>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p>
              </w:tc>
            </w:tr>
          </w:tbl>
          <w:p w14:paraId="6A28B599">
            <w:pPr>
              <w:pStyle w:val="108"/>
              <w:keepNext w:val="0"/>
              <w:keepLines w:val="0"/>
              <w:suppressLineNumbers w:val="0"/>
              <w:spacing w:before="0" w:beforeAutospacing="0" w:after="0" w:afterAutospacing="0"/>
              <w:ind w:left="0" w:right="0" w:firstLine="482"/>
              <w:outlineLvl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（5）企业自行监测要求</w:t>
            </w:r>
          </w:p>
          <w:p w14:paraId="3A3728F0">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根据《排污单位自行监测技术指南 总则》（HJ819-2017）</w:t>
            </w:r>
            <w:r>
              <w:rPr>
                <w:rFonts w:hint="default" w:ascii="Times New Roman" w:hAnsi="Times New Roman" w:eastAsia="宋体" w:cs="Times New Roman"/>
                <w:color w:val="auto"/>
                <w:sz w:val="24"/>
                <w:highlight w:val="none"/>
                <w:lang w:val="en-US" w:eastAsia="zh-CN"/>
              </w:rPr>
              <w:t>和《</w:t>
            </w:r>
            <w:r>
              <w:rPr>
                <w:rFonts w:hint="eastAsia" w:cs="Times New Roman"/>
                <w:color w:val="auto"/>
                <w:sz w:val="24"/>
                <w:highlight w:val="none"/>
                <w:lang w:val="en-US" w:eastAsia="zh-CN"/>
              </w:rPr>
              <w:t>排污单位自行监测技术指南 食品制造</w:t>
            </w:r>
            <w:r>
              <w:rPr>
                <w:rFonts w:hint="default" w:ascii="Times New Roman" w:hAnsi="Times New Roman" w:eastAsia="宋体" w:cs="Times New Roman"/>
                <w:color w:val="auto"/>
                <w:sz w:val="24"/>
                <w:highlight w:val="none"/>
                <w:lang w:val="en-US" w:eastAsia="zh-CN"/>
              </w:rPr>
              <w:t>》（HJ</w:t>
            </w:r>
            <w:r>
              <w:rPr>
                <w:rFonts w:hint="eastAsia" w:cs="Times New Roman"/>
                <w:color w:val="auto"/>
                <w:sz w:val="24"/>
                <w:highlight w:val="none"/>
                <w:lang w:val="en-US" w:eastAsia="zh-CN"/>
              </w:rPr>
              <w:t>1084</w:t>
            </w:r>
            <w:r>
              <w:rPr>
                <w:rFonts w:hint="default" w:ascii="Times New Roman" w:hAnsi="Times New Roman" w:eastAsia="宋体" w:cs="Times New Roman"/>
                <w:color w:val="auto"/>
                <w:sz w:val="24"/>
                <w:highlight w:val="none"/>
                <w:lang w:val="en-US" w:eastAsia="zh-CN"/>
              </w:rPr>
              <w:t>—20</w:t>
            </w:r>
            <w:r>
              <w:rPr>
                <w:rFonts w:hint="eastAsia" w:cs="Times New Roman"/>
                <w:color w:val="auto"/>
                <w:sz w:val="24"/>
                <w:highlight w:val="none"/>
                <w:lang w:val="en-US" w:eastAsia="zh-CN"/>
              </w:rPr>
              <w:t>20</w:t>
            </w:r>
            <w:r>
              <w:rPr>
                <w:rFonts w:hint="default" w:ascii="Times New Roman" w:hAnsi="Times New Roman" w:eastAsia="宋体" w:cs="Times New Roman"/>
                <w:color w:val="auto"/>
                <w:sz w:val="24"/>
                <w:highlight w:val="none"/>
                <w:lang w:val="en-US" w:eastAsia="zh-CN"/>
              </w:rPr>
              <w:t>）</w:t>
            </w:r>
            <w:r>
              <w:rPr>
                <w:rFonts w:hint="default" w:ascii="Times New Roman" w:hAnsi="Times New Roman" w:eastAsia="宋体" w:cs="Times New Roman"/>
                <w:color w:val="auto"/>
                <w:sz w:val="24"/>
                <w:highlight w:val="none"/>
              </w:rPr>
              <w:t>，本单位自行监测计划见下表。</w:t>
            </w:r>
          </w:p>
          <w:p w14:paraId="69C35A1F">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color w:val="auto"/>
                <w:sz w:val="22"/>
                <w:highlight w:val="yellow"/>
              </w:rPr>
            </w:pPr>
            <w:r>
              <w:rPr>
                <w:rFonts w:hint="default" w:ascii="Times New Roman" w:hAnsi="Times New Roman" w:eastAsia="宋体" w:cs="Times New Roman"/>
                <w:b/>
                <w:color w:val="auto"/>
                <w:sz w:val="21"/>
                <w:szCs w:val="22"/>
                <w:highlight w:val="none"/>
              </w:rPr>
              <w:t>表4-</w:t>
            </w:r>
            <w:r>
              <w:rPr>
                <w:rFonts w:hint="eastAsia" w:cs="Times New Roman"/>
                <w:b/>
                <w:color w:val="auto"/>
                <w:sz w:val="21"/>
                <w:szCs w:val="22"/>
                <w:highlight w:val="none"/>
                <w:lang w:val="en-US" w:eastAsia="zh-CN"/>
              </w:rPr>
              <w:t>14</w:t>
            </w:r>
            <w:r>
              <w:rPr>
                <w:rFonts w:hint="default" w:ascii="Times New Roman" w:hAnsi="Times New Roman" w:eastAsia="宋体" w:cs="Times New Roman"/>
                <w:b/>
                <w:color w:val="auto"/>
                <w:sz w:val="21"/>
                <w:szCs w:val="22"/>
                <w:highlight w:val="none"/>
              </w:rPr>
              <w:t xml:space="preserve">  项目废水污染源自行监测计划一览表</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349"/>
              <w:gridCol w:w="3684"/>
              <w:gridCol w:w="1475"/>
              <w:gridCol w:w="1994"/>
            </w:tblGrid>
            <w:tr w14:paraId="1B3C922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93" w:type="pct"/>
                  <w:vAlign w:val="center"/>
                </w:tcPr>
                <w:p w14:paraId="3937192D">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监测点位</w:t>
                  </w:r>
                </w:p>
              </w:tc>
              <w:tc>
                <w:tcPr>
                  <w:tcW w:w="2166" w:type="pct"/>
                  <w:vAlign w:val="center"/>
                </w:tcPr>
                <w:p w14:paraId="115ADC81">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监测因子</w:t>
                  </w:r>
                </w:p>
              </w:tc>
              <w:tc>
                <w:tcPr>
                  <w:tcW w:w="867" w:type="pct"/>
                  <w:vAlign w:val="center"/>
                </w:tcPr>
                <w:p w14:paraId="05A8E4A5">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监测频次</w:t>
                  </w:r>
                </w:p>
              </w:tc>
              <w:tc>
                <w:tcPr>
                  <w:tcW w:w="1172" w:type="pct"/>
                  <w:vAlign w:val="center"/>
                </w:tcPr>
                <w:p w14:paraId="1DCCD0E6">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实施机构</w:t>
                  </w:r>
                </w:p>
              </w:tc>
            </w:tr>
            <w:tr w14:paraId="1215132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93" w:type="pct"/>
                  <w:vAlign w:val="center"/>
                </w:tcPr>
                <w:p w14:paraId="28271E98">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废水总排口</w:t>
                  </w:r>
                </w:p>
              </w:tc>
              <w:tc>
                <w:tcPr>
                  <w:tcW w:w="2166" w:type="pct"/>
                  <w:vAlign w:val="center"/>
                </w:tcPr>
                <w:p w14:paraId="229502D0">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流量、</w:t>
                  </w:r>
                  <w:r>
                    <w:rPr>
                      <w:rFonts w:hint="default" w:ascii="Times New Roman" w:hAnsi="Times New Roman" w:eastAsia="宋体" w:cs="Times New Roman"/>
                      <w:color w:val="auto"/>
                      <w:kern w:val="0"/>
                      <w:sz w:val="21"/>
                      <w:szCs w:val="21"/>
                      <w:highlight w:val="none"/>
                      <w:lang w:val="en-US" w:eastAsia="zh-CN"/>
                    </w:rPr>
                    <w:t>pH值、</w:t>
                  </w:r>
                  <w:r>
                    <w:rPr>
                      <w:rFonts w:hint="default" w:ascii="Times New Roman" w:hAnsi="Times New Roman" w:eastAsia="宋体" w:cs="Times New Roman"/>
                      <w:color w:val="auto"/>
                      <w:kern w:val="0"/>
                      <w:sz w:val="21"/>
                      <w:szCs w:val="21"/>
                      <w:highlight w:val="none"/>
                    </w:rPr>
                    <w:t>SS、BOD</w:t>
                  </w:r>
                  <w:r>
                    <w:rPr>
                      <w:rFonts w:hint="default" w:ascii="Times New Roman" w:hAnsi="Times New Roman" w:eastAsia="宋体" w:cs="Times New Roman"/>
                      <w:color w:val="auto"/>
                      <w:kern w:val="0"/>
                      <w:sz w:val="21"/>
                      <w:szCs w:val="21"/>
                      <w:highlight w:val="none"/>
                      <w:vertAlign w:val="subscript"/>
                    </w:rPr>
                    <w:t>5</w:t>
                  </w:r>
                  <w:r>
                    <w:rPr>
                      <w:rFonts w:hint="default" w:ascii="Times New Roman" w:hAnsi="Times New Roman" w:eastAsia="宋体" w:cs="Times New Roman"/>
                      <w:color w:val="auto"/>
                      <w:kern w:val="0"/>
                      <w:sz w:val="21"/>
                      <w:szCs w:val="21"/>
                      <w:highlight w:val="none"/>
                    </w:rPr>
                    <w:t>、COD、NH</w:t>
                  </w:r>
                  <w:r>
                    <w:rPr>
                      <w:rFonts w:hint="default" w:ascii="Times New Roman" w:hAnsi="Times New Roman" w:eastAsia="宋体" w:cs="Times New Roman"/>
                      <w:color w:val="auto"/>
                      <w:kern w:val="0"/>
                      <w:sz w:val="21"/>
                      <w:szCs w:val="21"/>
                      <w:highlight w:val="none"/>
                      <w:vertAlign w:val="subscript"/>
                    </w:rPr>
                    <w:t>3</w:t>
                  </w:r>
                  <w:r>
                    <w:rPr>
                      <w:rFonts w:hint="default" w:ascii="Times New Roman" w:hAnsi="Times New Roman" w:eastAsia="宋体" w:cs="Times New Roman"/>
                      <w:color w:val="auto"/>
                      <w:kern w:val="0"/>
                      <w:sz w:val="21"/>
                      <w:szCs w:val="21"/>
                      <w:highlight w:val="none"/>
                    </w:rPr>
                    <w:t>-N</w:t>
                  </w:r>
                  <w:r>
                    <w:rPr>
                      <w:rStyle w:val="34"/>
                      <w:rFonts w:hint="default" w:ascii="Times New Roman" w:hAnsi="Times New Roman" w:eastAsia="宋体" w:cs="Times New Roman"/>
                      <w:color w:val="auto"/>
                      <w:kern w:val="0"/>
                      <w:sz w:val="21"/>
                      <w:szCs w:val="21"/>
                      <w:highlight w:val="none"/>
                      <w:lang w:eastAsia="zh-CN"/>
                    </w:rPr>
                    <w:t>、总磷、总氮</w:t>
                  </w:r>
                  <w:r>
                    <w:rPr>
                      <w:rStyle w:val="34"/>
                      <w:rFonts w:hint="eastAsia" w:cs="Times New Roman"/>
                      <w:color w:val="auto"/>
                      <w:kern w:val="0"/>
                      <w:sz w:val="21"/>
                      <w:szCs w:val="21"/>
                      <w:highlight w:val="none"/>
                      <w:lang w:eastAsia="zh-CN"/>
                    </w:rPr>
                    <w:t>、</w:t>
                  </w:r>
                  <w:r>
                    <w:rPr>
                      <w:rStyle w:val="34"/>
                      <w:rFonts w:hint="eastAsia" w:cs="Times New Roman"/>
                      <w:color w:val="auto"/>
                      <w:kern w:val="0"/>
                      <w:sz w:val="21"/>
                      <w:szCs w:val="21"/>
                      <w:highlight w:val="none"/>
                      <w:lang w:val="en-US" w:eastAsia="zh-CN"/>
                    </w:rPr>
                    <w:t>硫酸盐</w:t>
                  </w:r>
                </w:p>
              </w:tc>
              <w:tc>
                <w:tcPr>
                  <w:tcW w:w="867" w:type="pct"/>
                  <w:vAlign w:val="center"/>
                </w:tcPr>
                <w:p w14:paraId="42A47F6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1次/半年</w:t>
                  </w:r>
                </w:p>
              </w:tc>
              <w:tc>
                <w:tcPr>
                  <w:tcW w:w="1172" w:type="pct"/>
                  <w:vAlign w:val="center"/>
                </w:tcPr>
                <w:p w14:paraId="4A4D801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有资质单位</w:t>
                  </w:r>
                </w:p>
              </w:tc>
            </w:tr>
          </w:tbl>
          <w:p w14:paraId="7F6E49A0">
            <w:pPr>
              <w:pStyle w:val="108"/>
              <w:keepNext w:val="0"/>
              <w:keepLines w:val="0"/>
              <w:suppressLineNumbers w:val="0"/>
              <w:spacing w:before="0" w:beforeAutospacing="0" w:after="0" w:afterAutospacing="0"/>
              <w:ind w:left="0" w:right="0" w:firstLine="482"/>
              <w:outlineLvl w:val="0"/>
              <w:rPr>
                <w:rFonts w:hint="default" w:ascii="Times New Roman" w:hAnsi="Times New Roman" w:eastAsia="宋体" w:cs="Times New Roman"/>
                <w:b/>
                <w:bCs/>
                <w:color w:val="auto"/>
                <w:highlight w:val="yellow"/>
                <w:lang w:val="en-US" w:eastAsia="zh-CN"/>
              </w:rPr>
            </w:pPr>
          </w:p>
          <w:p w14:paraId="41B28A1D">
            <w:pPr>
              <w:pStyle w:val="108"/>
              <w:keepNext w:val="0"/>
              <w:keepLines w:val="0"/>
              <w:suppressLineNumbers w:val="0"/>
              <w:spacing w:before="0" w:beforeAutospacing="0" w:after="0" w:afterAutospacing="0"/>
              <w:ind w:left="0" w:right="0" w:firstLine="482"/>
              <w:outlineLvl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（6）地表水环境影响评价小结</w:t>
            </w:r>
          </w:p>
          <w:p w14:paraId="41040DE2">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本项目产生的废水经过厂内污水处理站处理</w:t>
            </w:r>
            <w:r>
              <w:rPr>
                <w:rFonts w:hint="default" w:ascii="Times New Roman" w:hAnsi="Times New Roman" w:eastAsia="宋体" w:cs="Times New Roman"/>
                <w:color w:val="auto"/>
                <w:sz w:val="24"/>
                <w:szCs w:val="24"/>
                <w:highlight w:val="none"/>
                <w:lang w:val="en-US" w:eastAsia="zh-CN"/>
              </w:rPr>
              <w:t>后满足</w:t>
            </w:r>
            <w:r>
              <w:rPr>
                <w:rFonts w:hint="eastAsia" w:ascii="Times New Roman" w:hAnsi="Times New Roman" w:cs="Times New Roman"/>
                <w:szCs w:val="24"/>
                <w:highlight w:val="none"/>
                <w:lang w:val="en-US" w:eastAsia="zh-CN"/>
              </w:rPr>
              <w:t>官家嘴镇污水处理站的纳管标准后</w:t>
            </w:r>
            <w:r>
              <w:rPr>
                <w:rFonts w:hint="eastAsia" w:cs="Times New Roman"/>
                <w:szCs w:val="24"/>
                <w:highlight w:val="none"/>
                <w:lang w:val="en-US" w:eastAsia="zh-CN"/>
              </w:rPr>
              <w:t>经</w:t>
            </w:r>
            <w:r>
              <w:rPr>
                <w:rFonts w:hint="eastAsia" w:ascii="Times New Roman" w:hAnsi="Times New Roman" w:cs="Times New Roman"/>
                <w:szCs w:val="24"/>
                <w:highlight w:val="none"/>
                <w:lang w:val="en-US" w:eastAsia="zh-CN"/>
              </w:rPr>
              <w:t>官家嘴镇污水处理站进一步处理</w:t>
            </w:r>
            <w:r>
              <w:rPr>
                <w:rFonts w:hint="eastAsia" w:cs="Times New Roman"/>
                <w:szCs w:val="24"/>
                <w:highlight w:val="none"/>
                <w:lang w:val="en-US" w:eastAsia="zh-CN"/>
              </w:rPr>
              <w:t>达标后</w:t>
            </w:r>
            <w:r>
              <w:rPr>
                <w:rFonts w:hint="eastAsia" w:ascii="Times New Roman" w:hAnsi="Times New Roman" w:cs="Times New Roman"/>
                <w:szCs w:val="24"/>
                <w:highlight w:val="none"/>
                <w:lang w:val="en-US" w:eastAsia="zh-CN"/>
              </w:rPr>
              <w:t>排入黄狮江</w:t>
            </w:r>
            <w:r>
              <w:rPr>
                <w:rFonts w:hint="default" w:ascii="Times New Roman" w:hAnsi="Times New Roman" w:eastAsia="宋体" w:cs="Times New Roman"/>
                <w:color w:val="auto"/>
                <w:sz w:val="24"/>
                <w:szCs w:val="24"/>
                <w:highlight w:val="none"/>
              </w:rPr>
              <w:t>。本项目废水对周边地表水环境影响较小。</w:t>
            </w:r>
          </w:p>
          <w:p w14:paraId="557BC1D6">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3、声环境影响和保护措施分析</w:t>
            </w:r>
          </w:p>
          <w:p w14:paraId="6FB198C8">
            <w:pPr>
              <w:keepNext w:val="0"/>
              <w:keepLines w:val="0"/>
              <w:widowControl w:val="0"/>
              <w:suppressLineNumbers w:val="0"/>
              <w:kinsoku/>
              <w:overflowPunct w:val="0"/>
              <w:topLinePunct/>
              <w:spacing w:before="0" w:beforeAutospacing="0" w:after="0" w:afterAutospacing="0" w:line="360" w:lineRule="auto"/>
              <w:ind w:left="0" w:right="0" w:firstLine="480" w:firstLineChars="2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 噪声源强分析</w:t>
            </w:r>
          </w:p>
          <w:p w14:paraId="11FAB477">
            <w:pPr>
              <w:keepNext w:val="0"/>
              <w:keepLines w:val="0"/>
              <w:widowControl w:val="0"/>
              <w:suppressLineNumbers w:val="0"/>
              <w:kinsoku/>
              <w:overflowPunct w:val="0"/>
              <w:topLinePunct/>
              <w:spacing w:before="0" w:beforeAutospacing="0" w:after="0" w:afterAutospacing="0" w:line="360" w:lineRule="auto"/>
              <w:ind w:left="0" w:right="0" w:firstLine="480" w:firstLineChars="200"/>
              <w:textAlignment w:val="center"/>
              <w:rPr>
                <w:rFonts w:hint="default" w:ascii="Times New Roman" w:hAnsi="Times New Roman" w:eastAsia="宋体" w:cs="Times New Roman"/>
                <w:color w:val="auto"/>
                <w:sz w:val="24"/>
                <w:szCs w:val="24"/>
                <w:highlight w:val="yellow"/>
              </w:rPr>
            </w:pPr>
            <w:r>
              <w:rPr>
                <w:rFonts w:hint="default" w:ascii="Times New Roman" w:hAnsi="Times New Roman" w:eastAsia="宋体" w:cs="Times New Roman"/>
                <w:color w:val="auto"/>
                <w:sz w:val="24"/>
                <w:szCs w:val="24"/>
                <w:highlight w:val="none"/>
                <w:lang w:val="en-US" w:eastAsia="zh-CN"/>
              </w:rPr>
              <w:t>本项目</w:t>
            </w:r>
            <w:r>
              <w:rPr>
                <w:rFonts w:hint="default" w:ascii="Times New Roman" w:hAnsi="Times New Roman" w:eastAsia="宋体" w:cs="Times New Roman"/>
                <w:color w:val="auto"/>
                <w:sz w:val="24"/>
                <w:szCs w:val="24"/>
                <w:highlight w:val="none"/>
              </w:rPr>
              <w:t>噪声主要来源于</w:t>
            </w:r>
            <w:r>
              <w:rPr>
                <w:rFonts w:hint="eastAsia" w:cs="Times New Roman"/>
                <w:color w:val="auto"/>
                <w:sz w:val="24"/>
                <w:szCs w:val="24"/>
                <w:highlight w:val="none"/>
                <w:lang w:val="en-US" w:eastAsia="zh-CN"/>
              </w:rPr>
              <w:t>生产</w:t>
            </w:r>
            <w:r>
              <w:rPr>
                <w:rFonts w:hint="default" w:ascii="Times New Roman" w:hAnsi="Times New Roman" w:eastAsia="宋体" w:cs="Times New Roman"/>
                <w:color w:val="auto"/>
                <w:sz w:val="24"/>
                <w:szCs w:val="24"/>
                <w:highlight w:val="none"/>
              </w:rPr>
              <w:t>设备</w:t>
            </w:r>
            <w:r>
              <w:rPr>
                <w:rFonts w:hint="eastAsia" w:cs="Times New Roman"/>
                <w:color w:val="auto"/>
                <w:sz w:val="24"/>
                <w:szCs w:val="24"/>
                <w:highlight w:val="none"/>
                <w:lang w:eastAsia="zh-CN"/>
              </w:rPr>
              <w:t>、</w:t>
            </w:r>
            <w:r>
              <w:rPr>
                <w:rFonts w:hint="eastAsia" w:cs="Times New Roman"/>
                <w:color w:val="auto"/>
                <w:sz w:val="24"/>
                <w:szCs w:val="24"/>
                <w:highlight w:val="none"/>
                <w:lang w:val="en-US" w:eastAsia="zh-CN"/>
              </w:rPr>
              <w:t>风机、泵</w:t>
            </w:r>
            <w:r>
              <w:rPr>
                <w:rFonts w:hint="default" w:ascii="Times New Roman" w:hAnsi="Times New Roman" w:eastAsia="宋体" w:cs="Times New Roman"/>
                <w:color w:val="auto"/>
                <w:sz w:val="24"/>
                <w:szCs w:val="24"/>
                <w:highlight w:val="none"/>
              </w:rPr>
              <w:t>等机械设备，其噪声值范围约为</w:t>
            </w:r>
            <w:r>
              <w:rPr>
                <w:rFonts w:hint="eastAsia" w:cs="Times New Roman"/>
                <w:color w:val="auto"/>
                <w:sz w:val="24"/>
                <w:szCs w:val="24"/>
                <w:highlight w:val="none"/>
                <w:lang w:val="en-US" w:eastAsia="zh-CN"/>
              </w:rPr>
              <w:t>60</w:t>
            </w:r>
            <w:r>
              <w:rPr>
                <w:rFonts w:hint="default" w:ascii="Times New Roman" w:hAnsi="Times New Roman" w:eastAsia="宋体" w:cs="Times New Roman"/>
                <w:color w:val="auto"/>
                <w:sz w:val="24"/>
                <w:szCs w:val="24"/>
                <w:highlight w:val="none"/>
              </w:rPr>
              <w:t>~</w:t>
            </w:r>
            <w:r>
              <w:rPr>
                <w:rFonts w:hint="eastAsia" w:cs="Times New Roman"/>
                <w:color w:val="auto"/>
                <w:sz w:val="24"/>
                <w:szCs w:val="24"/>
                <w:highlight w:val="none"/>
                <w:lang w:val="en-US" w:eastAsia="zh-CN"/>
              </w:rPr>
              <w:t>9</w:t>
            </w:r>
            <w:r>
              <w:rPr>
                <w:rFonts w:hint="default" w:ascii="Times New Roman" w:hAnsi="Times New Roman" w:eastAsia="宋体" w:cs="Times New Roman"/>
                <w:color w:val="auto"/>
                <w:sz w:val="24"/>
                <w:szCs w:val="24"/>
                <w:highlight w:val="none"/>
              </w:rPr>
              <w:t>0dB(A) ，通过选用符合我国机械设备噪声标准的设备并采用隔声、减振等降噪措施后，一般可降噪10-2</w:t>
            </w:r>
            <w:r>
              <w:rPr>
                <w:rFonts w:hint="default" w:ascii="Times New Roman" w:hAnsi="Times New Roman" w:eastAsia="宋体" w:cs="Times New Roman"/>
                <w:color w:val="auto"/>
                <w:sz w:val="24"/>
                <w:szCs w:val="24"/>
                <w:highlight w:val="none"/>
                <w:lang w:val="en-US" w:eastAsia="zh-CN"/>
              </w:rPr>
              <w:t>0</w:t>
            </w:r>
            <w:r>
              <w:rPr>
                <w:rFonts w:hint="default" w:ascii="Times New Roman" w:hAnsi="Times New Roman" w:eastAsia="宋体" w:cs="Times New Roman"/>
                <w:color w:val="auto"/>
                <w:sz w:val="24"/>
                <w:szCs w:val="24"/>
                <w:highlight w:val="none"/>
              </w:rPr>
              <w:t>dB(A) 。</w:t>
            </w:r>
          </w:p>
          <w:p w14:paraId="776B97F5">
            <w:pPr>
              <w:keepNext w:val="0"/>
              <w:keepLines w:val="0"/>
              <w:widowControl w:val="0"/>
              <w:suppressLineNumbers w:val="0"/>
              <w:kinsoku/>
              <w:overflowPunct w:val="0"/>
              <w:topLinePunct/>
              <w:autoSpaceDN/>
              <w:spacing w:before="0" w:beforeAutospacing="0" w:after="0" w:afterAutospacing="0" w:line="360" w:lineRule="auto"/>
              <w:ind w:left="0" w:right="0" w:firstLine="480" w:firstLineChars="200"/>
              <w:textAlignment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highlight w:val="none"/>
                <w:lang w:val="en-US" w:eastAsia="zh-CN"/>
              </w:rPr>
              <w:t>本项目主要噪声源均位于室内，污水处理站水泵均为潜水泵（不纳入噪声源强调查清单中），</w:t>
            </w:r>
            <w:r>
              <w:rPr>
                <w:rFonts w:hint="default" w:ascii="Times New Roman" w:hAnsi="Times New Roman" w:eastAsia="宋体" w:cs="Times New Roman"/>
                <w:color w:val="auto"/>
                <w:sz w:val="24"/>
                <w:highlight w:val="none"/>
              </w:rPr>
              <w:t>本项目</w:t>
            </w:r>
            <w:r>
              <w:rPr>
                <w:rFonts w:hint="eastAsia" w:cs="Times New Roman"/>
                <w:color w:val="auto"/>
                <w:sz w:val="24"/>
                <w:highlight w:val="none"/>
                <w:lang w:val="en-US" w:eastAsia="zh-CN"/>
              </w:rPr>
              <w:t>噪声源强详见下表。</w:t>
            </w:r>
          </w:p>
          <w:p w14:paraId="02D4F02F">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color w:val="auto"/>
                <w:sz w:val="24"/>
                <w:highlight w:val="yellow"/>
              </w:rPr>
            </w:pPr>
            <w:r>
              <w:rPr>
                <w:rFonts w:hint="default" w:ascii="Times New Roman" w:hAnsi="Times New Roman" w:eastAsia="宋体" w:cs="Times New Roman"/>
                <w:b/>
                <w:color w:val="auto"/>
                <w:sz w:val="21"/>
                <w:szCs w:val="21"/>
                <w:highlight w:val="none"/>
              </w:rPr>
              <w:t>表4-1</w:t>
            </w:r>
            <w:r>
              <w:rPr>
                <w:rFonts w:hint="eastAsia" w:cs="Times New Roman"/>
                <w:b/>
                <w:color w:val="auto"/>
                <w:sz w:val="21"/>
                <w:szCs w:val="21"/>
                <w:highlight w:val="none"/>
                <w:lang w:val="en-US" w:eastAsia="zh-CN"/>
              </w:rPr>
              <w:t>5</w:t>
            </w:r>
            <w:r>
              <w:rPr>
                <w:rFonts w:hint="default" w:ascii="Times New Roman" w:hAnsi="Times New Roman" w:eastAsia="宋体" w:cs="Times New Roman"/>
                <w:b/>
                <w:color w:val="auto"/>
                <w:sz w:val="21"/>
                <w:szCs w:val="21"/>
                <w:highlight w:val="none"/>
              </w:rPr>
              <w:t xml:space="preserve">   项目噪声产生源强表</w:t>
            </w:r>
          </w:p>
          <w:tbl>
            <w:tblPr>
              <w:tblStyle w:val="28"/>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45"/>
              <w:gridCol w:w="345"/>
              <w:gridCol w:w="473"/>
              <w:gridCol w:w="346"/>
              <w:gridCol w:w="589"/>
              <w:gridCol w:w="589"/>
              <w:gridCol w:w="359"/>
              <w:gridCol w:w="474"/>
              <w:gridCol w:w="453"/>
              <w:gridCol w:w="453"/>
              <w:gridCol w:w="302"/>
              <w:gridCol w:w="345"/>
              <w:gridCol w:w="570"/>
              <w:gridCol w:w="568"/>
              <w:gridCol w:w="538"/>
              <w:gridCol w:w="589"/>
              <w:gridCol w:w="589"/>
              <w:gridCol w:w="582"/>
            </w:tblGrid>
            <w:tr w14:paraId="2072CC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9E0E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序号</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3D4DF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建筑物名称</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3FD80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声源名称</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D67B6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数量</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E9426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单个声压级/dB(A)</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6C24D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叠加声压级/dB(A)</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F1A89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距声源距离/</w:t>
                  </w:r>
                  <w:r>
                    <w:rPr>
                      <w:rStyle w:val="114"/>
                      <w:rFonts w:hint="default" w:ascii="Times New Roman" w:hAnsi="Times New Roman" w:eastAsia="宋体" w:cs="Times New Roman"/>
                      <w:sz w:val="16"/>
                      <w:szCs w:val="16"/>
                      <w:lang w:val="en-US" w:eastAsia="zh-CN" w:bidi="ar"/>
                    </w:rPr>
                    <w:t>m</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5A87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声源控制措施</w:t>
                  </w:r>
                </w:p>
              </w:tc>
              <w:tc>
                <w:tcPr>
                  <w:tcW w:w="88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EE21E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空间相对位置/m</w:t>
                  </w:r>
                </w:p>
              </w:tc>
              <w:tc>
                <w:tcPr>
                  <w:tcW w:w="51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50683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距室内边界距离/m</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8636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室内边界声级/dB（A）</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A4C6B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年运行时间</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BBBC3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建筑物插入损失</w:t>
                  </w:r>
                  <w:r>
                    <w:rPr>
                      <w:rStyle w:val="114"/>
                      <w:rFonts w:hint="default" w:ascii="Times New Roman" w:hAnsi="Times New Roman" w:eastAsia="宋体" w:cs="Times New Roman"/>
                      <w:sz w:val="16"/>
                      <w:szCs w:val="16"/>
                      <w:lang w:val="en-US" w:eastAsia="zh-CN" w:bidi="ar"/>
                    </w:rPr>
                    <w:t>/dB(A)</w:t>
                  </w:r>
                </w:p>
              </w:tc>
              <w:tc>
                <w:tcPr>
                  <w:tcW w:w="59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E87C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建筑物外噪声</w:t>
                  </w:r>
                </w:p>
              </w:tc>
            </w:tr>
            <w:tr w14:paraId="32B39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0761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C5FF3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E013C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F8680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9BC32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35510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E9E1B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20810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CD6E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X</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28C0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Y</w:t>
                  </w: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70FD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Z</w:t>
                  </w:r>
                </w:p>
              </w:tc>
              <w:tc>
                <w:tcPr>
                  <w:tcW w:w="51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6A47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A71CC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4BBC5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A810F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D1E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声压级</w:t>
                  </w:r>
                  <w:r>
                    <w:rPr>
                      <w:rStyle w:val="114"/>
                      <w:rFonts w:hint="default" w:ascii="Times New Roman" w:hAnsi="Times New Roman" w:eastAsia="宋体" w:cs="Times New Roman"/>
                      <w:sz w:val="16"/>
                      <w:szCs w:val="16"/>
                      <w:lang w:val="en-US" w:eastAsia="zh-CN" w:bidi="ar"/>
                    </w:rPr>
                    <w:t>/dB(A)</w:t>
                  </w: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4599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建筑物外距离（m）</w:t>
                  </w:r>
                </w:p>
              </w:tc>
            </w:tr>
            <w:tr w14:paraId="5583EA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85DEE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4FD6F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1#厂房</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A7CB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干菜加工设备</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C7346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4396F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70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195E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70</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691A5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DC824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355CC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-50</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9FEB3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2077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532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A02C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35.00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81A6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52.13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037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320h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84722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3DA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26.13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729E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428EB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676B9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CA28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2BF64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D5545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911A6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F8D61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7C545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0C453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D9A8D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F10F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D8E97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2426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84E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0B73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52.28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7AC6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FD07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3EB6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26.28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128F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448675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6A03D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4ECE1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DEDC2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2A6B9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45120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B5DB7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EBAC4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572B3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339B3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5E5CB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48A4D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971D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E1C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20.00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FD6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52.16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8F12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A8241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403E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26.16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10A1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23FA94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2A34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8B352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C054F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022CF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8E568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3D45D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C2B8B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9B089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488EC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3262A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4D6C3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B2C7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8B6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1D2D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55.58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BC20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452AF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2603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29.58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41E9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5465F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67EEB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EE6D0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restart"/>
                  <w:tcBorders>
                    <w:top w:val="nil"/>
                    <w:left w:val="nil"/>
                    <w:bottom w:val="nil"/>
                    <w:right w:val="nil"/>
                  </w:tcBorders>
                  <w:shd w:val="clear" w:color="auto" w:fill="auto"/>
                  <w:vAlign w:val="center"/>
                </w:tcPr>
                <w:p w14:paraId="3B89B58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浸泡清洗一体机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022ED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42ED1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70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35B04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70</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B2592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D307B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BDFF5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-46</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96CDB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2130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A9B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495F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3550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52.12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A14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C3B72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D01B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26.12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B6C4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1EEECC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3C65C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E7746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7BD298D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DDE3C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A70B7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C518F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2F061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17C2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DD21C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3F6B2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7E8A6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5BA9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DBDB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4812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53.27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8371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4C39C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17C8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27.27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E0A8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32A608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AAA28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AF33B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61D72D9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0EA27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4AB83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12ED0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E56CD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2E76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C6086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3D55F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F02AE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A5A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389D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80.00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B603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52.11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BC48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5D343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6867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26.11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9952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6EC1C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FF29E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3FE2B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5EFB591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B1664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CF3CD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0534C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C879D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4E1CB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EF1D2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9C240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AC094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A130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1B34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E8E8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52.28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C706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5219C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7193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26.28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2644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48FDF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871C5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1CD2B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restart"/>
                  <w:tcBorders>
                    <w:top w:val="nil"/>
                    <w:left w:val="nil"/>
                    <w:bottom w:val="nil"/>
                    <w:right w:val="nil"/>
                  </w:tcBorders>
                  <w:shd w:val="clear" w:color="auto" w:fill="auto"/>
                  <w:vAlign w:val="center"/>
                </w:tcPr>
                <w:p w14:paraId="7B18248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甩干机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6522B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67B32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70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77A23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70</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09515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8E5BC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90B3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-47</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4C303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DE72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ABCC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93FE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97EC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52.12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D9B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11F2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780F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26.12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5DD3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3AE0D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ABDE6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437C3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2F41B07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AA9DC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3DFFB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DD007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9BD77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F705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9DAC5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4883D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1598A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CA38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C2B9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C7C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53.27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BA79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C5334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051D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27.27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6CBD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6D7B06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49C2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98FE3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1EE0C51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218D6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C0E8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DD131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3FB75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492FC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61F74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1CBBD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248B7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6497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214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79.00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5F88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52.11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99CB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2A0C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807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26.11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BA3F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32FD0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8D2A1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CF829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70ED0D7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677CE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8EFB5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8FB20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0CBDE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6C54E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AF82C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1B980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3C281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C2B9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714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0E7A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52.28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1350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EEC4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BC1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26.28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248C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2F85D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C518C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4</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E39D5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restart"/>
                  <w:tcBorders>
                    <w:top w:val="nil"/>
                    <w:left w:val="nil"/>
                    <w:bottom w:val="nil"/>
                    <w:right w:val="nil"/>
                  </w:tcBorders>
                  <w:shd w:val="clear" w:color="auto" w:fill="auto"/>
                  <w:vAlign w:val="center"/>
                </w:tcPr>
                <w:p w14:paraId="02647D1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搅拌机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490CB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B5B34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70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486E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70</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6E0F2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A5E78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AD60D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-48</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8DFAD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0FB9B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59FD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A70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42.00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72E7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52.12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DC78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5C76F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B1D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26.12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47FD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5E1681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AEE79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AE7B5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759ACF4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97221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DD8F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590C3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23203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66750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DE248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BF013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DADDF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1C75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2B87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F2DE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53.27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F72F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4E00F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F7C5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27.27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63F2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6F16C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44994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C4733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4D9A1D5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DC675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043ED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DD7D5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8F744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5B862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99E5D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EAC39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4CEED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5CB9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16DC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78.00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3B46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52.11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7924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D5A51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E817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26.11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72C3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1D303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2E815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D5D42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476D2DB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7908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A9B66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EDA60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0FE1A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FD62A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85F3A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02316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9F973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1A0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6564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196E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52.28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FA65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C789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3CDE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26.28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992F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790D5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4A722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5</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37C47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restart"/>
                  <w:tcBorders>
                    <w:top w:val="nil"/>
                    <w:left w:val="nil"/>
                    <w:bottom w:val="nil"/>
                    <w:right w:val="nil"/>
                  </w:tcBorders>
                  <w:shd w:val="clear" w:color="auto" w:fill="auto"/>
                  <w:vAlign w:val="center"/>
                </w:tcPr>
                <w:p w14:paraId="1D392D7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消毒杀菌干燥一体化设备</w:t>
                  </w:r>
                </w:p>
              </w:tc>
              <w:tc>
                <w:tcPr>
                  <w:tcW w:w="221" w:type="pct"/>
                  <w:vMerge w:val="restart"/>
                  <w:tcBorders>
                    <w:top w:val="nil"/>
                    <w:left w:val="single" w:color="000000" w:sz="4" w:space="0"/>
                    <w:bottom w:val="single" w:color="000000" w:sz="4" w:space="0"/>
                    <w:right w:val="single" w:color="000000" w:sz="4" w:space="0"/>
                  </w:tcBorders>
                  <w:shd w:val="clear" w:color="auto" w:fill="auto"/>
                  <w:vAlign w:val="center"/>
                </w:tcPr>
                <w:p w14:paraId="0459ED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09F55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70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705ED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70</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9D675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A544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518F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-54</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C909B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A22D0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513E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313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94.00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75C9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52.11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753B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28D1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480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26.11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383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131C5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930AD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B5A0F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3E840C8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nil"/>
                    <w:left w:val="single" w:color="000000" w:sz="4" w:space="0"/>
                    <w:bottom w:val="single" w:color="000000" w:sz="4" w:space="0"/>
                    <w:right w:val="single" w:color="000000" w:sz="4" w:space="0"/>
                  </w:tcBorders>
                  <w:shd w:val="clear" w:color="auto" w:fill="auto"/>
                  <w:vAlign w:val="center"/>
                </w:tcPr>
                <w:p w14:paraId="562BFE7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D6036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75CF7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C8CD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31BB6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C2EB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9FB62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0D50E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5C32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2C51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C415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53.27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6D3E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BF562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0711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27.27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510D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6D4022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99335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FD4C9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4BCE87F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nil"/>
                    <w:left w:val="single" w:color="000000" w:sz="4" w:space="0"/>
                    <w:bottom w:val="single" w:color="000000" w:sz="4" w:space="0"/>
                    <w:right w:val="single" w:color="000000" w:sz="4" w:space="0"/>
                  </w:tcBorders>
                  <w:shd w:val="clear" w:color="auto" w:fill="auto"/>
                  <w:vAlign w:val="center"/>
                </w:tcPr>
                <w:p w14:paraId="0151E68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F7253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D6AFA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CEFC0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91B3E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66DE4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FE814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AC946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4BA9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D3DA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10.00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1A8C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52.32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0FA2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EDEE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F6CD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26.32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526E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3174D0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26396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B8FCC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nil"/>
                    <w:left w:val="nil"/>
                    <w:bottom w:val="nil"/>
                    <w:right w:val="nil"/>
                  </w:tcBorders>
                  <w:shd w:val="clear" w:color="auto" w:fill="auto"/>
                  <w:vAlign w:val="center"/>
                </w:tcPr>
                <w:p w14:paraId="4F36626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nil"/>
                    <w:left w:val="single" w:color="000000" w:sz="4" w:space="0"/>
                    <w:bottom w:val="single" w:color="000000" w:sz="4" w:space="0"/>
                    <w:right w:val="single" w:color="000000" w:sz="4" w:space="0"/>
                  </w:tcBorders>
                  <w:shd w:val="clear" w:color="auto" w:fill="auto"/>
                  <w:vAlign w:val="center"/>
                </w:tcPr>
                <w:p w14:paraId="52FBE37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799A5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E776F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F118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ED2B4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D34A1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CC80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BB791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517D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7E28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4F0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52.28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E64E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E1CD2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7DCB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26.28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4F83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36BBFF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62520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6</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7E4DD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878D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即食黄花菜全自动真空包装机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CF380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87B81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85</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DB81E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85</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23A39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4984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66C9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-49</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4F8E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B80B6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91B5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99F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43.00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04F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67.12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451F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ABED2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2579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41.12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28B4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4182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05C5D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8E7D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7EB9D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BC035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803E8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7DF24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9B755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D6165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453AA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7D05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0C931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E5C9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F56D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A16A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68.27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2559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D4EBF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BBE1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42.27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4AD8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1EA6B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4327E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99CD2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E7A4A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8F25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40BF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277AF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62FB1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0A121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6F33D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84FC8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776C1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FA72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838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73.00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2DF9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67.11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7BDA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ED6CB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E801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41.11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FAA7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46EE8B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8240B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0B99E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81E6D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4F8D0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DA818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A6AEB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54AA5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50433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47401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E22A0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DE377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8707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F0DD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EE1E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67.28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65D6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A1CC0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7E2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41.28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BAE2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28A4B9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D38C0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7</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4125B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A1B78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空压机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27AAC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5009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90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0668D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90</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A0FB4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B3B31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2B809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-49</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6CF4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-6</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4BB68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6AB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6531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43.00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A3AC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72.12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386D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3435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896A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46.12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D08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1670F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A4C6F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E9E18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1CA4D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8A2B1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82B82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37FFC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47557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EA28A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FFA79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8C9FD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E775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50D8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57DC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870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75.58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D01C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C63E9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C195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49.58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444F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24960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24663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96B17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CC8C2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4A92E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82FD5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659B7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EDAF4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1D4AC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CCD03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B1B00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9BB01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4DAB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A8D2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73.00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8F6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72.11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D5E1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5A19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4C3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46.11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D239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5336A8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43DC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88806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A7FDF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F41CB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65CAF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667C2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E51A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4166D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76CB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6159F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8AE96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0287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3C8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14.00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A2FB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72.22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69F4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891D0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4BDE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46.22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32FE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0F2C3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5327D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8</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81AA8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2#厂房</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938BB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盐水渍菜自动清洗线</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2D546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E1AA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70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270D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73.01</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7129F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B1C6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95F8D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-96</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EBFE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-49</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79E5B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4B46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BC58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3.00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D08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60.25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089C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FB92B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4F96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34.25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4EC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165D4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F54E7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125CB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C5DE1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12A12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6FA9E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A2797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129CD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E2D62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10D91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E7F6B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C7D36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93B9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4CAA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EDB1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63.93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FF06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A5892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9A9A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37.93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8C40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286EBB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265A8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6557A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8FA83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A09B0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01C97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2F97C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0B9B7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B368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ADEA6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F5A99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A6149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56D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E92B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5.00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E229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59.76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0FD9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DB0BB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662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33.76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91DC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092BD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93672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06F08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57A75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50D71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950FE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D8191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194B1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D74AF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BF479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B2B83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8FE26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D4C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D0B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18.00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6BF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59.48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172A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592FD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95D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33.48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C99B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3685B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123D5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9</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63AE1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D5557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盐水渍菜包装机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61D4A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7F2F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80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5130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83.01</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1CC64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06503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20581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-111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C1C30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-50</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777EF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5071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3D5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AD46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73.19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3E05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91FDB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8DE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47.19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AD6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31F88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51714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C8B15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D9EA8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D16BA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1578A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0DD29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DAC5D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35D05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A7F84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12FA7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25250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F22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F74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3.00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CC3C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70.25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036C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8DF7C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063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44.25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72A4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72344F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316F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46644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148D7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DFAEA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C1747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F20C7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BA28C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DD6F6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7DCEA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D3F20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0883F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146E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C65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1B54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73.93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97E2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BD348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162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47.93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A95F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6AA8A2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4BA6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86D0B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F9D65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C1343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5FCB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90939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B8EE7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32B3E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60D90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C3078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E0B6B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CFD2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D0B7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18.00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F34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69.48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994A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A618B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5D78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43.48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E57E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3E909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25CA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10</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BCA3E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3#厂房</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CFF8E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盐水渍菜包装机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5F229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DDC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80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408D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83.01</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64995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C0F2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685DF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-18</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91A1C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-27</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74FDA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262F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B737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5.00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EFE9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69.15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B3D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F6714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52616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43.15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7040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161EB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1627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93E23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07322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9C80E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BB06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DFB8F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76028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9D0AD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91FF0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481A9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B9969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D6E9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DD94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5.00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16C3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69.15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0527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13993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7C053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43.15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C5DC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1EAA3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BAADC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95E1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8242D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637ED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0A08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1CC3D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214DE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FF70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6B908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23CE7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B32D9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C912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4C5A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9BC1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68.80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C93F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458E4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2C82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42.80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97F1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251C1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EA762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D7CA4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622F0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E1605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1342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4422D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B5BD5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640EF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C2D94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3E6E1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6C3AB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A22A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38C2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5.00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43F7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69.15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B985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A5E62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700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43.15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4752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493C8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FA077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CC1FE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4#厂房</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201D8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盐水渍菜包装机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EFFD8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A6C5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80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C6CE9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80</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8904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D6178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FA88B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33</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825C6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-10</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778A0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324B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3B5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7.00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B7E2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66.90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2762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FD6A5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185C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40.90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A0FF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0FE2A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81E22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CFE4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16AAB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892A2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A913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041DC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4F4B6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2A005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00C4E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5595E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8C3EF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899D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0BA9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F493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68.27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08BC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CBD33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AACE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42.27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55DA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746D09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637B5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90DE3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D0D78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863A9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E730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6BE23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BB230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8A4FE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E6501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F5684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AF49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6FE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0101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7.00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AE3B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66.90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B962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BC52E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A0F1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40.90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6AB1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756B1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C1F17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E13EC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23681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09D01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7202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4881F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AE990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FA1C9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2445A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6F9DB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D4EE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D865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49C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13.00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BE82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66.79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1707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2BFF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9017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40.79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5B1D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4893A4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2C223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12</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EC0B5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锅炉房</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A27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风机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D55EC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977B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80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42EF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80</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9DBD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CC3A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DCBB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65</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1BE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7</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73D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F983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A2EA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3F6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75.01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1FF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320h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9F474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951D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49.01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419F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32EB86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EC58C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E74D4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9BBD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0D6B1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2A35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0EE0A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2CFD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C768F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F4CC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5AFE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9066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C15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C9DB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5.00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4FA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74.78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FE88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3034F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0432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48.78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80A3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0015F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A4ACA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3FE50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A66B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CBC41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B9C6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93AC7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B596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E271C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6AAC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805C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0E1E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61CF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F04B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56C4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74.80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84A0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1210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03D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48.80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D12D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52553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13E75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C38C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52A6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E3F73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70A5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B2365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2B8F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5CFE4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AF43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57B0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ECBA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7F4D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C251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5.00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6025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74.78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BE86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32644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4D45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48.78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F85D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13F52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7B8B8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13</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89F9A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污水处理站</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02450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风机</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52A81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CFA13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80</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D68B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83.01</w:t>
                  </w:r>
                </w:p>
              </w:tc>
              <w:tc>
                <w:tcPr>
                  <w:tcW w:w="1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5B560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0F1B7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4BC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-52</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3F9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-136</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4046A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135E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8D6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3.00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90D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79.65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132C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2400h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2CA50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E5D8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53.65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5A78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3CC34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CA33E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B8646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9FF06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98B8B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8CF9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5D1BB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37DFC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22BE9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7381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CB26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14557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BDBD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BC89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4.00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21D2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77.69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013D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CEA0D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B943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51.69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1B1A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4F034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1AA5E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56B77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5A0EA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9E5E4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1AA3B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B6714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51DD6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79630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89C8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3298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E577B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130A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6E6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C6EC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78.67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57EC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7B05C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BC8F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52.67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071D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308A8D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AC820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B915C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12EF3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87A2D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E1E56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B849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68810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5280B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6884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D7F1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EDAE8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FB1C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A23B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3.00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AEB5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77.75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C3B4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7611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934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51.75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810D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03B96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983BC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9</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A9A50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冷库设备房</w:t>
                  </w:r>
                </w:p>
              </w:tc>
              <w:tc>
                <w:tcPr>
                  <w:tcW w:w="295" w:type="pct"/>
                  <w:vMerge w:val="restart"/>
                  <w:tcBorders>
                    <w:top w:val="single" w:color="000000" w:sz="4" w:space="0"/>
                    <w:left w:val="single" w:color="000000" w:sz="4" w:space="0"/>
                    <w:bottom w:val="nil"/>
                    <w:right w:val="single" w:color="000000" w:sz="4" w:space="0"/>
                  </w:tcBorders>
                  <w:shd w:val="clear" w:color="auto" w:fill="auto"/>
                  <w:vAlign w:val="center"/>
                </w:tcPr>
                <w:p w14:paraId="24FDE28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泵</w:t>
                  </w:r>
                </w:p>
              </w:tc>
              <w:tc>
                <w:tcPr>
                  <w:tcW w:w="221" w:type="pct"/>
                  <w:vMerge w:val="restart"/>
                  <w:tcBorders>
                    <w:top w:val="single" w:color="000000" w:sz="4" w:space="0"/>
                    <w:left w:val="single" w:color="000000" w:sz="4" w:space="0"/>
                    <w:bottom w:val="nil"/>
                    <w:right w:val="single" w:color="000000" w:sz="4" w:space="0"/>
                  </w:tcBorders>
                  <w:shd w:val="clear" w:color="auto" w:fill="auto"/>
                  <w:vAlign w:val="center"/>
                </w:tcPr>
                <w:p w14:paraId="674839F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6 </w:t>
                  </w:r>
                </w:p>
              </w:tc>
              <w:tc>
                <w:tcPr>
                  <w:tcW w:w="262" w:type="pct"/>
                  <w:vMerge w:val="restart"/>
                  <w:tcBorders>
                    <w:top w:val="single" w:color="000000" w:sz="4" w:space="0"/>
                    <w:left w:val="single" w:color="000000" w:sz="4" w:space="0"/>
                    <w:bottom w:val="nil"/>
                    <w:right w:val="single" w:color="000000" w:sz="4" w:space="0"/>
                  </w:tcBorders>
                  <w:shd w:val="clear" w:color="auto" w:fill="auto"/>
                  <w:vAlign w:val="center"/>
                </w:tcPr>
                <w:p w14:paraId="74A0F8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80 </w:t>
                  </w:r>
                </w:p>
              </w:tc>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E37B8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87.78</w:t>
                  </w:r>
                </w:p>
              </w:tc>
              <w:tc>
                <w:tcPr>
                  <w:tcW w:w="196" w:type="pct"/>
                  <w:vMerge w:val="restart"/>
                  <w:tcBorders>
                    <w:top w:val="single" w:color="000000" w:sz="4" w:space="0"/>
                    <w:left w:val="single" w:color="000000" w:sz="4" w:space="0"/>
                    <w:bottom w:val="nil"/>
                    <w:right w:val="single" w:color="000000" w:sz="4" w:space="0"/>
                  </w:tcBorders>
                  <w:shd w:val="clear" w:color="auto" w:fill="auto"/>
                  <w:vAlign w:val="center"/>
                </w:tcPr>
                <w:p w14:paraId="4BADE10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BA8E5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隔声、减振</w:t>
                  </w:r>
                </w:p>
              </w:tc>
              <w:tc>
                <w:tcPr>
                  <w:tcW w:w="295" w:type="pct"/>
                  <w:vMerge w:val="restart"/>
                  <w:tcBorders>
                    <w:top w:val="single" w:color="000000" w:sz="4" w:space="0"/>
                    <w:left w:val="single" w:color="000000" w:sz="4" w:space="0"/>
                    <w:bottom w:val="nil"/>
                    <w:right w:val="single" w:color="000000" w:sz="4" w:space="0"/>
                  </w:tcBorders>
                  <w:shd w:val="clear" w:color="auto" w:fill="auto"/>
                  <w:vAlign w:val="center"/>
                </w:tcPr>
                <w:p w14:paraId="38C2D4E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-37 </w:t>
                  </w:r>
                </w:p>
              </w:tc>
              <w:tc>
                <w:tcPr>
                  <w:tcW w:w="295" w:type="pct"/>
                  <w:vMerge w:val="restart"/>
                  <w:tcBorders>
                    <w:top w:val="single" w:color="000000" w:sz="4" w:space="0"/>
                    <w:left w:val="single" w:color="000000" w:sz="4" w:space="0"/>
                    <w:bottom w:val="nil"/>
                    <w:right w:val="single" w:color="000000" w:sz="4" w:space="0"/>
                  </w:tcBorders>
                  <w:shd w:val="clear" w:color="auto" w:fill="auto"/>
                  <w:vAlign w:val="center"/>
                </w:tcPr>
                <w:p w14:paraId="65BA43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3 </w:t>
                  </w:r>
                </w:p>
              </w:tc>
              <w:tc>
                <w:tcPr>
                  <w:tcW w:w="296" w:type="pct"/>
                  <w:vMerge w:val="restart"/>
                  <w:tcBorders>
                    <w:top w:val="single" w:color="000000" w:sz="4" w:space="0"/>
                    <w:left w:val="single" w:color="000000" w:sz="4" w:space="0"/>
                    <w:bottom w:val="nil"/>
                    <w:right w:val="single" w:color="000000" w:sz="4" w:space="0"/>
                  </w:tcBorders>
                  <w:shd w:val="clear" w:color="auto" w:fill="auto"/>
                  <w:vAlign w:val="center"/>
                </w:tcPr>
                <w:p w14:paraId="1F7F183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 </w:t>
                  </w: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B24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东</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1D3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BE2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84.00 </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C13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320h</w:t>
                  </w:r>
                </w:p>
              </w:tc>
              <w:tc>
                <w:tcPr>
                  <w:tcW w:w="2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46CF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363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58.00 </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C52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r>
            <w:tr w14:paraId="41D1E4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3BF4F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CCEBC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nil"/>
                    <w:right w:val="single" w:color="000000" w:sz="4" w:space="0"/>
                  </w:tcBorders>
                  <w:shd w:val="clear" w:color="auto" w:fill="auto"/>
                  <w:vAlign w:val="center"/>
                </w:tcPr>
                <w:p w14:paraId="62A4289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nil"/>
                    <w:right w:val="single" w:color="000000" w:sz="4" w:space="0"/>
                  </w:tcBorders>
                  <w:shd w:val="clear" w:color="auto" w:fill="auto"/>
                  <w:vAlign w:val="center"/>
                </w:tcPr>
                <w:p w14:paraId="0241460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nil"/>
                    <w:right w:val="single" w:color="000000" w:sz="4" w:space="0"/>
                  </w:tcBorders>
                  <w:shd w:val="clear" w:color="auto" w:fill="auto"/>
                  <w:vAlign w:val="center"/>
                </w:tcPr>
                <w:p w14:paraId="4E5F920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AF950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nil"/>
                    <w:right w:val="single" w:color="000000" w:sz="4" w:space="0"/>
                  </w:tcBorders>
                  <w:shd w:val="clear" w:color="auto" w:fill="auto"/>
                  <w:vAlign w:val="center"/>
                </w:tcPr>
                <w:p w14:paraId="070DE85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E8906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nil"/>
                    <w:right w:val="single" w:color="000000" w:sz="4" w:space="0"/>
                  </w:tcBorders>
                  <w:shd w:val="clear" w:color="auto" w:fill="auto"/>
                  <w:vAlign w:val="center"/>
                </w:tcPr>
                <w:p w14:paraId="5A48562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nil"/>
                    <w:right w:val="single" w:color="000000" w:sz="4" w:space="0"/>
                  </w:tcBorders>
                  <w:shd w:val="clear" w:color="auto" w:fill="auto"/>
                  <w:vAlign w:val="center"/>
                </w:tcPr>
                <w:p w14:paraId="0214F7F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nil"/>
                    <w:right w:val="single" w:color="000000" w:sz="4" w:space="0"/>
                  </w:tcBorders>
                  <w:shd w:val="clear" w:color="auto" w:fill="auto"/>
                  <w:vAlign w:val="center"/>
                </w:tcPr>
                <w:p w14:paraId="3B12120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B7F0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735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AF6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84.00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BDCD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1B5F9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162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58.00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C98E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751B3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E9BD9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456B1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nil"/>
                    <w:right w:val="single" w:color="000000" w:sz="4" w:space="0"/>
                  </w:tcBorders>
                  <w:shd w:val="clear" w:color="auto" w:fill="auto"/>
                  <w:vAlign w:val="center"/>
                </w:tcPr>
                <w:p w14:paraId="71EA986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nil"/>
                    <w:right w:val="single" w:color="000000" w:sz="4" w:space="0"/>
                  </w:tcBorders>
                  <w:shd w:val="clear" w:color="auto" w:fill="auto"/>
                  <w:vAlign w:val="center"/>
                </w:tcPr>
                <w:p w14:paraId="40B92BF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nil"/>
                    <w:right w:val="single" w:color="000000" w:sz="4" w:space="0"/>
                  </w:tcBorders>
                  <w:shd w:val="clear" w:color="auto" w:fill="auto"/>
                  <w:vAlign w:val="center"/>
                </w:tcPr>
                <w:p w14:paraId="76A3490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1A59D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nil"/>
                    <w:right w:val="single" w:color="000000" w:sz="4" w:space="0"/>
                  </w:tcBorders>
                  <w:shd w:val="clear" w:color="auto" w:fill="auto"/>
                  <w:vAlign w:val="center"/>
                </w:tcPr>
                <w:p w14:paraId="763F03F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74E2B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nil"/>
                    <w:right w:val="single" w:color="000000" w:sz="4" w:space="0"/>
                  </w:tcBorders>
                  <w:shd w:val="clear" w:color="auto" w:fill="auto"/>
                  <w:vAlign w:val="center"/>
                </w:tcPr>
                <w:p w14:paraId="275538F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nil"/>
                    <w:right w:val="single" w:color="000000" w:sz="4" w:space="0"/>
                  </w:tcBorders>
                  <w:shd w:val="clear" w:color="auto" w:fill="auto"/>
                  <w:vAlign w:val="center"/>
                </w:tcPr>
                <w:p w14:paraId="181C191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nil"/>
                    <w:right w:val="single" w:color="000000" w:sz="4" w:space="0"/>
                  </w:tcBorders>
                  <w:shd w:val="clear" w:color="auto" w:fill="auto"/>
                  <w:vAlign w:val="center"/>
                </w:tcPr>
                <w:p w14:paraId="044846F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40CE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西</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E3F0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100.00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72AA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83.79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DDDF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14F01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98E8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57.79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EFA8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311E3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8FB98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54973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nil"/>
                    <w:right w:val="single" w:color="000000" w:sz="4" w:space="0"/>
                  </w:tcBorders>
                  <w:shd w:val="clear" w:color="auto" w:fill="auto"/>
                  <w:vAlign w:val="center"/>
                </w:tcPr>
                <w:p w14:paraId="792E172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21" w:type="pct"/>
                  <w:vMerge w:val="continue"/>
                  <w:tcBorders>
                    <w:top w:val="single" w:color="000000" w:sz="4" w:space="0"/>
                    <w:left w:val="single" w:color="000000" w:sz="4" w:space="0"/>
                    <w:bottom w:val="nil"/>
                    <w:right w:val="single" w:color="000000" w:sz="4" w:space="0"/>
                  </w:tcBorders>
                  <w:shd w:val="clear" w:color="auto" w:fill="auto"/>
                  <w:vAlign w:val="center"/>
                </w:tcPr>
                <w:p w14:paraId="08401B8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62" w:type="pct"/>
                  <w:vMerge w:val="continue"/>
                  <w:tcBorders>
                    <w:top w:val="single" w:color="000000" w:sz="4" w:space="0"/>
                    <w:left w:val="single" w:color="000000" w:sz="4" w:space="0"/>
                    <w:bottom w:val="nil"/>
                    <w:right w:val="single" w:color="000000" w:sz="4" w:space="0"/>
                  </w:tcBorders>
                  <w:shd w:val="clear" w:color="auto" w:fill="auto"/>
                  <w:vAlign w:val="center"/>
                </w:tcPr>
                <w:p w14:paraId="58067C17">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A5342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i w:val="0"/>
                      <w:iCs w:val="0"/>
                      <w:color w:val="000000"/>
                      <w:sz w:val="16"/>
                      <w:szCs w:val="16"/>
                      <w:u w:val="none"/>
                    </w:rPr>
                  </w:pPr>
                </w:p>
              </w:tc>
              <w:tc>
                <w:tcPr>
                  <w:tcW w:w="196" w:type="pct"/>
                  <w:vMerge w:val="continue"/>
                  <w:tcBorders>
                    <w:top w:val="single" w:color="000000" w:sz="4" w:space="0"/>
                    <w:left w:val="single" w:color="000000" w:sz="4" w:space="0"/>
                    <w:bottom w:val="nil"/>
                    <w:right w:val="single" w:color="000000" w:sz="4" w:space="0"/>
                  </w:tcBorders>
                  <w:shd w:val="clear" w:color="auto" w:fill="auto"/>
                  <w:vAlign w:val="center"/>
                </w:tcPr>
                <w:p w14:paraId="4F3F864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DBB57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nil"/>
                    <w:right w:val="single" w:color="000000" w:sz="4" w:space="0"/>
                  </w:tcBorders>
                  <w:shd w:val="clear" w:color="auto" w:fill="auto"/>
                  <w:vAlign w:val="center"/>
                </w:tcPr>
                <w:p w14:paraId="27E0E15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nil"/>
                    <w:right w:val="single" w:color="000000" w:sz="4" w:space="0"/>
                  </w:tcBorders>
                  <w:shd w:val="clear" w:color="auto" w:fill="auto"/>
                  <w:vAlign w:val="center"/>
                </w:tcPr>
                <w:p w14:paraId="3D8B74B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6" w:type="pct"/>
                  <w:vMerge w:val="continue"/>
                  <w:tcBorders>
                    <w:top w:val="single" w:color="000000" w:sz="4" w:space="0"/>
                    <w:left w:val="single" w:color="000000" w:sz="4" w:space="0"/>
                    <w:bottom w:val="nil"/>
                    <w:right w:val="single" w:color="000000" w:sz="4" w:space="0"/>
                  </w:tcBorders>
                  <w:shd w:val="clear" w:color="auto" w:fill="auto"/>
                  <w:vAlign w:val="center"/>
                </w:tcPr>
                <w:p w14:paraId="199FBDA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491B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北</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8DDB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2.00 </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0921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84.00 </w:t>
                  </w: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41C5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E44F1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CB1F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58.00 </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26D2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000000"/>
                      <w:sz w:val="16"/>
                      <w:szCs w:val="16"/>
                      <w:u w:val="none"/>
                    </w:rPr>
                  </w:pPr>
                </w:p>
              </w:tc>
            </w:tr>
            <w:tr w14:paraId="262A2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5000" w:type="pct"/>
                  <w:gridSpan w:val="18"/>
                  <w:tcBorders>
                    <w:top w:val="single" w:color="000000" w:sz="4" w:space="0"/>
                    <w:left w:val="single" w:color="000000" w:sz="4" w:space="0"/>
                    <w:bottom w:val="single" w:color="000000" w:sz="4" w:space="0"/>
                    <w:right w:val="single" w:color="000000" w:sz="4" w:space="0"/>
                  </w:tcBorders>
                  <w:shd w:val="clear" w:color="auto" w:fill="auto"/>
                  <w:vAlign w:val="center"/>
                </w:tcPr>
                <w:p w14:paraId="72E705A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表中坐标以厂界中心为坐标原点，正东向为X轴正方向，正北向为Y轴正方向。</w:t>
                  </w:r>
                </w:p>
              </w:tc>
            </w:tr>
          </w:tbl>
          <w:p w14:paraId="262A3DB4">
            <w:pPr>
              <w:keepNext w:val="0"/>
              <w:keepLines w:val="0"/>
              <w:suppressLineNumbers w:val="0"/>
              <w:tabs>
                <w:tab w:val="left" w:pos="420"/>
                <w:tab w:val="left" w:pos="630"/>
              </w:tabs>
              <w:spacing w:before="0" w:beforeAutospacing="0" w:after="0" w:afterAutospacing="0"/>
              <w:ind w:left="0" w:right="0"/>
              <w:jc w:val="center"/>
              <w:rPr>
                <w:rFonts w:hint="default" w:ascii="Times New Roman" w:hAnsi="Times New Roman" w:eastAsia="宋体" w:cs="Times New Roman"/>
                <w:b/>
                <w:color w:val="auto"/>
                <w:sz w:val="24"/>
                <w:highlight w:val="yellow"/>
                <w:lang w:val="en-US" w:eastAsia="zh-CN"/>
              </w:rPr>
            </w:pPr>
          </w:p>
          <w:p w14:paraId="598E2075">
            <w:pPr>
              <w:pStyle w:val="18"/>
              <w:keepNext w:val="0"/>
              <w:keepLines w:val="0"/>
              <w:suppressLineNumbers w:val="0"/>
              <w:spacing w:before="0" w:beforeAutospacing="0" w:after="0" w:afterAutospacing="0" w:line="360" w:lineRule="auto"/>
              <w:ind w:left="0" w:leftChars="0" w:right="0" w:firstLine="480" w:firstLineChars="200"/>
              <w:rPr>
                <w:rFonts w:hint="default" w:ascii="Times New Roman" w:hAnsi="Times New Roman" w:eastAsia="宋体" w:cs="Times New Roman"/>
                <w:color w:val="auto"/>
                <w:kern w:val="0"/>
                <w:sz w:val="24"/>
                <w:highlight w:val="none"/>
                <w:u w:val="none" w:color="auto"/>
                <w:lang w:val="en-US" w:eastAsia="zh-CN"/>
              </w:rPr>
            </w:pPr>
            <w:r>
              <w:rPr>
                <w:rFonts w:hint="default" w:ascii="Times New Roman" w:hAnsi="Times New Roman" w:eastAsia="宋体" w:cs="Times New Roman"/>
                <w:color w:val="auto"/>
                <w:kern w:val="0"/>
                <w:sz w:val="24"/>
                <w:highlight w:val="none"/>
                <w:u w:val="none" w:color="auto"/>
                <w:lang w:val="en-US" w:eastAsia="zh-CN"/>
              </w:rPr>
              <w:t>针对不同类别的噪声，</w:t>
            </w:r>
            <w:r>
              <w:rPr>
                <w:rFonts w:hint="eastAsia" w:ascii="Times New Roman" w:hAnsi="Times New Roman" w:eastAsia="宋体" w:cs="Times New Roman"/>
                <w:color w:val="auto"/>
                <w:kern w:val="0"/>
                <w:sz w:val="24"/>
                <w:highlight w:val="none"/>
                <w:u w:val="none" w:color="auto"/>
                <w:lang w:val="en-US" w:eastAsia="zh-CN"/>
              </w:rPr>
              <w:t>项目</w:t>
            </w:r>
            <w:r>
              <w:rPr>
                <w:rFonts w:hint="default" w:ascii="Times New Roman" w:hAnsi="Times New Roman" w:eastAsia="宋体" w:cs="Times New Roman"/>
                <w:color w:val="auto"/>
                <w:kern w:val="0"/>
                <w:sz w:val="24"/>
                <w:highlight w:val="none"/>
                <w:u w:val="none" w:color="auto"/>
                <w:lang w:val="en-US" w:eastAsia="zh-CN"/>
              </w:rPr>
              <w:t>采取以下措施：</w:t>
            </w:r>
          </w:p>
          <w:p w14:paraId="4F0D6AF4">
            <w:pPr>
              <w:pStyle w:val="18"/>
              <w:keepNext w:val="0"/>
              <w:keepLines w:val="0"/>
              <w:suppressLineNumbers w:val="0"/>
              <w:spacing w:before="0" w:beforeAutospacing="0" w:after="0" w:afterAutospacing="0" w:line="360" w:lineRule="auto"/>
              <w:ind w:left="0" w:leftChars="0" w:right="0" w:firstLine="480" w:firstLineChars="200"/>
              <w:rPr>
                <w:rFonts w:hint="default" w:ascii="Times New Roman" w:hAnsi="Times New Roman" w:eastAsia="宋体" w:cs="Times New Roman"/>
                <w:color w:val="auto"/>
                <w:kern w:val="0"/>
                <w:sz w:val="24"/>
                <w:highlight w:val="none"/>
                <w:u w:val="none" w:color="auto"/>
                <w:lang w:val="en-US" w:eastAsia="zh-CN"/>
              </w:rPr>
            </w:pPr>
            <w:r>
              <w:rPr>
                <w:rFonts w:hint="eastAsia" w:ascii="宋体" w:hAnsi="宋体" w:eastAsia="宋体" w:cs="宋体"/>
                <w:color w:val="auto"/>
                <w:kern w:val="0"/>
                <w:sz w:val="24"/>
                <w:highlight w:val="none"/>
                <w:u w:val="none" w:color="auto"/>
                <w:lang w:val="en-US" w:eastAsia="zh-CN"/>
              </w:rPr>
              <w:t>①</w:t>
            </w:r>
            <w:r>
              <w:rPr>
                <w:rFonts w:hint="default" w:ascii="Times New Roman" w:hAnsi="Times New Roman" w:eastAsia="宋体" w:cs="Times New Roman"/>
                <w:color w:val="auto"/>
                <w:kern w:val="0"/>
                <w:sz w:val="24"/>
                <w:highlight w:val="none"/>
                <w:u w:val="none" w:color="auto"/>
                <w:lang w:val="en-US" w:eastAsia="zh-CN"/>
              </w:rPr>
              <w:t>首先考虑选用低噪声设备，并按照工业设备安装的有关规范进行安装，在源头上控制噪声污染；</w:t>
            </w:r>
          </w:p>
          <w:p w14:paraId="7D697636">
            <w:pPr>
              <w:pStyle w:val="18"/>
              <w:keepNext w:val="0"/>
              <w:keepLines w:val="0"/>
              <w:suppressLineNumbers w:val="0"/>
              <w:spacing w:before="0" w:beforeAutospacing="0" w:after="0" w:afterAutospacing="0" w:line="360" w:lineRule="auto"/>
              <w:ind w:left="0" w:leftChars="0" w:right="0" w:firstLine="480" w:firstLineChars="200"/>
              <w:rPr>
                <w:rFonts w:hint="default" w:ascii="Times New Roman" w:hAnsi="Times New Roman" w:eastAsia="宋体" w:cs="Times New Roman"/>
                <w:color w:val="auto"/>
                <w:kern w:val="0"/>
                <w:sz w:val="24"/>
                <w:highlight w:val="none"/>
                <w:u w:val="none" w:color="auto"/>
                <w:lang w:val="en-US" w:eastAsia="zh-CN"/>
              </w:rPr>
            </w:pPr>
            <w:r>
              <w:rPr>
                <w:rFonts w:hint="eastAsia" w:ascii="宋体" w:hAnsi="宋体" w:eastAsia="宋体" w:cs="宋体"/>
                <w:color w:val="auto"/>
                <w:kern w:val="0"/>
                <w:sz w:val="24"/>
                <w:highlight w:val="none"/>
                <w:u w:val="none" w:color="auto"/>
                <w:lang w:val="en-US" w:eastAsia="zh-CN"/>
              </w:rPr>
              <w:t>②</w:t>
            </w:r>
            <w:r>
              <w:rPr>
                <w:rFonts w:hint="default" w:ascii="Times New Roman" w:hAnsi="Times New Roman" w:eastAsia="宋体" w:cs="Times New Roman"/>
                <w:color w:val="auto"/>
                <w:kern w:val="0"/>
                <w:sz w:val="24"/>
                <w:highlight w:val="none"/>
                <w:u w:val="none" w:color="auto"/>
                <w:lang w:val="en-US" w:eastAsia="zh-CN"/>
              </w:rPr>
              <w:t>项目各类生产设备均布置在车间内，针对较大的设备噪声源，可通过对设备安装减振座、加设减振垫等方式来进行减振处理，同时通过</w:t>
            </w:r>
            <w:r>
              <w:rPr>
                <w:rFonts w:hint="eastAsia" w:cs="Times New Roman"/>
                <w:color w:val="auto"/>
                <w:kern w:val="0"/>
                <w:sz w:val="24"/>
                <w:highlight w:val="none"/>
                <w:u w:val="none" w:color="auto"/>
                <w:lang w:val="en-US" w:eastAsia="zh-CN"/>
              </w:rPr>
              <w:t>厂房</w:t>
            </w:r>
            <w:r>
              <w:rPr>
                <w:rFonts w:hint="default" w:ascii="Times New Roman" w:hAnsi="Times New Roman" w:eastAsia="宋体" w:cs="Times New Roman"/>
                <w:color w:val="auto"/>
                <w:kern w:val="0"/>
                <w:sz w:val="24"/>
                <w:highlight w:val="none"/>
                <w:u w:val="none" w:color="auto"/>
                <w:lang w:val="en-US" w:eastAsia="zh-CN"/>
              </w:rPr>
              <w:t>隔声可有效的减轻设备噪声影响；</w:t>
            </w:r>
          </w:p>
          <w:p w14:paraId="4808A13D">
            <w:pPr>
              <w:keepNext w:val="0"/>
              <w:keepLines w:val="0"/>
              <w:widowControl w:val="0"/>
              <w:suppressLineNumbers w:val="0"/>
              <w:kinsoku/>
              <w:overflowPunct w:val="0"/>
              <w:topLinePunct/>
              <w:spacing w:before="0" w:beforeAutospacing="0" w:after="0" w:afterAutospacing="0" w:line="360" w:lineRule="auto"/>
              <w:ind w:left="0" w:right="0" w:firstLine="480" w:firstLineChars="200"/>
              <w:textAlignment w:val="center"/>
              <w:rPr>
                <w:rFonts w:hint="default" w:ascii="Times New Roman" w:hAnsi="Times New Roman" w:eastAsia="宋体" w:cs="Times New Roman"/>
                <w:color w:val="auto"/>
                <w:sz w:val="24"/>
                <w:szCs w:val="24"/>
                <w:highlight w:val="yellow"/>
              </w:rPr>
            </w:pPr>
            <w:r>
              <w:rPr>
                <w:rFonts w:hint="eastAsia" w:ascii="新宋体" w:hAnsi="新宋体" w:eastAsia="新宋体" w:cs="新宋体"/>
                <w:color w:val="auto"/>
                <w:kern w:val="0"/>
                <w:sz w:val="24"/>
                <w:highlight w:val="none"/>
                <w:u w:val="none" w:color="auto"/>
                <w:lang w:val="en-US" w:eastAsia="zh-CN"/>
              </w:rPr>
              <w:t>③</w:t>
            </w:r>
            <w:r>
              <w:rPr>
                <w:rFonts w:hint="default" w:ascii="Times New Roman" w:hAnsi="Times New Roman" w:eastAsia="宋体" w:cs="Times New Roman"/>
                <w:color w:val="auto"/>
                <w:kern w:val="0"/>
                <w:sz w:val="24"/>
                <w:highlight w:val="none"/>
                <w:u w:val="none" w:color="auto"/>
                <w:lang w:val="en-US" w:eastAsia="zh-CN"/>
              </w:rPr>
              <w:t>保持设备处于良好的运转状态，防止因设备运转不正常而增大噪声，要经常进行保养，加润滑油，减少</w:t>
            </w:r>
            <w:r>
              <w:rPr>
                <w:rFonts w:hint="eastAsia" w:ascii="Times New Roman" w:hAnsi="Times New Roman" w:eastAsia="宋体" w:cs="Times New Roman"/>
                <w:color w:val="auto"/>
                <w:kern w:val="0"/>
                <w:sz w:val="24"/>
                <w:highlight w:val="none"/>
                <w:u w:val="none" w:color="auto"/>
                <w:lang w:val="en-US" w:eastAsia="zh-CN"/>
              </w:rPr>
              <w:t>摩擦力</w:t>
            </w:r>
            <w:r>
              <w:rPr>
                <w:rFonts w:hint="default" w:ascii="Times New Roman" w:hAnsi="Times New Roman" w:eastAsia="宋体" w:cs="Times New Roman"/>
                <w:color w:val="auto"/>
                <w:kern w:val="0"/>
                <w:sz w:val="24"/>
                <w:highlight w:val="none"/>
                <w:u w:val="none" w:color="auto"/>
                <w:lang w:val="en-US" w:eastAsia="zh-CN"/>
              </w:rPr>
              <w:t>，降低噪声。</w:t>
            </w:r>
          </w:p>
          <w:p w14:paraId="4004BEA9">
            <w:pPr>
              <w:keepNext w:val="0"/>
              <w:keepLines w:val="0"/>
              <w:widowControl w:val="0"/>
              <w:suppressLineNumbers w:val="0"/>
              <w:kinsoku/>
              <w:overflowPunct w:val="0"/>
              <w:topLinePunct/>
              <w:spacing w:before="0" w:beforeAutospacing="0" w:after="0" w:afterAutospacing="0" w:line="360" w:lineRule="auto"/>
              <w:ind w:left="0" w:right="0" w:firstLine="480" w:firstLineChars="200"/>
              <w:textAlignment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eastAsia="zh-CN"/>
              </w:rPr>
              <w:t>（</w:t>
            </w:r>
            <w:r>
              <w:rPr>
                <w:rFonts w:hint="eastAsia" w:cs="Times New Roman"/>
                <w:color w:val="auto"/>
                <w:sz w:val="24"/>
                <w:szCs w:val="24"/>
                <w:highlight w:val="none"/>
                <w:lang w:val="en-US" w:eastAsia="zh-CN"/>
              </w:rPr>
              <w:t>2</w:t>
            </w:r>
            <w:r>
              <w:rPr>
                <w:rFonts w:hint="eastAsia" w:cs="Times New Roman"/>
                <w:color w:val="auto"/>
                <w:sz w:val="24"/>
                <w:szCs w:val="24"/>
                <w:highlight w:val="none"/>
                <w:lang w:eastAsia="zh-CN"/>
              </w:rPr>
              <w:t>）</w:t>
            </w:r>
            <w:r>
              <w:rPr>
                <w:rFonts w:hint="eastAsia" w:cs="Times New Roman"/>
                <w:color w:val="auto"/>
                <w:sz w:val="24"/>
                <w:szCs w:val="24"/>
                <w:highlight w:val="none"/>
                <w:lang w:val="en-US" w:eastAsia="zh-CN"/>
              </w:rPr>
              <w:t>噪声环境影响分析</w:t>
            </w:r>
          </w:p>
          <w:p w14:paraId="745DE288">
            <w:pPr>
              <w:keepNext w:val="0"/>
              <w:keepLines w:val="0"/>
              <w:suppressLineNumbers w:val="0"/>
              <w:adjustRightInd w:val="0"/>
              <w:snapToGrid w:val="0"/>
              <w:spacing w:before="0" w:beforeAutospacing="0" w:after="0" w:afterAutospacing="0"/>
              <w:ind w:left="0" w:right="0" w:firstLine="480" w:firstLineChars="200"/>
              <w:rPr>
                <w:rFonts w:hint="default" w:eastAsia="宋体" w:cs="Times New Roman"/>
                <w:color w:val="auto"/>
                <w:highlight w:val="none"/>
                <w:lang w:val="en-US" w:eastAsia="zh-CN"/>
              </w:rPr>
            </w:pPr>
            <w:r>
              <w:rPr>
                <w:rFonts w:hint="default" w:cs="Times New Roman"/>
                <w:color w:val="auto"/>
                <w:highlight w:val="none"/>
              </w:rPr>
              <w:t>结合项目噪声源的特征及排放特点，根据《环境影响评价技术导则 声环境》（HJ2.4-2021）的要求，本评价选择点声源预测模式来模拟预测本项目噪声源排放噪声随距离的衰减变化规律。</w:t>
            </w:r>
          </w:p>
          <w:p w14:paraId="1FE2E8DE">
            <w:pPr>
              <w:keepNext w:val="0"/>
              <w:keepLines w:val="0"/>
              <w:suppressLineNumbers w:val="0"/>
              <w:adjustRightInd w:val="0"/>
              <w:snapToGrid w:val="0"/>
              <w:spacing w:before="0" w:beforeAutospacing="0" w:after="0" w:afterAutospacing="0"/>
              <w:ind w:left="0" w:right="0" w:firstLine="426"/>
              <w:rPr>
                <w:rFonts w:hint="default" w:cs="Times New Roman"/>
                <w:b w:val="0"/>
                <w:bCs w:val="0"/>
                <w:color w:val="auto"/>
                <w:highlight w:val="none"/>
              </w:rPr>
            </w:pPr>
            <w:r>
              <w:rPr>
                <w:rFonts w:hint="eastAsia" w:ascii="宋体" w:hAnsi="宋体" w:eastAsia="宋体" w:cs="宋体"/>
                <w:b w:val="0"/>
                <w:bCs w:val="0"/>
                <w:color w:val="auto"/>
                <w:highlight w:val="none"/>
              </w:rPr>
              <w:t>①</w:t>
            </w:r>
            <w:r>
              <w:rPr>
                <w:rFonts w:hint="default" w:cs="Times New Roman"/>
                <w:b w:val="0"/>
                <w:bCs w:val="0"/>
                <w:color w:val="auto"/>
                <w:highlight w:val="none"/>
              </w:rPr>
              <w:t>预测模式</w:t>
            </w:r>
          </w:p>
          <w:p w14:paraId="5336A565">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噪声的衰减主要与声传播距离、空气吸收、阻挡物的反射与屏障等因素有关。从安全角度出发，本预测从各点源包络线开始，只考虑声传播距离这一主要因素，各噪声源可近似作为点声源处理，声源如位于室内，室内声源可采用等效室外声源声功率级法进行计算。</w:t>
            </w:r>
          </w:p>
          <w:p w14:paraId="657E71FB">
            <w:pPr>
              <w:keepNext w:val="0"/>
              <w:keepLines w:val="0"/>
              <w:suppressLineNumbers w:val="0"/>
              <w:adjustRightInd w:val="0"/>
              <w:snapToGrid w:val="0"/>
              <w:spacing w:before="0" w:beforeAutospacing="0" w:after="0" w:afterAutospacing="0"/>
              <w:ind w:left="0" w:right="0" w:firstLine="426"/>
              <w:rPr>
                <w:rFonts w:hint="default" w:cs="Times New Roman"/>
                <w:color w:val="auto"/>
                <w:highlight w:val="none"/>
              </w:rPr>
            </w:pPr>
            <w:r>
              <w:rPr>
                <w:rFonts w:hint="default" w:cs="Times New Roman"/>
                <w:color w:val="auto"/>
                <w:highlight w:val="none"/>
              </w:rPr>
              <w:t>1）设靠近开口处（或窗户）室内、室外某倍频带的声压级分别为L</w:t>
            </w:r>
            <w:r>
              <w:rPr>
                <w:rFonts w:hint="eastAsia" w:cs="Times New Roman"/>
                <w:color w:val="auto"/>
                <w:highlight w:val="none"/>
                <w:vertAlign w:val="subscript"/>
                <w:lang w:val="en-US" w:eastAsia="zh-CN"/>
              </w:rPr>
              <w:t>P</w:t>
            </w:r>
            <w:r>
              <w:rPr>
                <w:rFonts w:hint="default" w:cs="Times New Roman"/>
                <w:color w:val="auto"/>
                <w:highlight w:val="none"/>
                <w:vertAlign w:val="subscript"/>
              </w:rPr>
              <w:t>1</w:t>
            </w:r>
            <w:r>
              <w:rPr>
                <w:rFonts w:hint="default" w:cs="Times New Roman"/>
                <w:color w:val="auto"/>
                <w:highlight w:val="none"/>
              </w:rPr>
              <w:t>和L</w:t>
            </w:r>
            <w:r>
              <w:rPr>
                <w:rFonts w:hint="eastAsia" w:cs="Times New Roman"/>
                <w:color w:val="auto"/>
                <w:highlight w:val="none"/>
                <w:vertAlign w:val="subscript"/>
                <w:lang w:val="en-US" w:eastAsia="zh-CN"/>
              </w:rPr>
              <w:t>P</w:t>
            </w:r>
            <w:r>
              <w:rPr>
                <w:rFonts w:hint="default" w:cs="Times New Roman"/>
                <w:color w:val="auto"/>
                <w:highlight w:val="none"/>
                <w:vertAlign w:val="subscript"/>
              </w:rPr>
              <w:t>2。</w:t>
            </w:r>
            <w:r>
              <w:rPr>
                <w:rFonts w:hint="default" w:cs="Times New Roman"/>
                <w:color w:val="auto"/>
                <w:highlight w:val="none"/>
              </w:rPr>
              <w:t>若声源所在室内声场为近似扩散声场，则室外的倍频带声压级可按下面公式近似求出：</w:t>
            </w:r>
          </w:p>
          <w:p w14:paraId="59466BBE">
            <w:pPr>
              <w:keepNext w:val="0"/>
              <w:keepLines w:val="0"/>
              <w:suppressLineNumbers w:val="0"/>
              <w:adjustRightInd w:val="0"/>
              <w:snapToGrid w:val="0"/>
              <w:spacing w:before="0" w:beforeAutospacing="0" w:after="0" w:afterAutospacing="0"/>
              <w:ind w:left="0" w:right="0" w:firstLine="426"/>
              <w:jc w:val="center"/>
              <w:rPr>
                <w:rFonts w:hint="eastAsia" w:eastAsia="宋体" w:cs="Times New Roman"/>
                <w:color w:val="auto"/>
                <w:highlight w:val="none"/>
                <w:lang w:eastAsia="zh-CN"/>
              </w:rPr>
            </w:pPr>
            <w:r>
              <w:rPr>
                <w:rFonts w:hint="eastAsia" w:eastAsia="宋体" w:cs="Times New Roman"/>
                <w:color w:val="auto"/>
                <w:position w:val="-14"/>
                <w:highlight w:val="none"/>
                <w:lang w:eastAsia="zh-CN"/>
              </w:rPr>
              <w:object>
                <v:shape id="_x0000_i1030" o:spt="75" type="#_x0000_t75" style="height:19pt;width:96pt;" o:ole="t" filled="f" o:preferrelative="t" stroked="f" coordsize="21600,21600">
                  <v:path/>
                  <v:fill on="f" focussize="0,0"/>
                  <v:stroke on="f"/>
                  <v:imagedata r:id="rId35" o:title=""/>
                  <o:lock v:ext="edit" aspectratio="t"/>
                  <w10:wrap type="none"/>
                  <w10:anchorlock/>
                </v:shape>
                <o:OLEObject Type="Embed" ProgID="Equation.KSEE3" ShapeID="_x0000_i1030" DrawAspect="Content" ObjectID="_1468075731" r:id="rId34">
                  <o:LockedField>false</o:LockedField>
                </o:OLEObject>
              </w:object>
            </w:r>
          </w:p>
          <w:p w14:paraId="447CE5BD">
            <w:pPr>
              <w:keepNext w:val="0"/>
              <w:keepLines w:val="0"/>
              <w:suppressLineNumbers w:val="0"/>
              <w:adjustRightInd w:val="0"/>
              <w:snapToGrid w:val="0"/>
              <w:spacing w:before="0" w:beforeAutospacing="0" w:after="0" w:afterAutospacing="0"/>
              <w:ind w:left="0" w:right="0" w:firstLine="426"/>
              <w:rPr>
                <w:rFonts w:hint="default" w:cs="Times New Roman"/>
                <w:color w:val="auto"/>
                <w:highlight w:val="none"/>
              </w:rPr>
            </w:pPr>
            <w:r>
              <w:rPr>
                <w:rFonts w:hint="default" w:cs="Times New Roman"/>
                <w:color w:val="auto"/>
                <w:highlight w:val="none"/>
              </w:rPr>
              <w:t>式中：</w:t>
            </w:r>
          </w:p>
          <w:p w14:paraId="4D8C73DE">
            <w:pPr>
              <w:keepNext w:val="0"/>
              <w:keepLines w:val="0"/>
              <w:suppressLineNumbers w:val="0"/>
              <w:adjustRightInd w:val="0"/>
              <w:snapToGrid w:val="0"/>
              <w:spacing w:before="0" w:beforeAutospacing="0" w:after="0" w:afterAutospacing="0"/>
              <w:ind w:left="0" w:right="0" w:firstLine="426"/>
              <w:rPr>
                <w:rFonts w:hint="eastAsia" w:cs="Times New Roman"/>
                <w:color w:val="auto"/>
                <w:highlight w:val="none"/>
              </w:rPr>
            </w:pPr>
            <w:r>
              <w:rPr>
                <w:rFonts w:hint="eastAsia" w:cs="Times New Roman"/>
                <w:color w:val="auto"/>
                <w:highlight w:val="none"/>
              </w:rPr>
              <w:t>L</w:t>
            </w:r>
            <w:r>
              <w:rPr>
                <w:rFonts w:hint="eastAsia" w:cs="Times New Roman"/>
                <w:color w:val="auto"/>
                <w:highlight w:val="none"/>
                <w:vertAlign w:val="subscript"/>
                <w:lang w:val="en-US" w:eastAsia="zh-CN"/>
              </w:rPr>
              <w:t>p</w:t>
            </w:r>
            <w:r>
              <w:rPr>
                <w:rFonts w:hint="eastAsia" w:cs="Times New Roman"/>
                <w:color w:val="auto"/>
                <w:highlight w:val="none"/>
                <w:vertAlign w:val="subscript"/>
              </w:rPr>
              <w:t>1</w:t>
            </w:r>
            <w:r>
              <w:rPr>
                <w:rFonts w:hint="eastAsia" w:cs="Times New Roman"/>
                <w:color w:val="auto"/>
                <w:highlight w:val="none"/>
              </w:rPr>
              <w:t>——靠近开口处（或窗户）室内某倍频带的声压级或A 声级，dB；</w:t>
            </w:r>
          </w:p>
          <w:p w14:paraId="72B2236D">
            <w:pPr>
              <w:keepNext w:val="0"/>
              <w:keepLines w:val="0"/>
              <w:suppressLineNumbers w:val="0"/>
              <w:adjustRightInd w:val="0"/>
              <w:snapToGrid w:val="0"/>
              <w:spacing w:before="0" w:beforeAutospacing="0" w:after="0" w:afterAutospacing="0"/>
              <w:ind w:left="0" w:right="0" w:firstLine="426"/>
              <w:rPr>
                <w:rFonts w:hint="eastAsia" w:cs="Times New Roman"/>
                <w:color w:val="auto"/>
                <w:highlight w:val="none"/>
              </w:rPr>
            </w:pPr>
            <w:r>
              <w:rPr>
                <w:rFonts w:hint="eastAsia" w:cs="Times New Roman"/>
                <w:color w:val="auto"/>
                <w:highlight w:val="none"/>
              </w:rPr>
              <w:t>L</w:t>
            </w:r>
            <w:r>
              <w:rPr>
                <w:rFonts w:hint="eastAsia" w:cs="Times New Roman"/>
                <w:color w:val="auto"/>
                <w:highlight w:val="none"/>
                <w:vertAlign w:val="subscript"/>
                <w:lang w:val="en-US" w:eastAsia="zh-CN"/>
              </w:rPr>
              <w:t>p</w:t>
            </w:r>
            <w:r>
              <w:rPr>
                <w:rFonts w:hint="eastAsia" w:cs="Times New Roman"/>
                <w:color w:val="auto"/>
                <w:highlight w:val="none"/>
                <w:vertAlign w:val="subscript"/>
              </w:rPr>
              <w:t>2</w:t>
            </w:r>
            <w:r>
              <w:rPr>
                <w:rFonts w:hint="eastAsia" w:cs="Times New Roman"/>
                <w:color w:val="auto"/>
                <w:highlight w:val="none"/>
              </w:rPr>
              <w:t>——靠近开口处（或窗户）室外某倍频带的声压级或A 声级，dB；</w:t>
            </w:r>
          </w:p>
          <w:p w14:paraId="60CDCC5F">
            <w:pPr>
              <w:keepNext w:val="0"/>
              <w:keepLines w:val="0"/>
              <w:suppressLineNumbers w:val="0"/>
              <w:adjustRightInd w:val="0"/>
              <w:snapToGrid w:val="0"/>
              <w:spacing w:before="0" w:beforeAutospacing="0" w:after="0" w:afterAutospacing="0"/>
              <w:ind w:left="0" w:right="0" w:firstLine="426"/>
              <w:rPr>
                <w:rFonts w:hint="default" w:cs="Times New Roman"/>
                <w:color w:val="auto"/>
                <w:highlight w:val="none"/>
              </w:rPr>
            </w:pPr>
            <w:r>
              <w:rPr>
                <w:rFonts w:hint="eastAsia" w:cs="Times New Roman"/>
                <w:color w:val="auto"/>
                <w:highlight w:val="none"/>
              </w:rPr>
              <w:t>TL——隔墙（或窗户）倍频带或A声级的隔声量，dB。</w:t>
            </w:r>
          </w:p>
          <w:p w14:paraId="7F785301">
            <w:pPr>
              <w:keepNext w:val="0"/>
              <w:keepLines w:val="0"/>
              <w:suppressLineNumbers w:val="0"/>
              <w:adjustRightInd w:val="0"/>
              <w:snapToGrid w:val="0"/>
              <w:spacing w:before="0" w:beforeAutospacing="0" w:after="0" w:afterAutospacing="0"/>
              <w:ind w:left="0" w:right="0"/>
              <w:jc w:val="center"/>
              <w:rPr>
                <w:rFonts w:hint="default" w:cs="Times New Roman"/>
                <w:b/>
                <w:bCs/>
                <w:color w:val="auto"/>
                <w:highlight w:val="none"/>
              </w:rPr>
            </w:pPr>
            <w:r>
              <w:rPr>
                <w:rFonts w:hint="default" w:cs="Times New Roman"/>
                <w:color w:val="auto"/>
                <w:highlight w:val="none"/>
              </w:rPr>
              <w:drawing>
                <wp:inline distT="0" distB="0" distL="114300" distR="114300">
                  <wp:extent cx="3009900" cy="1066800"/>
                  <wp:effectExtent l="0" t="0" r="0" b="0"/>
                  <wp:docPr id="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
                          <pic:cNvPicPr>
                            <a:picLocks noChangeAspect="1"/>
                          </pic:cNvPicPr>
                        </pic:nvPicPr>
                        <pic:blipFill>
                          <a:blip r:embed="rId36"/>
                          <a:stretch>
                            <a:fillRect/>
                          </a:stretch>
                        </pic:blipFill>
                        <pic:spPr>
                          <a:xfrm>
                            <a:off x="0" y="0"/>
                            <a:ext cx="3009900" cy="1066800"/>
                          </a:xfrm>
                          <a:prstGeom prst="rect">
                            <a:avLst/>
                          </a:prstGeom>
                          <a:noFill/>
                          <a:ln>
                            <a:noFill/>
                          </a:ln>
                        </pic:spPr>
                      </pic:pic>
                    </a:graphicData>
                  </a:graphic>
                </wp:inline>
              </w:drawing>
            </w:r>
          </w:p>
          <w:p w14:paraId="1AE7D326">
            <w:pPr>
              <w:pStyle w:val="39"/>
              <w:keepNext w:val="0"/>
              <w:keepLines w:val="0"/>
              <w:numPr>
                <w:ilvl w:val="4"/>
                <w:numId w:val="0"/>
              </w:numPr>
              <w:suppressLineNumbers w:val="0"/>
              <w:tabs>
                <w:tab w:val="left" w:pos="0"/>
                <w:tab w:val="clear" w:pos="420"/>
              </w:tabs>
              <w:bidi w:val="0"/>
              <w:spacing w:before="0" w:after="0"/>
              <w:ind w:left="0" w:leftChars="0" w:right="0" w:firstLine="0" w:firstLineChars="0"/>
              <w:rPr>
                <w:rFonts w:hint="default" w:cs="Times New Roman"/>
                <w:color w:val="auto"/>
                <w:highlight w:val="none"/>
              </w:rPr>
            </w:pPr>
            <w:r>
              <w:rPr>
                <w:rFonts w:hint="default" w:ascii="Times New Roman" w:hAnsi="Times New Roman" w:eastAsia="宋体" w:cs="Times New Roman"/>
                <w:b/>
                <w:bCs/>
                <w:snapToGrid w:val="0"/>
                <w:color w:val="auto"/>
                <w:kern w:val="0"/>
                <w:sz w:val="21"/>
                <w:szCs w:val="21"/>
                <w:highlight w:val="none"/>
                <w:lang w:val="en-US" w:eastAsia="zh-CN" w:bidi="ar-SA"/>
              </w:rPr>
              <w:t>图</w:t>
            </w:r>
            <w:r>
              <w:rPr>
                <w:rFonts w:hint="eastAsia" w:cs="Times New Roman"/>
                <w:b/>
                <w:bCs/>
                <w:snapToGrid w:val="0"/>
                <w:color w:val="auto"/>
                <w:kern w:val="0"/>
                <w:sz w:val="21"/>
                <w:szCs w:val="21"/>
                <w:highlight w:val="none"/>
                <w:lang w:val="en-US" w:eastAsia="zh-CN" w:bidi="ar-SA"/>
              </w:rPr>
              <w:t xml:space="preserve">4-3 </w:t>
            </w:r>
            <w:r>
              <w:rPr>
                <w:rFonts w:hint="default" w:cs="Times New Roman"/>
                <w:color w:val="auto"/>
                <w:highlight w:val="none"/>
              </w:rPr>
              <w:t>室内声源等效为室外声源图例</w:t>
            </w:r>
          </w:p>
          <w:p w14:paraId="275A7B37">
            <w:pPr>
              <w:keepNext w:val="0"/>
              <w:keepLines w:val="0"/>
              <w:suppressLineNumbers w:val="0"/>
              <w:adjustRightInd w:val="0"/>
              <w:snapToGrid w:val="0"/>
              <w:spacing w:before="0" w:beforeAutospacing="0" w:after="0" w:afterAutospacing="0"/>
              <w:ind w:left="0" w:right="0" w:firstLine="426"/>
              <w:rPr>
                <w:rFonts w:hint="default" w:cs="Times New Roman"/>
                <w:color w:val="auto"/>
                <w:highlight w:val="none"/>
              </w:rPr>
            </w:pPr>
            <w:r>
              <w:rPr>
                <w:rFonts w:hint="default" w:cs="Times New Roman"/>
                <w:color w:val="auto"/>
                <w:highlight w:val="none"/>
              </w:rPr>
              <w:t>2）按下面公式计算出所有室内声源在围护结构处产生的</w:t>
            </w:r>
            <w:r>
              <w:rPr>
                <w:rFonts w:hint="eastAsia" w:cs="Times New Roman"/>
                <w:color w:val="auto"/>
                <w:highlight w:val="none"/>
              </w:rPr>
              <w:t>倍频带声压级或A 声级</w:t>
            </w:r>
            <w:r>
              <w:rPr>
                <w:rFonts w:hint="default" w:cs="Times New Roman"/>
                <w:color w:val="auto"/>
                <w:highlight w:val="none"/>
              </w:rPr>
              <w:t>：</w:t>
            </w:r>
          </w:p>
          <w:p w14:paraId="24875D5B">
            <w:pPr>
              <w:keepNext w:val="0"/>
              <w:keepLines w:val="0"/>
              <w:suppressLineNumbers w:val="0"/>
              <w:adjustRightInd w:val="0"/>
              <w:snapToGrid w:val="0"/>
              <w:spacing w:before="0" w:beforeAutospacing="0" w:after="0" w:afterAutospacing="0"/>
              <w:ind w:left="0" w:right="0"/>
              <w:jc w:val="center"/>
              <w:rPr>
                <w:rFonts w:hint="default" w:cs="Times New Roman"/>
                <w:color w:val="auto"/>
                <w:highlight w:val="none"/>
              </w:rPr>
            </w:pPr>
            <w:r>
              <w:rPr>
                <w:rFonts w:hint="default"/>
                <w:color w:val="auto"/>
                <w:highlight w:val="none"/>
              </w:rPr>
              <w:drawing>
                <wp:inline distT="0" distB="0" distL="114300" distR="114300">
                  <wp:extent cx="2252345" cy="539750"/>
                  <wp:effectExtent l="0" t="0" r="14605"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7"/>
                          <a:stretch>
                            <a:fillRect/>
                          </a:stretch>
                        </pic:blipFill>
                        <pic:spPr>
                          <a:xfrm>
                            <a:off x="0" y="0"/>
                            <a:ext cx="2252345" cy="539750"/>
                          </a:xfrm>
                          <a:prstGeom prst="rect">
                            <a:avLst/>
                          </a:prstGeom>
                          <a:noFill/>
                          <a:ln>
                            <a:noFill/>
                          </a:ln>
                        </pic:spPr>
                      </pic:pic>
                    </a:graphicData>
                  </a:graphic>
                </wp:inline>
              </w:drawing>
            </w:r>
          </w:p>
          <w:p w14:paraId="0C7418E3">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式中：</w:t>
            </w:r>
          </w:p>
          <w:p w14:paraId="5AD9C16B">
            <w:pPr>
              <w:keepNext w:val="0"/>
              <w:keepLines w:val="0"/>
              <w:suppressLineNumbers w:val="0"/>
              <w:adjustRightInd w:val="0"/>
              <w:snapToGrid w:val="0"/>
              <w:spacing w:before="0" w:beforeAutospacing="0" w:after="0" w:afterAutospacing="0"/>
              <w:ind w:left="0" w:right="0" w:firstLine="480" w:firstLineChars="200"/>
              <w:rPr>
                <w:rFonts w:hint="eastAsia" w:cs="Times New Roman"/>
                <w:color w:val="auto"/>
                <w:highlight w:val="none"/>
              </w:rPr>
            </w:pPr>
            <w:r>
              <w:rPr>
                <w:rFonts w:hint="eastAsia" w:cs="Times New Roman"/>
                <w:color w:val="auto"/>
                <w:highlight w:val="none"/>
              </w:rPr>
              <w:t>Lp1——靠近开口处（或窗户）室内某倍频带的声压级或A 声级，dB；</w:t>
            </w:r>
          </w:p>
          <w:p w14:paraId="2B2F6544">
            <w:pPr>
              <w:keepNext w:val="0"/>
              <w:keepLines w:val="0"/>
              <w:suppressLineNumbers w:val="0"/>
              <w:adjustRightInd w:val="0"/>
              <w:snapToGrid w:val="0"/>
              <w:spacing w:before="0" w:beforeAutospacing="0" w:after="0" w:afterAutospacing="0"/>
              <w:ind w:left="0" w:right="0" w:firstLine="480" w:firstLineChars="200"/>
              <w:rPr>
                <w:rFonts w:hint="eastAsia" w:cs="Times New Roman"/>
                <w:color w:val="auto"/>
                <w:highlight w:val="none"/>
              </w:rPr>
            </w:pPr>
            <w:r>
              <w:rPr>
                <w:rFonts w:hint="eastAsia" w:cs="Times New Roman"/>
                <w:color w:val="auto"/>
                <w:highlight w:val="none"/>
              </w:rPr>
              <w:t>Lw ——点声源声功率级（A 计权或倍频带），dB；</w:t>
            </w:r>
          </w:p>
          <w:p w14:paraId="48987399">
            <w:pPr>
              <w:keepNext w:val="0"/>
              <w:keepLines w:val="0"/>
              <w:suppressLineNumbers w:val="0"/>
              <w:adjustRightInd w:val="0"/>
              <w:snapToGrid w:val="0"/>
              <w:spacing w:before="0" w:beforeAutospacing="0" w:after="0" w:afterAutospacing="0"/>
              <w:ind w:left="0" w:right="0" w:firstLine="480" w:firstLineChars="200"/>
              <w:rPr>
                <w:rFonts w:hint="eastAsia" w:cs="Times New Roman"/>
                <w:color w:val="auto"/>
                <w:highlight w:val="none"/>
              </w:rPr>
            </w:pPr>
            <w:r>
              <w:rPr>
                <w:rFonts w:hint="eastAsia" w:cs="Times New Roman"/>
                <w:color w:val="auto"/>
                <w:highlight w:val="none"/>
              </w:rPr>
              <w:t>Q——指向性因数；通常对无指向性声源，当声源放在房间中心时，Q=1；当放在一面墙的中心时，Q=2；当放在两面墙夹角处时，Q=4；当放在三面墙夹角处时，Q=8；</w:t>
            </w:r>
          </w:p>
          <w:p w14:paraId="0BCDCD40">
            <w:pPr>
              <w:keepNext w:val="0"/>
              <w:keepLines w:val="0"/>
              <w:suppressLineNumbers w:val="0"/>
              <w:adjustRightInd w:val="0"/>
              <w:snapToGrid w:val="0"/>
              <w:spacing w:before="0" w:beforeAutospacing="0" w:after="0" w:afterAutospacing="0"/>
              <w:ind w:left="0" w:right="0" w:firstLine="480" w:firstLineChars="200"/>
              <w:rPr>
                <w:rFonts w:hint="eastAsia" w:cs="Times New Roman"/>
                <w:color w:val="auto"/>
                <w:highlight w:val="none"/>
              </w:rPr>
            </w:pPr>
            <w:r>
              <w:rPr>
                <w:rFonts w:hint="eastAsia" w:cs="Times New Roman"/>
                <w:color w:val="auto"/>
                <w:highlight w:val="none"/>
              </w:rPr>
              <w:t>R——房间常数；R</w:t>
            </w:r>
            <w:r>
              <w:rPr>
                <w:rFonts w:hint="eastAsia" w:cs="Times New Roman"/>
                <w:color w:val="auto"/>
                <w:highlight w:val="none"/>
                <w:lang w:val="en-US" w:eastAsia="zh-CN"/>
              </w:rPr>
              <w:t>=</w:t>
            </w:r>
            <w:r>
              <w:rPr>
                <w:rFonts w:hint="eastAsia" w:cs="Times New Roman"/>
                <w:color w:val="auto"/>
                <w:highlight w:val="none"/>
              </w:rPr>
              <w:t>S</w:t>
            </w:r>
            <w:r>
              <w:rPr>
                <w:rFonts w:hint="eastAsia" w:cs="Times New Roman"/>
                <w:color w:val="auto"/>
                <w:highlight w:val="none"/>
                <w:lang w:val="en-US" w:eastAsia="zh-CN"/>
              </w:rPr>
              <w:t>α</w:t>
            </w:r>
            <w:r>
              <w:rPr>
                <w:rFonts w:hint="eastAsia" w:cs="Times New Roman"/>
                <w:color w:val="auto"/>
                <w:highlight w:val="none"/>
              </w:rPr>
              <w:t xml:space="preserve">/ </w:t>
            </w:r>
            <w:r>
              <w:rPr>
                <w:rFonts w:hint="eastAsia" w:cs="Times New Roman"/>
                <w:color w:val="auto"/>
                <w:highlight w:val="none"/>
                <w:lang w:eastAsia="zh-CN"/>
              </w:rPr>
              <w:t>（</w:t>
            </w:r>
            <w:r>
              <w:rPr>
                <w:rFonts w:hint="eastAsia" w:cs="Times New Roman"/>
                <w:color w:val="auto"/>
                <w:highlight w:val="none"/>
                <w:lang w:val="en-US" w:eastAsia="zh-CN"/>
              </w:rPr>
              <w:t>1-α</w:t>
            </w:r>
            <w:r>
              <w:rPr>
                <w:rFonts w:hint="eastAsia" w:cs="Times New Roman"/>
                <w:color w:val="auto"/>
                <w:highlight w:val="none"/>
                <w:lang w:eastAsia="zh-CN"/>
              </w:rPr>
              <w:t>）</w:t>
            </w:r>
            <w:r>
              <w:rPr>
                <w:rFonts w:hint="eastAsia" w:cs="Times New Roman"/>
                <w:color w:val="auto"/>
                <w:highlight w:val="none"/>
              </w:rPr>
              <w:t>，S 为房间内表面面积，m</w:t>
            </w:r>
            <w:r>
              <w:rPr>
                <w:rFonts w:hint="eastAsia" w:cs="Times New Roman"/>
                <w:color w:val="auto"/>
                <w:highlight w:val="none"/>
                <w:vertAlign w:val="superscript"/>
              </w:rPr>
              <w:t>2</w:t>
            </w:r>
            <w:r>
              <w:rPr>
                <w:rFonts w:hint="eastAsia" w:cs="Times New Roman"/>
                <w:color w:val="auto"/>
                <w:highlight w:val="none"/>
              </w:rPr>
              <w:t>；α为平均吸声系数；</w:t>
            </w:r>
          </w:p>
          <w:p w14:paraId="4960F2F7">
            <w:pPr>
              <w:keepNext w:val="0"/>
              <w:keepLines w:val="0"/>
              <w:suppressLineNumbers w:val="0"/>
              <w:adjustRightInd w:val="0"/>
              <w:snapToGrid w:val="0"/>
              <w:spacing w:before="0" w:beforeAutospacing="0" w:after="0" w:afterAutospacing="0"/>
              <w:ind w:left="0" w:right="0" w:firstLine="480" w:firstLineChars="200"/>
              <w:rPr>
                <w:rFonts w:hint="eastAsia" w:cs="Times New Roman"/>
                <w:color w:val="auto"/>
                <w:highlight w:val="none"/>
              </w:rPr>
            </w:pPr>
            <w:r>
              <w:rPr>
                <w:rFonts w:hint="eastAsia" w:cs="Times New Roman"/>
                <w:color w:val="auto"/>
                <w:highlight w:val="none"/>
              </w:rPr>
              <w:t>r——声源到靠近围护结构某点处的距离，m。</w:t>
            </w:r>
          </w:p>
          <w:p w14:paraId="0D0682AD">
            <w:pPr>
              <w:keepNext w:val="0"/>
              <w:keepLines w:val="0"/>
              <w:numPr>
                <w:ilvl w:val="0"/>
                <w:numId w:val="14"/>
              </w:numPr>
              <w:suppressLineNumbers w:val="0"/>
              <w:adjustRightInd w:val="0"/>
              <w:snapToGrid w:val="0"/>
              <w:spacing w:before="0" w:beforeAutospacing="0" w:after="0" w:afterAutospacing="0"/>
              <w:ind w:left="0" w:right="0" w:firstLine="426"/>
              <w:rPr>
                <w:rFonts w:hint="eastAsia" w:cs="Times New Roman"/>
                <w:color w:val="auto"/>
                <w:highlight w:val="none"/>
              </w:rPr>
            </w:pPr>
            <w:r>
              <w:rPr>
                <w:rFonts w:hint="eastAsia" w:cs="Times New Roman"/>
                <w:color w:val="auto"/>
                <w:highlight w:val="none"/>
              </w:rPr>
              <w:t>然后按式（B.3）计算出所有室内声源在围护结构处产生的i 倍频带叠加声压级：</w:t>
            </w:r>
          </w:p>
          <w:p w14:paraId="2112B0E6">
            <w:pPr>
              <w:keepNext w:val="0"/>
              <w:keepLines w:val="0"/>
              <w:numPr>
                <w:ilvl w:val="0"/>
                <w:numId w:val="0"/>
              </w:numPr>
              <w:suppressLineNumbers w:val="0"/>
              <w:adjustRightInd w:val="0"/>
              <w:snapToGrid w:val="0"/>
              <w:spacing w:before="0" w:beforeAutospacing="0" w:after="0" w:afterAutospacing="0"/>
              <w:ind w:left="0" w:right="0"/>
              <w:jc w:val="center"/>
              <w:rPr>
                <w:rFonts w:hint="default"/>
                <w:color w:val="auto"/>
                <w:highlight w:val="none"/>
              </w:rPr>
            </w:pPr>
            <w:r>
              <w:rPr>
                <w:rFonts w:hint="default"/>
                <w:color w:val="auto"/>
                <w:highlight w:val="none"/>
              </w:rPr>
              <w:drawing>
                <wp:inline distT="0" distB="0" distL="114300" distR="114300">
                  <wp:extent cx="1829435" cy="539750"/>
                  <wp:effectExtent l="0" t="0" r="18415" b="1270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38"/>
                          <a:stretch>
                            <a:fillRect/>
                          </a:stretch>
                        </pic:blipFill>
                        <pic:spPr>
                          <a:xfrm>
                            <a:off x="0" y="0"/>
                            <a:ext cx="1829435" cy="539750"/>
                          </a:xfrm>
                          <a:prstGeom prst="rect">
                            <a:avLst/>
                          </a:prstGeom>
                          <a:noFill/>
                          <a:ln>
                            <a:noFill/>
                          </a:ln>
                        </pic:spPr>
                      </pic:pic>
                    </a:graphicData>
                  </a:graphic>
                </wp:inline>
              </w:drawing>
            </w:r>
          </w:p>
          <w:p w14:paraId="0348159E">
            <w:pPr>
              <w:keepNext w:val="0"/>
              <w:keepLines w:val="0"/>
              <w:numPr>
                <w:ilvl w:val="0"/>
                <w:numId w:val="0"/>
              </w:numPr>
              <w:suppressLineNumbers w:val="0"/>
              <w:adjustRightInd w:val="0"/>
              <w:snapToGrid w:val="0"/>
              <w:spacing w:before="0" w:beforeAutospacing="0" w:after="0" w:afterAutospacing="0"/>
              <w:ind w:left="0" w:right="0" w:firstLine="480" w:firstLineChars="200"/>
              <w:jc w:val="both"/>
              <w:rPr>
                <w:rFonts w:hint="eastAsia"/>
                <w:color w:val="auto"/>
                <w:highlight w:val="none"/>
              </w:rPr>
            </w:pPr>
            <w:r>
              <w:rPr>
                <w:rFonts w:hint="eastAsia"/>
                <w:color w:val="auto"/>
                <w:highlight w:val="none"/>
              </w:rPr>
              <w:t>式中：</w:t>
            </w:r>
          </w:p>
          <w:p w14:paraId="6AB3DFC0">
            <w:pPr>
              <w:keepNext w:val="0"/>
              <w:keepLines w:val="0"/>
              <w:numPr>
                <w:ilvl w:val="0"/>
                <w:numId w:val="0"/>
              </w:numPr>
              <w:suppressLineNumbers w:val="0"/>
              <w:adjustRightInd w:val="0"/>
              <w:snapToGrid w:val="0"/>
              <w:spacing w:before="0" w:beforeAutospacing="0" w:after="0" w:afterAutospacing="0"/>
              <w:ind w:left="0" w:right="0" w:firstLine="480" w:firstLineChars="200"/>
              <w:jc w:val="both"/>
              <w:rPr>
                <w:rFonts w:hint="eastAsia"/>
                <w:color w:val="auto"/>
                <w:highlight w:val="none"/>
              </w:rPr>
            </w:pPr>
            <w:r>
              <w:rPr>
                <w:rFonts w:hint="eastAsia"/>
                <w:color w:val="auto"/>
                <w:highlight w:val="none"/>
              </w:rPr>
              <w:t>L</w:t>
            </w:r>
            <w:r>
              <w:rPr>
                <w:rFonts w:hint="eastAsia"/>
                <w:color w:val="auto"/>
                <w:highlight w:val="none"/>
                <w:vertAlign w:val="subscript"/>
              </w:rPr>
              <w:t>p1i</w:t>
            </w:r>
            <w:r>
              <w:rPr>
                <w:rFonts w:hint="eastAsia"/>
                <w:color w:val="auto"/>
                <w:highlight w:val="none"/>
                <w:vertAlign w:val="baseline"/>
                <w:lang w:eastAsia="zh-CN"/>
              </w:rPr>
              <w:t>（</w:t>
            </w:r>
            <w:r>
              <w:rPr>
                <w:rFonts w:hint="eastAsia"/>
                <w:color w:val="auto"/>
                <w:highlight w:val="none"/>
              </w:rPr>
              <w:t>T</w:t>
            </w:r>
            <w:r>
              <w:rPr>
                <w:rFonts w:hint="eastAsia"/>
                <w:color w:val="auto"/>
                <w:highlight w:val="none"/>
                <w:vertAlign w:val="baseline"/>
                <w:lang w:eastAsia="zh-CN"/>
              </w:rPr>
              <w:t>）</w:t>
            </w:r>
            <w:r>
              <w:rPr>
                <w:rFonts w:hint="eastAsia"/>
                <w:color w:val="auto"/>
                <w:highlight w:val="none"/>
              </w:rPr>
              <w:t>——靠近围护结构处室内N个声源i倍频带的叠加声压级，dB；</w:t>
            </w:r>
          </w:p>
          <w:p w14:paraId="3A928FCD">
            <w:pPr>
              <w:keepNext w:val="0"/>
              <w:keepLines w:val="0"/>
              <w:numPr>
                <w:ilvl w:val="0"/>
                <w:numId w:val="0"/>
              </w:numPr>
              <w:suppressLineNumbers w:val="0"/>
              <w:adjustRightInd w:val="0"/>
              <w:snapToGrid w:val="0"/>
              <w:spacing w:before="0" w:beforeAutospacing="0" w:after="0" w:afterAutospacing="0"/>
              <w:ind w:left="0" w:right="0" w:firstLine="480" w:firstLineChars="200"/>
              <w:jc w:val="both"/>
              <w:rPr>
                <w:rFonts w:hint="eastAsia"/>
                <w:color w:val="auto"/>
                <w:highlight w:val="none"/>
              </w:rPr>
            </w:pPr>
            <w:r>
              <w:rPr>
                <w:rFonts w:hint="eastAsia"/>
                <w:color w:val="auto"/>
                <w:highlight w:val="none"/>
              </w:rPr>
              <w:t>L</w:t>
            </w:r>
            <w:r>
              <w:rPr>
                <w:rFonts w:hint="eastAsia"/>
                <w:color w:val="auto"/>
                <w:highlight w:val="none"/>
                <w:vertAlign w:val="subscript"/>
              </w:rPr>
              <w:t>p1i</w:t>
            </w:r>
            <w:r>
              <w:rPr>
                <w:rFonts w:hint="eastAsia"/>
                <w:color w:val="auto"/>
                <w:highlight w:val="none"/>
                <w:vertAlign w:val="subscript"/>
                <w:lang w:val="en-US" w:eastAsia="zh-CN"/>
              </w:rPr>
              <w:t>j</w:t>
            </w:r>
            <w:r>
              <w:rPr>
                <w:rFonts w:hint="eastAsia"/>
                <w:color w:val="auto"/>
                <w:highlight w:val="none"/>
                <w:vertAlign w:val="baseline"/>
                <w:lang w:eastAsia="zh-CN"/>
              </w:rPr>
              <w:t>（</w:t>
            </w:r>
            <w:r>
              <w:rPr>
                <w:rFonts w:hint="eastAsia"/>
                <w:color w:val="auto"/>
                <w:highlight w:val="none"/>
              </w:rPr>
              <w:t>T</w:t>
            </w:r>
            <w:r>
              <w:rPr>
                <w:rFonts w:hint="eastAsia"/>
                <w:color w:val="auto"/>
                <w:highlight w:val="none"/>
                <w:vertAlign w:val="baseline"/>
                <w:lang w:eastAsia="zh-CN"/>
              </w:rPr>
              <w:t>）</w:t>
            </w:r>
            <w:r>
              <w:rPr>
                <w:rFonts w:hint="eastAsia"/>
                <w:color w:val="auto"/>
                <w:highlight w:val="none"/>
              </w:rPr>
              <w:t>——室内j 声源i 倍频带的声压级，dB；</w:t>
            </w:r>
          </w:p>
          <w:p w14:paraId="5A986D98">
            <w:pPr>
              <w:keepNext w:val="0"/>
              <w:keepLines w:val="0"/>
              <w:numPr>
                <w:ilvl w:val="0"/>
                <w:numId w:val="0"/>
              </w:numPr>
              <w:suppressLineNumbers w:val="0"/>
              <w:adjustRightInd w:val="0"/>
              <w:snapToGrid w:val="0"/>
              <w:spacing w:before="0" w:beforeAutospacing="0" w:after="0" w:afterAutospacing="0"/>
              <w:ind w:left="0" w:right="0" w:firstLine="480" w:firstLineChars="200"/>
              <w:jc w:val="both"/>
              <w:rPr>
                <w:rFonts w:hint="eastAsia"/>
                <w:color w:val="auto"/>
                <w:highlight w:val="none"/>
              </w:rPr>
            </w:pPr>
            <w:r>
              <w:rPr>
                <w:rFonts w:hint="eastAsia"/>
                <w:color w:val="auto"/>
                <w:highlight w:val="none"/>
              </w:rPr>
              <w:t xml:space="preserve">N </w:t>
            </w:r>
            <w:r>
              <w:rPr>
                <w:rFonts w:hint="default"/>
                <w:color w:val="auto"/>
                <w:highlight w:val="none"/>
              </w:rPr>
              <w:t>——室内声源总数。</w:t>
            </w:r>
          </w:p>
          <w:p w14:paraId="0AE50EBE">
            <w:pPr>
              <w:keepNext w:val="0"/>
              <w:keepLines w:val="0"/>
              <w:suppressLineNumbers w:val="0"/>
              <w:adjustRightInd w:val="0"/>
              <w:snapToGrid w:val="0"/>
              <w:spacing w:before="0" w:beforeAutospacing="0" w:after="0" w:afterAutospacing="0"/>
              <w:ind w:left="0" w:right="0" w:firstLine="426"/>
              <w:rPr>
                <w:rFonts w:hint="default" w:cs="Times New Roman"/>
                <w:color w:val="auto"/>
                <w:highlight w:val="none"/>
              </w:rPr>
            </w:pPr>
            <w:r>
              <w:rPr>
                <w:rFonts w:hint="eastAsia" w:cs="Times New Roman"/>
                <w:color w:val="auto"/>
                <w:highlight w:val="none"/>
                <w:lang w:val="en-US" w:eastAsia="zh-CN"/>
              </w:rPr>
              <w:t>4</w:t>
            </w:r>
            <w:r>
              <w:rPr>
                <w:rFonts w:hint="default" w:cs="Times New Roman"/>
                <w:color w:val="auto"/>
                <w:highlight w:val="none"/>
              </w:rPr>
              <w:t>）室外声源</w:t>
            </w:r>
          </w:p>
          <w:p w14:paraId="0C666F4C">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eastAsia" w:cs="Times New Roman"/>
                <w:color w:val="auto"/>
                <w:highlight w:val="none"/>
                <w:lang w:val="en-US" w:eastAsia="zh-CN"/>
              </w:rPr>
              <w:t>等效成半自由声场的点声源几何发散衰减模式，则</w:t>
            </w:r>
            <w:r>
              <w:rPr>
                <w:rFonts w:hint="default" w:cs="Times New Roman"/>
                <w:color w:val="auto"/>
                <w:highlight w:val="none"/>
              </w:rPr>
              <w:t>：</w:t>
            </w:r>
          </w:p>
          <w:p w14:paraId="4F9544EF">
            <w:pPr>
              <w:keepNext w:val="0"/>
              <w:keepLines w:val="0"/>
              <w:suppressLineNumbers w:val="0"/>
              <w:adjustRightInd w:val="0"/>
              <w:snapToGrid w:val="0"/>
              <w:spacing w:before="0" w:beforeAutospacing="0" w:after="0" w:afterAutospacing="0"/>
              <w:ind w:left="0" w:right="0" w:firstLine="480" w:firstLineChars="200"/>
              <w:jc w:val="center"/>
              <w:rPr>
                <w:rFonts w:hint="eastAsia" w:eastAsia="宋体" w:cs="Times New Roman"/>
                <w:i/>
                <w:color w:val="auto"/>
                <w:highlight w:val="none"/>
                <w:lang w:eastAsia="zh-CN"/>
              </w:rPr>
            </w:pPr>
            <m:oMathPara>
              <m:oMath>
                <m:sSub>
                  <m:sSubPr>
                    <m:ctrlPr>
                      <w:rPr>
                        <w:rFonts w:hint="default" w:ascii="Cambria Math" w:hAnsi="Cambria Math" w:cs="Times New Roman"/>
                        <w:i/>
                        <w:color w:val="auto"/>
                        <w:sz w:val="24"/>
                        <w:highlight w:val="none"/>
                      </w:rPr>
                    </m:ctrlPr>
                  </m:sSubPr>
                  <m:e>
                    <m:r>
                      <m:rPr/>
                      <w:rPr>
                        <w:rFonts w:hint="default" w:ascii="Cambria Math" w:hAnsi="Cambria Math" w:cs="Times New Roman"/>
                        <w:color w:val="auto"/>
                        <w:sz w:val="24"/>
                        <w:highlight w:val="none"/>
                      </w:rPr>
                      <m:t>L</m:t>
                    </m:r>
                    <m:ctrlPr>
                      <w:rPr>
                        <w:rFonts w:hint="default" w:ascii="Cambria Math" w:hAnsi="Cambria Math" w:cs="Times New Roman"/>
                        <w:i/>
                        <w:color w:val="auto"/>
                        <w:sz w:val="24"/>
                        <w:highlight w:val="none"/>
                      </w:rPr>
                    </m:ctrlPr>
                  </m:e>
                  <m:sub>
                    <m:r>
                      <m:rPr/>
                      <w:rPr>
                        <w:rFonts w:hint="default" w:ascii="Cambria Math" w:hAnsi="Cambria Math" w:cs="Times New Roman"/>
                        <w:color w:val="auto"/>
                        <w:sz w:val="24"/>
                        <w:highlight w:val="none"/>
                      </w:rPr>
                      <m:t>P</m:t>
                    </m:r>
                    <m:d>
                      <m:dPr>
                        <m:ctrlPr>
                          <w:rPr>
                            <w:rFonts w:hint="default" w:ascii="Cambria Math" w:hAnsi="Cambria Math" w:cs="Times New Roman"/>
                            <w:i/>
                            <w:color w:val="auto"/>
                            <w:sz w:val="24"/>
                            <w:highlight w:val="none"/>
                          </w:rPr>
                        </m:ctrlPr>
                      </m:dPr>
                      <m:e>
                        <m:r>
                          <m:rPr/>
                          <w:rPr>
                            <w:rFonts w:hint="default" w:ascii="Cambria Math" w:hAnsi="Cambria Math" w:cs="Times New Roman"/>
                            <w:color w:val="auto"/>
                            <w:sz w:val="24"/>
                            <w:highlight w:val="none"/>
                          </w:rPr>
                          <m:t>r</m:t>
                        </m:r>
                        <m:ctrlPr>
                          <w:rPr>
                            <w:rFonts w:hint="default" w:ascii="Cambria Math" w:hAnsi="Cambria Math" w:cs="Times New Roman"/>
                            <w:i/>
                            <w:color w:val="auto"/>
                            <w:sz w:val="24"/>
                            <w:highlight w:val="none"/>
                          </w:rPr>
                        </m:ctrlPr>
                      </m:e>
                    </m:d>
                    <m:ctrlPr>
                      <w:rPr>
                        <w:rFonts w:hint="default" w:ascii="Cambria Math" w:hAnsi="Cambria Math" w:cs="Times New Roman"/>
                        <w:i/>
                        <w:color w:val="auto"/>
                        <w:sz w:val="24"/>
                        <w:highlight w:val="none"/>
                      </w:rPr>
                    </m:ctrlPr>
                  </m:sub>
                </m:sSub>
                <m:r>
                  <m:rPr/>
                  <w:rPr>
                    <w:rFonts w:hint="default" w:ascii="Cambria Math" w:hAnsi="Cambria Math" w:cs="Times New Roman"/>
                    <w:color w:val="auto"/>
                    <w:sz w:val="24"/>
                    <w:highlight w:val="none"/>
                  </w:rPr>
                  <m:t>=</m:t>
                </m:r>
                <m:sSub>
                  <m:sSubPr>
                    <m:ctrlPr>
                      <w:rPr>
                        <w:rFonts w:hint="default" w:ascii="Cambria Math" w:hAnsi="Cambria Math" w:cs="Times New Roman"/>
                        <w:i/>
                        <w:color w:val="auto"/>
                        <w:sz w:val="24"/>
                        <w:highlight w:val="none"/>
                      </w:rPr>
                    </m:ctrlPr>
                  </m:sSubPr>
                  <m:e>
                    <m:r>
                      <m:rPr/>
                      <w:rPr>
                        <w:rFonts w:hint="default" w:ascii="Cambria Math" w:hAnsi="Cambria Math" w:cs="Times New Roman"/>
                        <w:color w:val="auto"/>
                        <w:sz w:val="24"/>
                        <w:highlight w:val="none"/>
                      </w:rPr>
                      <m:t>L</m:t>
                    </m:r>
                    <m:ctrlPr>
                      <w:rPr>
                        <w:rFonts w:hint="default" w:ascii="Cambria Math" w:hAnsi="Cambria Math" w:cs="Times New Roman"/>
                        <w:i/>
                        <w:color w:val="auto"/>
                        <w:sz w:val="24"/>
                        <w:highlight w:val="none"/>
                      </w:rPr>
                    </m:ctrlPr>
                  </m:e>
                  <m:sub>
                    <m:r>
                      <m:rPr/>
                      <w:rPr>
                        <w:rFonts w:hint="default" w:ascii="Cambria Math" w:hAnsi="Cambria Math" w:cs="Times New Roman"/>
                        <w:color w:val="auto"/>
                        <w:sz w:val="24"/>
                        <w:highlight w:val="none"/>
                      </w:rPr>
                      <m:t>W</m:t>
                    </m:r>
                    <m:ctrlPr>
                      <w:rPr>
                        <w:rFonts w:hint="default" w:ascii="Cambria Math" w:hAnsi="Cambria Math" w:cs="Times New Roman"/>
                        <w:i/>
                        <w:color w:val="auto"/>
                        <w:sz w:val="24"/>
                        <w:highlight w:val="none"/>
                      </w:rPr>
                    </m:ctrlPr>
                  </m:sub>
                </m:sSub>
                <m:r>
                  <m:rPr/>
                  <w:rPr>
                    <w:rFonts w:hint="default" w:ascii="Cambria Math" w:hAnsi="Cambria Math" w:cs="Times New Roman"/>
                    <w:color w:val="auto"/>
                    <w:sz w:val="24"/>
                    <w:highlight w:val="none"/>
                  </w:rPr>
                  <m:t>−</m:t>
                </m:r>
                <m:r>
                  <m:rPr/>
                  <w:rPr>
                    <w:rFonts w:hint="default" w:ascii="Cambria Math" w:hAnsi="Cambria Math" w:cs="Times New Roman"/>
                    <w:color w:val="auto"/>
                    <w:sz w:val="24"/>
                    <w:highlight w:val="none"/>
                    <w:lang w:val="en-US" w:eastAsia="zh-CN"/>
                  </w:rPr>
                  <m:t>2</m:t>
                </m:r>
                <m:r>
                  <m:rPr/>
                  <w:rPr>
                    <w:rFonts w:hint="default" w:ascii="Cambria Math" w:hAnsi="Cambria Math" w:cs="Times New Roman"/>
                    <w:color w:val="auto"/>
                    <w:sz w:val="24"/>
                    <w:highlight w:val="none"/>
                  </w:rPr>
                  <m:t>0</m:t>
                </m:r>
                <m:r>
                  <m:rPr>
                    <m:sty m:val="p"/>
                  </m:rPr>
                  <w:rPr>
                    <w:rFonts w:hint="default" w:ascii="Cambria Math" w:hAnsi="Cambria Math" w:cs="Times New Roman"/>
                    <w:color w:val="auto"/>
                    <w:sz w:val="24"/>
                    <w:highlight w:val="none"/>
                  </w:rPr>
                  <m:t>lg</m:t>
                </m:r>
                <m:sSub>
                  <m:sSubPr>
                    <m:ctrlPr>
                      <w:rPr>
                        <w:rFonts w:hint="default" w:ascii="Cambria Math" w:hAnsi="Cambria Math" w:cs="Times New Roman"/>
                        <w:i/>
                        <w:color w:val="auto"/>
                        <w:sz w:val="24"/>
                        <w:highlight w:val="none"/>
                      </w:rPr>
                    </m:ctrlPr>
                  </m:sSubPr>
                  <m:e>
                    <m:r>
                      <m:rPr/>
                      <w:rPr>
                        <w:rFonts w:hint="default" w:ascii="Cambria Math" w:hAnsi="Cambria Math" w:cs="Times New Roman"/>
                        <w:color w:val="auto"/>
                        <w:sz w:val="24"/>
                        <w:highlight w:val="none"/>
                      </w:rPr>
                      <m:t>r</m:t>
                    </m:r>
                    <m:ctrlPr>
                      <w:rPr>
                        <w:rFonts w:hint="default" w:ascii="Cambria Math" w:hAnsi="Cambria Math" w:cs="Times New Roman"/>
                        <w:i/>
                        <w:color w:val="auto"/>
                        <w:sz w:val="24"/>
                        <w:highlight w:val="none"/>
                      </w:rPr>
                    </m:ctrlPr>
                  </m:e>
                  <m:sub>
                    <m:r>
                      <m:rPr/>
                      <w:rPr>
                        <w:rFonts w:hint="default" w:ascii="Cambria Math" w:hAnsi="Cambria Math" w:cs="Times New Roman"/>
                        <w:color w:val="auto"/>
                        <w:sz w:val="24"/>
                        <w:highlight w:val="none"/>
                      </w:rPr>
                      <m:t>0</m:t>
                    </m:r>
                    <m:ctrlPr>
                      <w:rPr>
                        <w:rFonts w:hint="default" w:ascii="Cambria Math" w:hAnsi="Cambria Math" w:cs="Times New Roman"/>
                        <w:i/>
                        <w:color w:val="auto"/>
                        <w:sz w:val="24"/>
                        <w:highlight w:val="none"/>
                      </w:rPr>
                    </m:ctrlPr>
                  </m:sub>
                </m:sSub>
                <m:r>
                  <m:rPr/>
                  <w:rPr>
                    <w:rFonts w:hint="default" w:ascii="Cambria Math" w:hAnsi="Cambria Math" w:cs="Times New Roman"/>
                    <w:color w:val="auto"/>
                    <w:sz w:val="24"/>
                    <w:highlight w:val="none"/>
                  </w:rPr>
                  <m:t>−</m:t>
                </m:r>
                <m:r>
                  <m:rPr/>
                  <w:rPr>
                    <w:rFonts w:hint="default" w:ascii="Cambria Math" w:hAnsi="Cambria Math" w:cs="Times New Roman"/>
                    <w:color w:val="auto"/>
                    <w:sz w:val="24"/>
                    <w:highlight w:val="none"/>
                    <w:lang w:val="en-US" w:eastAsia="zh-CN"/>
                  </w:rPr>
                  <m:t>8</m:t>
                </m:r>
              </m:oMath>
            </m:oMathPara>
          </w:p>
          <w:p w14:paraId="4D4F9C77">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式中：</w:t>
            </w:r>
          </w:p>
          <w:p w14:paraId="2D8DBCA9">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Lp(r</w:t>
            </w:r>
            <w:r>
              <w:rPr>
                <w:rFonts w:hint="default" w:cs="Times New Roman"/>
                <w:color w:val="auto"/>
                <w:highlight w:val="none"/>
                <w:vertAlign w:val="subscript"/>
              </w:rPr>
              <w:t>0</w:t>
            </w:r>
            <w:r>
              <w:rPr>
                <w:rFonts w:hint="default" w:cs="Times New Roman"/>
                <w:color w:val="auto"/>
                <w:highlight w:val="none"/>
              </w:rPr>
              <w:t>)——参考位置r</w:t>
            </w:r>
            <w:r>
              <w:rPr>
                <w:rFonts w:hint="default" w:cs="Times New Roman"/>
                <w:color w:val="auto"/>
                <w:highlight w:val="none"/>
                <w:vertAlign w:val="subscript"/>
              </w:rPr>
              <w:t>0</w:t>
            </w:r>
            <w:r>
              <w:rPr>
                <w:rFonts w:hint="default" w:cs="Times New Roman"/>
                <w:color w:val="auto"/>
                <w:highlight w:val="none"/>
              </w:rPr>
              <w:t>处的声压级，dB(A)；</w:t>
            </w:r>
          </w:p>
          <w:p w14:paraId="1919E870">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Lp(r)——噪声源在预测点的声压级，dB(A)；</w:t>
            </w:r>
          </w:p>
          <w:p w14:paraId="00FD5422">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r</w:t>
            </w:r>
            <w:r>
              <w:rPr>
                <w:rFonts w:hint="default" w:cs="Times New Roman"/>
                <w:color w:val="auto"/>
                <w:highlight w:val="none"/>
                <w:vertAlign w:val="subscript"/>
              </w:rPr>
              <w:t>0</w:t>
            </w:r>
            <w:r>
              <w:rPr>
                <w:rFonts w:hint="default" w:cs="Times New Roman"/>
                <w:color w:val="auto"/>
                <w:highlight w:val="none"/>
              </w:rPr>
              <w:t>——参考位置距声源中心的距离，m；</w:t>
            </w:r>
          </w:p>
          <w:p w14:paraId="467306AC">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r——声源中心至预测点的距离，m；</w:t>
            </w:r>
          </w:p>
          <w:p w14:paraId="14339BDD">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eastAsia" w:cs="Times New Roman"/>
                <w:color w:val="auto"/>
                <w:highlight w:val="none"/>
                <w:lang w:val="en-US" w:eastAsia="zh-CN"/>
              </w:rPr>
              <w:t>5</w:t>
            </w:r>
            <w:r>
              <w:rPr>
                <w:rFonts w:hint="default" w:cs="Times New Roman"/>
                <w:color w:val="auto"/>
                <w:highlight w:val="none"/>
              </w:rPr>
              <w:t>）噪声贡献值计算</w:t>
            </w:r>
          </w:p>
          <w:p w14:paraId="3706C700">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设第i个室外声源在预测点产生的A声级为L</w:t>
            </w:r>
            <w:r>
              <w:rPr>
                <w:rFonts w:hint="default" w:cs="Times New Roman"/>
                <w:color w:val="auto"/>
                <w:highlight w:val="none"/>
                <w:vertAlign w:val="subscript"/>
              </w:rPr>
              <w:t>Ai</w:t>
            </w:r>
            <w:r>
              <w:rPr>
                <w:rFonts w:hint="default" w:cs="Times New Roman"/>
                <w:color w:val="auto"/>
                <w:highlight w:val="none"/>
              </w:rPr>
              <w:t>，在T时间内该声源工作时间为ti，第j个等效室外声源在预测点产生的A声级为L</w:t>
            </w:r>
            <w:r>
              <w:rPr>
                <w:rFonts w:hint="default" w:cs="Times New Roman"/>
                <w:color w:val="auto"/>
                <w:highlight w:val="none"/>
                <w:vertAlign w:val="subscript"/>
              </w:rPr>
              <w:t>Aj</w:t>
            </w:r>
            <w:r>
              <w:rPr>
                <w:rFonts w:hint="default" w:cs="Times New Roman"/>
                <w:color w:val="auto"/>
                <w:highlight w:val="none"/>
              </w:rPr>
              <w:t>，在T时间内该声源工作时间为tj，则项目工程声源对预测点产生的贡献值（Leqg）为：</w:t>
            </w:r>
          </w:p>
          <w:p w14:paraId="5A86BE6E">
            <w:pPr>
              <w:keepNext w:val="0"/>
              <w:keepLines w:val="0"/>
              <w:suppressLineNumbers w:val="0"/>
              <w:adjustRightInd w:val="0"/>
              <w:snapToGrid w:val="0"/>
              <w:spacing w:before="0" w:beforeAutospacing="0" w:after="0" w:afterAutospacing="0"/>
              <w:ind w:left="0" w:right="0" w:firstLine="480" w:firstLineChars="200"/>
              <w:jc w:val="center"/>
              <w:rPr>
                <w:rFonts w:hint="default" w:cs="Times New Roman"/>
                <w:color w:val="auto"/>
                <w:highlight w:val="none"/>
              </w:rPr>
            </w:pPr>
            <m:oMathPara>
              <m:oMath>
                <m:sSub>
                  <m:sSubPr>
                    <m:ctrlPr>
                      <w:rPr>
                        <w:rFonts w:hint="default" w:ascii="Cambria Math" w:hAnsi="Cambria Math" w:cs="Times New Roman"/>
                        <w:i/>
                        <w:color w:val="auto"/>
                        <w:sz w:val="24"/>
                        <w:highlight w:val="none"/>
                      </w:rPr>
                    </m:ctrlPr>
                  </m:sSubPr>
                  <m:e>
                    <m:r>
                      <m:rPr/>
                      <w:rPr>
                        <w:rFonts w:hint="default" w:ascii="Cambria Math" w:hAnsi="Cambria Math" w:cs="Times New Roman"/>
                        <w:color w:val="auto"/>
                        <w:sz w:val="24"/>
                        <w:highlight w:val="none"/>
                      </w:rPr>
                      <m:t>L</m:t>
                    </m:r>
                    <m:ctrlPr>
                      <w:rPr>
                        <w:rFonts w:hint="default" w:ascii="Cambria Math" w:hAnsi="Cambria Math" w:cs="Times New Roman"/>
                        <w:i/>
                        <w:color w:val="auto"/>
                        <w:sz w:val="24"/>
                        <w:highlight w:val="none"/>
                      </w:rPr>
                    </m:ctrlPr>
                  </m:e>
                  <m:sub>
                    <m:r>
                      <m:rPr/>
                      <w:rPr>
                        <w:rFonts w:hint="default" w:ascii="Cambria Math" w:hAnsi="Cambria Math" w:cs="Times New Roman"/>
                        <w:color w:val="auto"/>
                        <w:sz w:val="24"/>
                        <w:highlight w:val="none"/>
                      </w:rPr>
                      <m:t>eqg</m:t>
                    </m:r>
                    <m:ctrlPr>
                      <w:rPr>
                        <w:rFonts w:hint="default" w:ascii="Cambria Math" w:hAnsi="Cambria Math" w:cs="Times New Roman"/>
                        <w:i/>
                        <w:color w:val="auto"/>
                        <w:sz w:val="24"/>
                        <w:highlight w:val="none"/>
                      </w:rPr>
                    </m:ctrlPr>
                  </m:sub>
                </m:sSub>
                <m:r>
                  <m:rPr>
                    <m:sty m:val="p"/>
                  </m:rPr>
                  <w:rPr>
                    <w:rFonts w:hint="default" w:ascii="Cambria Math" w:hAnsi="Cambria Math" w:cs="Times New Roman"/>
                    <w:color w:val="auto"/>
                    <w:sz w:val="24"/>
                    <w:highlight w:val="none"/>
                  </w:rPr>
                  <m:t>=10lg⁡[</m:t>
                </m:r>
                <m:f>
                  <m:fPr>
                    <m:ctrlPr>
                      <w:rPr>
                        <w:rFonts w:hint="default" w:ascii="Cambria Math" w:hAnsi="Cambria Math" w:cs="Times New Roman"/>
                        <w:i/>
                        <w:color w:val="auto"/>
                        <w:sz w:val="24"/>
                        <w:highlight w:val="none"/>
                      </w:rPr>
                    </m:ctrlPr>
                  </m:fPr>
                  <m:num>
                    <m:r>
                      <m:rPr/>
                      <w:rPr>
                        <w:rFonts w:hint="default" w:ascii="Cambria Math" w:hAnsi="Cambria Math" w:cs="Times New Roman"/>
                        <w:color w:val="auto"/>
                        <w:sz w:val="24"/>
                        <w:highlight w:val="none"/>
                      </w:rPr>
                      <m:t>1</m:t>
                    </m:r>
                    <m:ctrlPr>
                      <w:rPr>
                        <w:rFonts w:hint="default" w:ascii="Cambria Math" w:hAnsi="Cambria Math" w:cs="Times New Roman"/>
                        <w:i/>
                        <w:color w:val="auto"/>
                        <w:sz w:val="24"/>
                        <w:highlight w:val="none"/>
                      </w:rPr>
                    </m:ctrlPr>
                  </m:num>
                  <m:den>
                    <m:r>
                      <m:rPr/>
                      <w:rPr>
                        <w:rFonts w:hint="default" w:ascii="Cambria Math" w:hAnsi="Cambria Math" w:cs="Times New Roman"/>
                        <w:color w:val="auto"/>
                        <w:sz w:val="24"/>
                        <w:highlight w:val="none"/>
                      </w:rPr>
                      <m:t>T</m:t>
                    </m:r>
                    <m:ctrlPr>
                      <w:rPr>
                        <w:rFonts w:hint="default" w:ascii="Cambria Math" w:hAnsi="Cambria Math" w:cs="Times New Roman"/>
                        <w:i/>
                        <w:color w:val="auto"/>
                        <w:sz w:val="24"/>
                        <w:highlight w:val="none"/>
                      </w:rPr>
                    </m:ctrlPr>
                  </m:den>
                </m:f>
                <m:r>
                  <m:rPr>
                    <m:sty m:val="p"/>
                  </m:rPr>
                  <w:rPr>
                    <w:rFonts w:hint="default" w:ascii="Cambria Math" w:hAnsi="Cambria Math" w:cs="Times New Roman"/>
                    <w:color w:val="auto"/>
                    <w:sz w:val="24"/>
                    <w:highlight w:val="none"/>
                  </w:rPr>
                  <m:t>(</m:t>
                </m:r>
                <m:nary>
                  <m:naryPr>
                    <m:chr m:val="∑"/>
                    <m:limLoc m:val="undOvr"/>
                    <m:ctrlPr>
                      <w:rPr>
                        <w:rFonts w:hint="default" w:ascii="Cambria Math" w:hAnsi="Cambria Math" w:cs="Times New Roman"/>
                        <w:i/>
                        <w:color w:val="auto"/>
                        <w:sz w:val="24"/>
                        <w:highlight w:val="none"/>
                      </w:rPr>
                    </m:ctrlPr>
                  </m:naryPr>
                  <m:sub>
                    <m:r>
                      <m:rPr/>
                      <w:rPr>
                        <w:rFonts w:hint="default" w:ascii="Cambria Math" w:hAnsi="Cambria Math" w:cs="Times New Roman"/>
                        <w:color w:val="auto"/>
                        <w:sz w:val="24"/>
                        <w:highlight w:val="none"/>
                      </w:rPr>
                      <m:t>i=1</m:t>
                    </m:r>
                    <m:ctrlPr>
                      <w:rPr>
                        <w:rFonts w:hint="default" w:ascii="Cambria Math" w:hAnsi="Cambria Math" w:cs="Times New Roman"/>
                        <w:i/>
                        <w:color w:val="auto"/>
                        <w:sz w:val="24"/>
                        <w:highlight w:val="none"/>
                      </w:rPr>
                    </m:ctrlPr>
                  </m:sub>
                  <m:sup>
                    <m:r>
                      <m:rPr/>
                      <w:rPr>
                        <w:rFonts w:hint="default" w:ascii="Cambria Math" w:hAnsi="Cambria Math" w:cs="Times New Roman"/>
                        <w:color w:val="auto"/>
                        <w:sz w:val="24"/>
                        <w:highlight w:val="none"/>
                      </w:rPr>
                      <m:t>N</m:t>
                    </m:r>
                    <m:ctrlPr>
                      <w:rPr>
                        <w:rFonts w:hint="default" w:ascii="Cambria Math" w:hAnsi="Cambria Math" w:cs="Times New Roman"/>
                        <w:i/>
                        <w:color w:val="auto"/>
                        <w:sz w:val="24"/>
                        <w:highlight w:val="none"/>
                      </w:rPr>
                    </m:ctrlPr>
                  </m:sup>
                  <m:e>
                    <m:sSub>
                      <m:sSubPr>
                        <m:ctrlPr>
                          <w:rPr>
                            <w:rFonts w:hint="default" w:ascii="Cambria Math" w:hAnsi="Cambria Math" w:cs="Times New Roman"/>
                            <w:i/>
                            <w:color w:val="auto"/>
                            <w:sz w:val="24"/>
                            <w:highlight w:val="none"/>
                          </w:rPr>
                        </m:ctrlPr>
                      </m:sSubPr>
                      <m:e>
                        <m:r>
                          <m:rPr/>
                          <w:rPr>
                            <w:rFonts w:hint="default" w:ascii="Cambria Math" w:hAnsi="Cambria Math" w:cs="Times New Roman"/>
                            <w:color w:val="auto"/>
                            <w:sz w:val="24"/>
                            <w:highlight w:val="none"/>
                          </w:rPr>
                          <m:t>t</m:t>
                        </m:r>
                        <m:ctrlPr>
                          <w:rPr>
                            <w:rFonts w:hint="default" w:ascii="Cambria Math" w:hAnsi="Cambria Math" w:cs="Times New Roman"/>
                            <w:i/>
                            <w:color w:val="auto"/>
                            <w:sz w:val="24"/>
                            <w:highlight w:val="none"/>
                          </w:rPr>
                        </m:ctrlPr>
                      </m:e>
                      <m:sub>
                        <m:r>
                          <m:rPr/>
                          <w:rPr>
                            <w:rFonts w:hint="default" w:ascii="Cambria Math" w:hAnsi="Cambria Math" w:cs="Times New Roman"/>
                            <w:color w:val="auto"/>
                            <w:sz w:val="24"/>
                            <w:highlight w:val="none"/>
                          </w:rPr>
                          <m:t>i</m:t>
                        </m:r>
                        <m:ctrlPr>
                          <w:rPr>
                            <w:rFonts w:hint="default" w:ascii="Cambria Math" w:hAnsi="Cambria Math" w:cs="Times New Roman"/>
                            <w:i/>
                            <w:color w:val="auto"/>
                            <w:sz w:val="24"/>
                            <w:highlight w:val="none"/>
                          </w:rPr>
                        </m:ctrlPr>
                      </m:sub>
                    </m:sSub>
                    <m:ctrlPr>
                      <w:rPr>
                        <w:rFonts w:hint="default" w:ascii="Cambria Math" w:hAnsi="Cambria Math" w:cs="Times New Roman"/>
                        <w:i/>
                        <w:color w:val="auto"/>
                        <w:sz w:val="24"/>
                        <w:highlight w:val="none"/>
                      </w:rPr>
                    </m:ctrlPr>
                  </m:e>
                </m:nary>
                <m:sSup>
                  <m:sSupPr>
                    <m:ctrlPr>
                      <w:rPr>
                        <w:rFonts w:hint="default" w:ascii="Cambria Math" w:hAnsi="Cambria Math" w:cs="Times New Roman"/>
                        <w:i/>
                        <w:color w:val="auto"/>
                        <w:sz w:val="24"/>
                        <w:highlight w:val="none"/>
                      </w:rPr>
                    </m:ctrlPr>
                  </m:sSupPr>
                  <m:e>
                    <m:r>
                      <m:rPr/>
                      <w:rPr>
                        <w:rFonts w:hint="default" w:ascii="Cambria Math" w:hAnsi="Cambria Math" w:cs="Times New Roman"/>
                        <w:color w:val="auto"/>
                        <w:sz w:val="24"/>
                        <w:highlight w:val="none"/>
                      </w:rPr>
                      <m:t>10</m:t>
                    </m:r>
                    <m:ctrlPr>
                      <w:rPr>
                        <w:rFonts w:hint="default" w:ascii="Cambria Math" w:hAnsi="Cambria Math" w:cs="Times New Roman"/>
                        <w:i/>
                        <w:color w:val="auto"/>
                        <w:sz w:val="24"/>
                        <w:highlight w:val="none"/>
                      </w:rPr>
                    </m:ctrlPr>
                  </m:e>
                  <m:sup>
                    <m:r>
                      <m:rPr/>
                      <w:rPr>
                        <w:rFonts w:hint="default" w:ascii="Cambria Math" w:hAnsi="Cambria Math" w:cs="Times New Roman"/>
                        <w:color w:val="auto"/>
                        <w:sz w:val="24"/>
                        <w:highlight w:val="none"/>
                      </w:rPr>
                      <m:t>0.1LAi</m:t>
                    </m:r>
                    <m:ctrlPr>
                      <w:rPr>
                        <w:rFonts w:hint="default" w:ascii="Cambria Math" w:hAnsi="Cambria Math" w:cs="Times New Roman"/>
                        <w:i/>
                        <w:color w:val="auto"/>
                        <w:sz w:val="24"/>
                        <w:highlight w:val="none"/>
                      </w:rPr>
                    </m:ctrlPr>
                  </m:sup>
                </m:sSup>
                <m:r>
                  <m:rPr/>
                  <w:rPr>
                    <w:rFonts w:hint="default" w:ascii="Cambria Math" w:hAnsi="Cambria Math" w:cs="Times New Roman"/>
                    <w:color w:val="auto"/>
                    <w:sz w:val="24"/>
                    <w:highlight w:val="none"/>
                  </w:rPr>
                  <m:t>+</m:t>
                </m:r>
                <m:nary>
                  <m:naryPr>
                    <m:chr m:val="∑"/>
                    <m:limLoc m:val="undOvr"/>
                    <m:ctrlPr>
                      <w:rPr>
                        <w:rFonts w:hint="default" w:ascii="Cambria Math" w:hAnsi="Cambria Math" w:cs="Times New Roman"/>
                        <w:i/>
                        <w:color w:val="auto"/>
                        <w:sz w:val="24"/>
                        <w:highlight w:val="none"/>
                      </w:rPr>
                    </m:ctrlPr>
                  </m:naryPr>
                  <m:sub>
                    <m:r>
                      <m:rPr/>
                      <w:rPr>
                        <w:rFonts w:hint="default" w:ascii="Cambria Math" w:hAnsi="Cambria Math" w:cs="Times New Roman"/>
                        <w:color w:val="auto"/>
                        <w:sz w:val="24"/>
                        <w:highlight w:val="none"/>
                      </w:rPr>
                      <m:t>j=1</m:t>
                    </m:r>
                    <m:ctrlPr>
                      <w:rPr>
                        <w:rFonts w:hint="default" w:ascii="Cambria Math" w:hAnsi="Cambria Math" w:cs="Times New Roman"/>
                        <w:i/>
                        <w:color w:val="auto"/>
                        <w:sz w:val="24"/>
                        <w:highlight w:val="none"/>
                      </w:rPr>
                    </m:ctrlPr>
                  </m:sub>
                  <m:sup>
                    <m:r>
                      <m:rPr/>
                      <w:rPr>
                        <w:rFonts w:hint="default" w:ascii="Cambria Math" w:hAnsi="Cambria Math" w:cs="Times New Roman"/>
                        <w:color w:val="auto"/>
                        <w:sz w:val="24"/>
                        <w:highlight w:val="none"/>
                      </w:rPr>
                      <m:t>M</m:t>
                    </m:r>
                    <m:ctrlPr>
                      <w:rPr>
                        <w:rFonts w:hint="default" w:ascii="Cambria Math" w:hAnsi="Cambria Math" w:cs="Times New Roman"/>
                        <w:i/>
                        <w:color w:val="auto"/>
                        <w:sz w:val="24"/>
                        <w:highlight w:val="none"/>
                      </w:rPr>
                    </m:ctrlPr>
                  </m:sup>
                  <m:e>
                    <m:sSub>
                      <m:sSubPr>
                        <m:ctrlPr>
                          <w:rPr>
                            <w:rFonts w:hint="default" w:ascii="Cambria Math" w:hAnsi="Cambria Math" w:cs="Times New Roman"/>
                            <w:i/>
                            <w:color w:val="auto"/>
                            <w:sz w:val="24"/>
                            <w:highlight w:val="none"/>
                          </w:rPr>
                        </m:ctrlPr>
                      </m:sSubPr>
                      <m:e>
                        <m:r>
                          <m:rPr/>
                          <w:rPr>
                            <w:rFonts w:hint="default" w:ascii="Cambria Math" w:hAnsi="Cambria Math" w:cs="Times New Roman"/>
                            <w:color w:val="auto"/>
                            <w:sz w:val="24"/>
                            <w:highlight w:val="none"/>
                          </w:rPr>
                          <m:t>t</m:t>
                        </m:r>
                        <m:ctrlPr>
                          <w:rPr>
                            <w:rFonts w:hint="default" w:ascii="Cambria Math" w:hAnsi="Cambria Math" w:cs="Times New Roman"/>
                            <w:i/>
                            <w:color w:val="auto"/>
                            <w:sz w:val="24"/>
                            <w:highlight w:val="none"/>
                          </w:rPr>
                        </m:ctrlPr>
                      </m:e>
                      <m:sub>
                        <m:r>
                          <m:rPr/>
                          <w:rPr>
                            <w:rFonts w:hint="default" w:ascii="Cambria Math" w:hAnsi="Cambria Math" w:cs="Times New Roman"/>
                            <w:color w:val="auto"/>
                            <w:sz w:val="24"/>
                            <w:highlight w:val="none"/>
                          </w:rPr>
                          <m:t>j</m:t>
                        </m:r>
                        <m:ctrlPr>
                          <w:rPr>
                            <w:rFonts w:hint="default" w:ascii="Cambria Math" w:hAnsi="Cambria Math" w:cs="Times New Roman"/>
                            <w:i/>
                            <w:color w:val="auto"/>
                            <w:sz w:val="24"/>
                            <w:highlight w:val="none"/>
                          </w:rPr>
                        </m:ctrlPr>
                      </m:sub>
                    </m:sSub>
                    <m:ctrlPr>
                      <w:rPr>
                        <w:rFonts w:hint="default" w:ascii="Cambria Math" w:hAnsi="Cambria Math" w:cs="Times New Roman"/>
                        <w:i/>
                        <w:color w:val="auto"/>
                        <w:sz w:val="24"/>
                        <w:highlight w:val="none"/>
                      </w:rPr>
                    </m:ctrlPr>
                  </m:e>
                </m:nary>
                <m:sSup>
                  <m:sSupPr>
                    <m:ctrlPr>
                      <w:rPr>
                        <w:rFonts w:hint="default" w:ascii="Cambria Math" w:hAnsi="Cambria Math" w:cs="Times New Roman"/>
                        <w:i/>
                        <w:color w:val="auto"/>
                        <w:sz w:val="24"/>
                        <w:highlight w:val="none"/>
                      </w:rPr>
                    </m:ctrlPr>
                  </m:sSupPr>
                  <m:e>
                    <m:r>
                      <m:rPr/>
                      <w:rPr>
                        <w:rFonts w:hint="default" w:ascii="Cambria Math" w:hAnsi="Cambria Math" w:cs="Times New Roman"/>
                        <w:color w:val="auto"/>
                        <w:sz w:val="24"/>
                        <w:highlight w:val="none"/>
                      </w:rPr>
                      <m:t>10</m:t>
                    </m:r>
                    <m:ctrlPr>
                      <w:rPr>
                        <w:rFonts w:hint="default" w:ascii="Cambria Math" w:hAnsi="Cambria Math" w:cs="Times New Roman"/>
                        <w:i/>
                        <w:color w:val="auto"/>
                        <w:sz w:val="24"/>
                        <w:highlight w:val="none"/>
                      </w:rPr>
                    </m:ctrlPr>
                  </m:e>
                  <m:sup>
                    <m:r>
                      <m:rPr/>
                      <w:rPr>
                        <w:rFonts w:hint="default" w:ascii="Cambria Math" w:hAnsi="Cambria Math" w:cs="Times New Roman"/>
                        <w:color w:val="auto"/>
                        <w:sz w:val="24"/>
                        <w:highlight w:val="none"/>
                      </w:rPr>
                      <m:t>0.1LAj</m:t>
                    </m:r>
                    <m:ctrlPr>
                      <w:rPr>
                        <w:rFonts w:hint="default" w:ascii="Cambria Math" w:hAnsi="Cambria Math" w:cs="Times New Roman"/>
                        <w:i/>
                        <w:color w:val="auto"/>
                        <w:sz w:val="24"/>
                        <w:highlight w:val="none"/>
                      </w:rPr>
                    </m:ctrlPr>
                  </m:sup>
                </m:sSup>
                <m:r>
                  <m:rPr>
                    <m:sty m:val="p"/>
                  </m:rPr>
                  <w:rPr>
                    <w:rFonts w:hint="default" w:ascii="Cambria Math" w:hAnsi="Cambria Math" w:cs="Times New Roman"/>
                    <w:color w:val="auto"/>
                    <w:sz w:val="24"/>
                    <w:highlight w:val="none"/>
                  </w:rPr>
                  <m:t>)]</m:t>
                </m:r>
              </m:oMath>
            </m:oMathPara>
          </w:p>
          <w:p w14:paraId="63DD972A">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式中：</w:t>
            </w:r>
          </w:p>
          <w:p w14:paraId="68B662EC">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eastAsia" w:cs="Times New Roman"/>
                <w:color w:val="auto"/>
                <w:highlight w:val="none"/>
              </w:rPr>
              <w:t>Leqg——建设项目声源在预测点产生的噪声贡献值，dB；</w:t>
            </w:r>
          </w:p>
          <w:p w14:paraId="17E12803">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ti——在T时间内i声源工作时间，s；</w:t>
            </w:r>
          </w:p>
          <w:p w14:paraId="539F56DD">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tj——在T时间内j声源工作时间，s；</w:t>
            </w:r>
          </w:p>
          <w:p w14:paraId="5B12E043">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T——用于计算等效声级的时间，s；</w:t>
            </w:r>
          </w:p>
          <w:p w14:paraId="3143D60E">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N——室外声源个数；</w:t>
            </w:r>
          </w:p>
          <w:p w14:paraId="15488421">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M——等效室外声源个数。</w:t>
            </w:r>
          </w:p>
          <w:p w14:paraId="7F9E6D95">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eastAsia" w:cs="Times New Roman"/>
                <w:color w:val="auto"/>
                <w:highlight w:val="none"/>
                <w:lang w:val="en-US" w:eastAsia="zh-CN"/>
              </w:rPr>
              <w:t>6</w:t>
            </w:r>
            <w:r>
              <w:rPr>
                <w:rFonts w:hint="default" w:cs="Times New Roman"/>
                <w:color w:val="auto"/>
                <w:highlight w:val="none"/>
              </w:rPr>
              <w:t>）预测点的预测等效声级（Leq）噪声贡献值计算公式：</w:t>
            </w:r>
          </w:p>
          <w:p w14:paraId="0BAAAECA">
            <w:pPr>
              <w:keepNext w:val="0"/>
              <w:keepLines w:val="0"/>
              <w:suppressLineNumbers w:val="0"/>
              <w:adjustRightInd w:val="0"/>
              <w:snapToGrid w:val="0"/>
              <w:spacing w:before="0" w:beforeAutospacing="0" w:after="0" w:afterAutospacing="0"/>
              <w:ind w:left="0" w:right="0" w:firstLine="480" w:firstLineChars="200"/>
              <w:jc w:val="center"/>
              <w:rPr>
                <w:rFonts w:hint="default" w:cs="Times New Roman"/>
                <w:color w:val="auto"/>
                <w:highlight w:val="none"/>
              </w:rPr>
            </w:pPr>
            <m:oMathPara>
              <m:oMath>
                <m:sSub>
                  <m:sSubPr>
                    <m:ctrlPr>
                      <w:rPr>
                        <w:rFonts w:hint="default" w:ascii="Cambria Math" w:hAnsi="Cambria Math" w:cs="Times New Roman"/>
                        <w:i/>
                        <w:color w:val="auto"/>
                        <w:sz w:val="24"/>
                        <w:highlight w:val="none"/>
                      </w:rPr>
                    </m:ctrlPr>
                  </m:sSubPr>
                  <m:e>
                    <m:r>
                      <m:rPr/>
                      <w:rPr>
                        <w:rFonts w:hint="default" w:ascii="Cambria Math" w:hAnsi="Cambria Math" w:cs="Times New Roman"/>
                        <w:color w:val="auto"/>
                        <w:sz w:val="24"/>
                        <w:highlight w:val="none"/>
                      </w:rPr>
                      <m:t>L</m:t>
                    </m:r>
                    <m:ctrlPr>
                      <w:rPr>
                        <w:rFonts w:hint="default" w:ascii="Cambria Math" w:hAnsi="Cambria Math" w:cs="Times New Roman"/>
                        <w:i/>
                        <w:color w:val="auto"/>
                        <w:sz w:val="24"/>
                        <w:highlight w:val="none"/>
                      </w:rPr>
                    </m:ctrlPr>
                  </m:e>
                  <m:sub>
                    <m:r>
                      <m:rPr/>
                      <w:rPr>
                        <w:rFonts w:hint="default" w:ascii="Cambria Math" w:hAnsi="Cambria Math" w:cs="Times New Roman"/>
                        <w:color w:val="auto"/>
                        <w:sz w:val="24"/>
                        <w:highlight w:val="none"/>
                      </w:rPr>
                      <m:t>eq</m:t>
                    </m:r>
                    <m:ctrlPr>
                      <w:rPr>
                        <w:rFonts w:hint="default" w:ascii="Cambria Math" w:hAnsi="Cambria Math" w:cs="Times New Roman"/>
                        <w:i/>
                        <w:color w:val="auto"/>
                        <w:sz w:val="24"/>
                        <w:highlight w:val="none"/>
                      </w:rPr>
                    </m:ctrlPr>
                  </m:sub>
                </m:sSub>
                <m:r>
                  <m:rPr>
                    <m:sty m:val="p"/>
                  </m:rPr>
                  <w:rPr>
                    <w:rFonts w:hint="default" w:ascii="Cambria Math" w:hAnsi="Cambria Math" w:cs="Times New Roman"/>
                    <w:color w:val="auto"/>
                    <w:sz w:val="24"/>
                    <w:highlight w:val="none"/>
                  </w:rPr>
                  <m:t>=10lg⁡[</m:t>
                </m:r>
                <m:sSup>
                  <m:sSupPr>
                    <m:ctrlPr>
                      <w:rPr>
                        <w:rFonts w:hint="default" w:ascii="Cambria Math" w:hAnsi="Cambria Math" w:cs="Times New Roman"/>
                        <w:color w:val="auto"/>
                        <w:sz w:val="24"/>
                        <w:highlight w:val="none"/>
                      </w:rPr>
                    </m:ctrlPr>
                  </m:sSupPr>
                  <m:e>
                    <m:r>
                      <m:rPr>
                        <m:sty m:val="p"/>
                      </m:rPr>
                      <w:rPr>
                        <w:rFonts w:hint="default" w:ascii="Cambria Math" w:hAnsi="Cambria Math" w:cs="Times New Roman"/>
                        <w:color w:val="auto"/>
                        <w:sz w:val="24"/>
                        <w:highlight w:val="none"/>
                      </w:rPr>
                      <m:t>10</m:t>
                    </m:r>
                    <m:ctrlPr>
                      <w:rPr>
                        <w:rFonts w:hint="default" w:ascii="Cambria Math" w:hAnsi="Cambria Math" w:cs="Times New Roman"/>
                        <w:color w:val="auto"/>
                        <w:sz w:val="24"/>
                        <w:highlight w:val="none"/>
                      </w:rPr>
                    </m:ctrlPr>
                  </m:e>
                  <m:sup>
                    <m:r>
                      <m:rPr>
                        <m:sty m:val="p"/>
                      </m:rPr>
                      <w:rPr>
                        <w:rFonts w:hint="default" w:ascii="Cambria Math" w:hAnsi="Cambria Math" w:cs="Times New Roman"/>
                        <w:color w:val="auto"/>
                        <w:sz w:val="24"/>
                        <w:highlight w:val="none"/>
                      </w:rPr>
                      <m:t>0.1</m:t>
                    </m:r>
                    <m:sSub>
                      <m:sSubPr>
                        <m:ctrlPr>
                          <w:rPr>
                            <w:rFonts w:hint="default" w:ascii="Cambria Math" w:hAnsi="Cambria Math" w:cs="Times New Roman"/>
                            <w:color w:val="auto"/>
                            <w:sz w:val="24"/>
                            <w:highlight w:val="none"/>
                          </w:rPr>
                        </m:ctrlPr>
                      </m:sSubPr>
                      <m:e>
                        <m:r>
                          <m:rPr>
                            <m:sty m:val="p"/>
                          </m:rPr>
                          <w:rPr>
                            <w:rFonts w:hint="default" w:ascii="Cambria Math" w:hAnsi="Cambria Math" w:cs="Times New Roman"/>
                            <w:color w:val="auto"/>
                            <w:sz w:val="24"/>
                            <w:highlight w:val="none"/>
                          </w:rPr>
                          <m:t>L</m:t>
                        </m:r>
                        <m:ctrlPr>
                          <w:rPr>
                            <w:rFonts w:hint="default" w:ascii="Cambria Math" w:hAnsi="Cambria Math" w:cs="Times New Roman"/>
                            <w:color w:val="auto"/>
                            <w:sz w:val="24"/>
                            <w:highlight w:val="none"/>
                          </w:rPr>
                        </m:ctrlPr>
                      </m:e>
                      <m:sub>
                        <m:r>
                          <m:rPr>
                            <m:sty m:val="p"/>
                          </m:rPr>
                          <w:rPr>
                            <w:rFonts w:hint="default" w:ascii="Cambria Math" w:hAnsi="Cambria Math" w:cs="Times New Roman"/>
                            <w:color w:val="auto"/>
                            <w:sz w:val="24"/>
                            <w:highlight w:val="none"/>
                          </w:rPr>
                          <m:t>eqg</m:t>
                        </m:r>
                        <m:ctrlPr>
                          <w:rPr>
                            <w:rFonts w:hint="default" w:ascii="Cambria Math" w:hAnsi="Cambria Math" w:cs="Times New Roman"/>
                            <w:color w:val="auto"/>
                            <w:sz w:val="24"/>
                            <w:highlight w:val="none"/>
                          </w:rPr>
                        </m:ctrlPr>
                      </m:sub>
                    </m:sSub>
                    <m:ctrlPr>
                      <w:rPr>
                        <w:rFonts w:hint="default" w:ascii="Cambria Math" w:hAnsi="Cambria Math" w:cs="Times New Roman"/>
                        <w:color w:val="auto"/>
                        <w:sz w:val="24"/>
                        <w:highlight w:val="none"/>
                      </w:rPr>
                    </m:ctrlPr>
                  </m:sup>
                </m:sSup>
                <m:r>
                  <m:rPr>
                    <m:sty m:val="p"/>
                  </m:rPr>
                  <w:rPr>
                    <w:rFonts w:hint="default" w:ascii="Cambria Math" w:hAnsi="Cambria Math" w:cs="Times New Roman"/>
                    <w:color w:val="auto"/>
                    <w:sz w:val="24"/>
                    <w:highlight w:val="none"/>
                  </w:rPr>
                  <m:t>+</m:t>
                </m:r>
                <m:sSup>
                  <m:sSupPr>
                    <m:ctrlPr>
                      <w:rPr>
                        <w:rFonts w:hint="default" w:ascii="Cambria Math" w:hAnsi="Cambria Math" w:cs="Times New Roman"/>
                        <w:color w:val="auto"/>
                        <w:sz w:val="24"/>
                        <w:highlight w:val="none"/>
                      </w:rPr>
                    </m:ctrlPr>
                  </m:sSupPr>
                  <m:e>
                    <m:r>
                      <m:rPr>
                        <m:sty m:val="p"/>
                      </m:rPr>
                      <w:rPr>
                        <w:rFonts w:hint="default" w:ascii="Cambria Math" w:hAnsi="Cambria Math" w:cs="Times New Roman"/>
                        <w:color w:val="auto"/>
                        <w:sz w:val="24"/>
                        <w:highlight w:val="none"/>
                      </w:rPr>
                      <m:t>10</m:t>
                    </m:r>
                    <m:ctrlPr>
                      <w:rPr>
                        <w:rFonts w:hint="default" w:ascii="Cambria Math" w:hAnsi="Cambria Math" w:cs="Times New Roman"/>
                        <w:color w:val="auto"/>
                        <w:sz w:val="24"/>
                        <w:highlight w:val="none"/>
                      </w:rPr>
                    </m:ctrlPr>
                  </m:e>
                  <m:sup>
                    <m:r>
                      <m:rPr>
                        <m:sty m:val="p"/>
                      </m:rPr>
                      <w:rPr>
                        <w:rFonts w:hint="default" w:ascii="Cambria Math" w:hAnsi="Cambria Math" w:cs="Times New Roman"/>
                        <w:color w:val="auto"/>
                        <w:sz w:val="24"/>
                        <w:highlight w:val="none"/>
                      </w:rPr>
                      <m:t>0.1</m:t>
                    </m:r>
                    <m:sSub>
                      <m:sSubPr>
                        <m:ctrlPr>
                          <w:rPr>
                            <w:rFonts w:hint="default" w:ascii="Cambria Math" w:hAnsi="Cambria Math" w:cs="Times New Roman"/>
                            <w:color w:val="auto"/>
                            <w:sz w:val="24"/>
                            <w:highlight w:val="none"/>
                          </w:rPr>
                        </m:ctrlPr>
                      </m:sSubPr>
                      <m:e>
                        <m:r>
                          <m:rPr>
                            <m:sty m:val="p"/>
                          </m:rPr>
                          <w:rPr>
                            <w:rFonts w:hint="default" w:ascii="Cambria Math" w:hAnsi="Cambria Math" w:cs="Times New Roman"/>
                            <w:color w:val="auto"/>
                            <w:sz w:val="24"/>
                            <w:highlight w:val="none"/>
                          </w:rPr>
                          <m:t>L</m:t>
                        </m:r>
                        <m:ctrlPr>
                          <w:rPr>
                            <w:rFonts w:hint="default" w:ascii="Cambria Math" w:hAnsi="Cambria Math" w:cs="Times New Roman"/>
                            <w:color w:val="auto"/>
                            <w:sz w:val="24"/>
                            <w:highlight w:val="none"/>
                          </w:rPr>
                        </m:ctrlPr>
                      </m:e>
                      <m:sub>
                        <m:r>
                          <m:rPr>
                            <m:sty m:val="p"/>
                          </m:rPr>
                          <w:rPr>
                            <w:rFonts w:hint="default" w:ascii="Cambria Math" w:hAnsi="Cambria Math" w:cs="Times New Roman"/>
                            <w:color w:val="auto"/>
                            <w:sz w:val="24"/>
                            <w:highlight w:val="none"/>
                          </w:rPr>
                          <m:t>eqb</m:t>
                        </m:r>
                        <m:ctrlPr>
                          <w:rPr>
                            <w:rFonts w:hint="default" w:ascii="Cambria Math" w:hAnsi="Cambria Math" w:cs="Times New Roman"/>
                            <w:color w:val="auto"/>
                            <w:sz w:val="24"/>
                            <w:highlight w:val="none"/>
                          </w:rPr>
                        </m:ctrlPr>
                      </m:sub>
                    </m:sSub>
                    <m:ctrlPr>
                      <w:rPr>
                        <w:rFonts w:hint="default" w:ascii="Cambria Math" w:hAnsi="Cambria Math" w:cs="Times New Roman"/>
                        <w:color w:val="auto"/>
                        <w:sz w:val="24"/>
                        <w:highlight w:val="none"/>
                      </w:rPr>
                    </m:ctrlPr>
                  </m:sup>
                </m:sSup>
                <m:r>
                  <m:rPr>
                    <m:sty m:val="p"/>
                  </m:rPr>
                  <w:rPr>
                    <w:rFonts w:hint="default" w:ascii="Cambria Math" w:hAnsi="Cambria Math" w:cs="Times New Roman"/>
                    <w:color w:val="auto"/>
                    <w:sz w:val="24"/>
                    <w:highlight w:val="none"/>
                  </w:rPr>
                  <m:t>]</m:t>
                </m:r>
              </m:oMath>
            </m:oMathPara>
          </w:p>
          <w:p w14:paraId="4C0C28B6">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式中：</w:t>
            </w:r>
          </w:p>
          <w:p w14:paraId="0759F7A4">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Leq ——预测等效声级，dB(A)；</w:t>
            </w:r>
          </w:p>
          <w:p w14:paraId="57FD6207">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Leqg——建设项目声源在预测点的等效声级贡献值，dB(A)；</w:t>
            </w:r>
          </w:p>
          <w:p w14:paraId="1702DDC7">
            <w:pPr>
              <w:keepNext w:val="0"/>
              <w:keepLines w:val="0"/>
              <w:suppressLineNumbers w:val="0"/>
              <w:adjustRightInd w:val="0"/>
              <w:snapToGrid w:val="0"/>
              <w:spacing w:before="0" w:beforeAutospacing="0" w:after="0" w:afterAutospacing="0"/>
              <w:ind w:left="0" w:right="0" w:firstLine="480" w:firstLineChars="200"/>
              <w:rPr>
                <w:rFonts w:hint="default" w:cs="Times New Roman"/>
                <w:color w:val="auto"/>
                <w:highlight w:val="none"/>
              </w:rPr>
            </w:pPr>
            <w:r>
              <w:rPr>
                <w:rFonts w:hint="default" w:cs="Times New Roman"/>
                <w:color w:val="auto"/>
                <w:highlight w:val="none"/>
              </w:rPr>
              <w:t>Leqb——预测点的背景值，dB(A)。</w:t>
            </w:r>
          </w:p>
          <w:p w14:paraId="1B2B12DC">
            <w:pPr>
              <w:keepNext w:val="0"/>
              <w:keepLines w:val="0"/>
              <w:pageBreakBefore w:val="0"/>
              <w:suppressLineNumbers w:val="0"/>
              <w:tabs>
                <w:tab w:val="left" w:pos="6591"/>
              </w:tabs>
              <w:kinsoku/>
              <w:topLinePunct w:val="0"/>
              <w:bidi w:val="0"/>
              <w:adjustRightInd w:val="0"/>
              <w:snapToGrid w:val="0"/>
              <w:spacing w:before="0" w:beforeAutospacing="0" w:after="0" w:afterAutospacing="0" w:line="360" w:lineRule="auto"/>
              <w:ind w:left="0" w:right="0" w:firstLine="480" w:firstLineChars="200"/>
              <w:rPr>
                <w:rFonts w:hint="default" w:ascii="Times New Roman" w:hAnsi="Times New Roman" w:eastAsia="宋体" w:cs="Times New Roman"/>
                <w:b w:val="0"/>
                <w:bCs w:val="0"/>
                <w:color w:val="auto"/>
                <w:sz w:val="24"/>
                <w:highlight w:val="none"/>
                <w:u w:val="none" w:color="auto"/>
                <w:lang w:eastAsia="zh-CN"/>
              </w:rPr>
            </w:pPr>
            <w:r>
              <w:rPr>
                <w:rFonts w:hint="eastAsia" w:ascii="宋体" w:hAnsi="宋体" w:eastAsia="宋体" w:cs="宋体"/>
                <w:b w:val="0"/>
                <w:bCs w:val="0"/>
                <w:color w:val="auto"/>
                <w:sz w:val="24"/>
                <w:highlight w:val="none"/>
                <w:u w:val="none" w:color="auto"/>
                <w:lang w:val="en-US" w:eastAsia="zh-CN"/>
              </w:rPr>
              <w:t>②</w:t>
            </w:r>
            <w:r>
              <w:rPr>
                <w:rFonts w:hint="default" w:ascii="Times New Roman" w:hAnsi="Times New Roman" w:eastAsia="宋体" w:cs="Times New Roman"/>
                <w:b w:val="0"/>
                <w:bCs w:val="0"/>
                <w:color w:val="auto"/>
                <w:sz w:val="24"/>
                <w:highlight w:val="none"/>
                <w:u w:val="none" w:color="auto"/>
                <w:lang w:eastAsia="zh-CN"/>
              </w:rPr>
              <w:t>预测结果</w:t>
            </w:r>
          </w:p>
          <w:p w14:paraId="501C46B3">
            <w:pPr>
              <w:keepNext w:val="0"/>
              <w:keepLines w:val="0"/>
              <w:suppressLineNumbers w:val="0"/>
              <w:spacing w:before="0" w:beforeAutospacing="0" w:after="0" w:afterAutospacing="0"/>
              <w:ind w:left="0" w:right="0" w:firstLine="480"/>
              <w:rPr>
                <w:rFonts w:hint="default" w:ascii="Times New Roman" w:hAnsi="Times New Roman" w:eastAsia="宋体" w:cs="Times New Roman"/>
                <w:color w:val="auto"/>
                <w:sz w:val="24"/>
                <w:szCs w:val="24"/>
                <w:highlight w:val="yellow"/>
              </w:rPr>
            </w:pPr>
            <w:r>
              <w:rPr>
                <w:rFonts w:hint="default" w:cs="Times New Roman"/>
                <w:color w:val="auto"/>
                <w:highlight w:val="none"/>
              </w:rPr>
              <w:t>结合工程分析，根据《环境影响评价技术导则声环境》</w:t>
            </w:r>
            <w:r>
              <w:rPr>
                <w:rFonts w:hint="eastAsia" w:cs="Times New Roman"/>
                <w:color w:val="auto"/>
                <w:highlight w:val="none"/>
                <w:lang w:eastAsia="zh-CN"/>
              </w:rPr>
              <w:t>（</w:t>
            </w:r>
            <w:r>
              <w:rPr>
                <w:rFonts w:hint="default" w:cs="Times New Roman"/>
                <w:color w:val="auto"/>
                <w:highlight w:val="none"/>
              </w:rPr>
              <w:t>HJ 2.4-2021</w:t>
            </w:r>
            <w:r>
              <w:rPr>
                <w:rFonts w:hint="eastAsia" w:cs="Times New Roman"/>
                <w:color w:val="auto"/>
                <w:highlight w:val="none"/>
                <w:lang w:eastAsia="zh-CN"/>
              </w:rPr>
              <w:t>）</w:t>
            </w:r>
            <w:r>
              <w:rPr>
                <w:rFonts w:hint="default" w:cs="Times New Roman"/>
                <w:color w:val="auto"/>
                <w:highlight w:val="none"/>
              </w:rPr>
              <w:t>“工业噪声预测模式”对本次噪声影响进行预测</w:t>
            </w:r>
            <w:r>
              <w:rPr>
                <w:rFonts w:hint="eastAsia" w:cs="Times New Roman"/>
                <w:color w:val="auto"/>
                <w:highlight w:val="none"/>
                <w:lang w:val="en-US" w:eastAsia="zh-CN"/>
              </w:rPr>
              <w:t>。项目营运期</w:t>
            </w:r>
            <w:r>
              <w:rPr>
                <w:rFonts w:hint="default" w:cs="Times New Roman"/>
                <w:color w:val="auto"/>
                <w:highlight w:val="none"/>
              </w:rPr>
              <w:t>噪声的预测结果</w:t>
            </w:r>
            <w:r>
              <w:rPr>
                <w:rFonts w:hint="default" w:cs="Times New Roman"/>
                <w:color w:val="auto"/>
                <w:highlight w:val="none"/>
                <w:lang w:val="en-US" w:eastAsia="zh-CN"/>
              </w:rPr>
              <w:t>具体</w:t>
            </w:r>
            <w:r>
              <w:rPr>
                <w:rFonts w:hint="default" w:cs="Times New Roman"/>
                <w:color w:val="auto"/>
                <w:highlight w:val="none"/>
              </w:rPr>
              <w:t>见下表。</w:t>
            </w:r>
          </w:p>
          <w:p w14:paraId="38B2800E">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240" w:lineRule="auto"/>
              <w:ind w:left="0" w:right="0"/>
              <w:jc w:val="center"/>
              <w:textAlignment w:val="center"/>
              <w:rPr>
                <w:rFonts w:hint="eastAsia" w:ascii="Times New Roman" w:hAnsi="Times New Roman" w:eastAsia="宋体" w:cs="Times New Roman"/>
                <w:b/>
                <w:bCs/>
                <w:color w:val="auto"/>
                <w:spacing w:val="12"/>
                <w:highlight w:val="yellow"/>
                <w:lang w:val="en-US" w:eastAsia="zh-CN"/>
              </w:rPr>
            </w:pPr>
            <w:r>
              <w:rPr>
                <w:rFonts w:hint="default" w:ascii="Times New Roman" w:hAnsi="Times New Roman" w:eastAsia="宋体" w:cs="Times New Roman"/>
                <w:b/>
                <w:bCs/>
                <w:color w:val="auto"/>
                <w:spacing w:val="12"/>
                <w:sz w:val="21"/>
                <w:szCs w:val="21"/>
                <w:highlight w:val="none"/>
              </w:rPr>
              <w:t>表4-</w:t>
            </w:r>
            <w:r>
              <w:rPr>
                <w:rFonts w:hint="default" w:ascii="Times New Roman" w:hAnsi="Times New Roman" w:eastAsia="宋体" w:cs="Times New Roman"/>
                <w:b/>
                <w:bCs/>
                <w:color w:val="auto"/>
                <w:spacing w:val="12"/>
                <w:sz w:val="21"/>
                <w:szCs w:val="21"/>
                <w:highlight w:val="none"/>
                <w:lang w:val="en-US" w:eastAsia="zh-CN"/>
              </w:rPr>
              <w:t>1</w:t>
            </w:r>
            <w:r>
              <w:rPr>
                <w:rFonts w:hint="eastAsia" w:cs="Times New Roman"/>
                <w:b/>
                <w:bCs/>
                <w:color w:val="auto"/>
                <w:spacing w:val="12"/>
                <w:sz w:val="21"/>
                <w:szCs w:val="21"/>
                <w:highlight w:val="none"/>
                <w:lang w:val="en-US" w:eastAsia="zh-CN"/>
              </w:rPr>
              <w:t>6</w:t>
            </w:r>
            <w:r>
              <w:rPr>
                <w:rFonts w:hint="default" w:ascii="Times New Roman" w:hAnsi="Times New Roman" w:eastAsia="宋体" w:cs="Times New Roman"/>
                <w:b/>
                <w:bCs/>
                <w:color w:val="auto"/>
                <w:spacing w:val="12"/>
                <w:sz w:val="21"/>
                <w:szCs w:val="21"/>
                <w:highlight w:val="none"/>
              </w:rPr>
              <w:t xml:space="preserve">   项目营运期厂界噪声预测结果</w:t>
            </w:r>
            <w:r>
              <w:rPr>
                <w:rFonts w:hint="eastAsia" w:cs="Times New Roman"/>
                <w:b/>
                <w:bCs/>
                <w:color w:val="auto"/>
                <w:spacing w:val="12"/>
                <w:sz w:val="21"/>
                <w:szCs w:val="21"/>
                <w:highlight w:val="none"/>
                <w:lang w:val="en-US" w:eastAsia="zh-CN"/>
              </w:rPr>
              <w:t xml:space="preserve"> 单位：dB（A）</w:t>
            </w:r>
          </w:p>
          <w:tbl>
            <w:tblPr>
              <w:tblStyle w:val="28"/>
              <w:tblW w:w="827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90"/>
              <w:gridCol w:w="1044"/>
              <w:gridCol w:w="724"/>
              <w:gridCol w:w="944"/>
              <w:gridCol w:w="825"/>
              <w:gridCol w:w="787"/>
              <w:gridCol w:w="566"/>
              <w:gridCol w:w="595"/>
              <w:gridCol w:w="1302"/>
            </w:tblGrid>
            <w:tr w14:paraId="295A3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9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58A4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预测点</w:t>
                  </w:r>
                </w:p>
              </w:tc>
              <w:tc>
                <w:tcPr>
                  <w:tcW w:w="6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5000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贡献值</w:t>
                  </w:r>
                </w:p>
              </w:tc>
              <w:tc>
                <w:tcPr>
                  <w:tcW w:w="100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B282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现状值</w:t>
                  </w:r>
                </w:p>
              </w:tc>
              <w:tc>
                <w:tcPr>
                  <w:tcW w:w="97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B10E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叠加值</w:t>
                  </w:r>
                </w:p>
              </w:tc>
              <w:tc>
                <w:tcPr>
                  <w:tcW w:w="70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E6AE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标准</w:t>
                  </w:r>
                </w:p>
              </w:tc>
              <w:tc>
                <w:tcPr>
                  <w:tcW w:w="7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D62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达标情况</w:t>
                  </w:r>
                </w:p>
              </w:tc>
            </w:tr>
            <w:tr w14:paraId="4EF90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9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F32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21"/>
                      <w:szCs w:val="21"/>
                      <w:u w:val="none"/>
                    </w:rPr>
                  </w:pPr>
                </w:p>
              </w:tc>
              <w:tc>
                <w:tcPr>
                  <w:tcW w:w="6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3FE9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21"/>
                      <w:szCs w:val="21"/>
                      <w:u w:val="none"/>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FB0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昼</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3597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夜</w:t>
                  </w:r>
                </w:p>
              </w:tc>
              <w:tc>
                <w:tcPr>
                  <w:tcW w:w="4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BFB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昼</w:t>
                  </w:r>
                </w:p>
              </w:tc>
              <w:tc>
                <w:tcPr>
                  <w:tcW w:w="4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41A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夜</w:t>
                  </w:r>
                </w:p>
              </w:tc>
              <w:tc>
                <w:tcPr>
                  <w:tcW w:w="3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7A7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昼</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6B1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夜</w:t>
                  </w:r>
                </w:p>
              </w:tc>
              <w:tc>
                <w:tcPr>
                  <w:tcW w:w="7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A744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21"/>
                      <w:szCs w:val="21"/>
                      <w:u w:val="none"/>
                    </w:rPr>
                  </w:pPr>
                </w:p>
              </w:tc>
            </w:tr>
            <w:tr w14:paraId="06E7AD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473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N1 </w:t>
                  </w:r>
                  <w:r>
                    <w:rPr>
                      <w:rFonts w:hint="eastAsia" w:ascii="宋体" w:hAnsi="宋体" w:eastAsia="宋体" w:cs="宋体"/>
                      <w:i w:val="0"/>
                      <w:iCs w:val="0"/>
                      <w:color w:val="000000"/>
                      <w:kern w:val="0"/>
                      <w:sz w:val="21"/>
                      <w:szCs w:val="21"/>
                      <w:u w:val="none"/>
                      <w:lang w:val="en-US" w:eastAsia="zh-CN" w:bidi="ar"/>
                    </w:rPr>
                    <w:t>东边界</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8A6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9.57</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ABB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53</w:t>
                  </w:r>
                </w:p>
              </w:tc>
              <w:tc>
                <w:tcPr>
                  <w:tcW w:w="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1C9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45</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1CA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 xml:space="preserve">53.00 </w:t>
                  </w:r>
                </w:p>
              </w:tc>
              <w:tc>
                <w:tcPr>
                  <w:tcW w:w="7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A64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 xml:space="preserve">45.00 </w:t>
                  </w:r>
                </w:p>
              </w:tc>
              <w:tc>
                <w:tcPr>
                  <w:tcW w:w="3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FD7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89D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71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达标</w:t>
                  </w:r>
                </w:p>
              </w:tc>
            </w:tr>
            <w:tr w14:paraId="76E02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E9F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N2 </w:t>
                  </w:r>
                  <w:r>
                    <w:rPr>
                      <w:rFonts w:hint="eastAsia" w:ascii="宋体" w:hAnsi="宋体" w:eastAsia="宋体" w:cs="宋体"/>
                      <w:i w:val="0"/>
                      <w:iCs w:val="0"/>
                      <w:color w:val="000000"/>
                      <w:kern w:val="0"/>
                      <w:sz w:val="21"/>
                      <w:szCs w:val="21"/>
                      <w:u w:val="none"/>
                      <w:lang w:val="en-US" w:eastAsia="zh-CN" w:bidi="ar"/>
                    </w:rPr>
                    <w:t>南边界</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FB6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43.69</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A81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57</w:t>
                  </w:r>
                </w:p>
              </w:tc>
              <w:tc>
                <w:tcPr>
                  <w:tcW w:w="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443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47</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D6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57.2</w:t>
                  </w:r>
                </w:p>
              </w:tc>
              <w:tc>
                <w:tcPr>
                  <w:tcW w:w="7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881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48.66</w:t>
                  </w:r>
                </w:p>
              </w:tc>
              <w:tc>
                <w:tcPr>
                  <w:tcW w:w="3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401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895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265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达标</w:t>
                  </w:r>
                </w:p>
              </w:tc>
            </w:tr>
            <w:tr w14:paraId="2F8AB6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E6B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N3 </w:t>
                  </w:r>
                  <w:r>
                    <w:rPr>
                      <w:rFonts w:hint="eastAsia" w:ascii="宋体" w:hAnsi="宋体" w:eastAsia="宋体" w:cs="宋体"/>
                      <w:i w:val="0"/>
                      <w:iCs w:val="0"/>
                      <w:color w:val="000000"/>
                      <w:kern w:val="0"/>
                      <w:sz w:val="21"/>
                      <w:szCs w:val="21"/>
                      <w:u w:val="none"/>
                      <w:lang w:val="en-US" w:eastAsia="zh-CN" w:bidi="ar"/>
                    </w:rPr>
                    <w:t>西边界</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39F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 xml:space="preserve">41.19 </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502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52</w:t>
                  </w:r>
                </w:p>
              </w:tc>
              <w:tc>
                <w:tcPr>
                  <w:tcW w:w="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7A0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46</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40E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52.37</w:t>
                  </w:r>
                </w:p>
              </w:tc>
              <w:tc>
                <w:tcPr>
                  <w:tcW w:w="7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C2D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47.32</w:t>
                  </w:r>
                </w:p>
              </w:tc>
              <w:tc>
                <w:tcPr>
                  <w:tcW w:w="3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8A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7FA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301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达标</w:t>
                  </w:r>
                </w:p>
              </w:tc>
            </w:tr>
            <w:tr w14:paraId="5E9ED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8" w:hRule="atLeast"/>
              </w:trPr>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ACB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N4 </w:t>
                  </w:r>
                  <w:r>
                    <w:rPr>
                      <w:rFonts w:hint="eastAsia" w:ascii="宋体" w:hAnsi="宋体" w:eastAsia="宋体" w:cs="宋体"/>
                      <w:i w:val="0"/>
                      <w:iCs w:val="0"/>
                      <w:color w:val="000000"/>
                      <w:kern w:val="0"/>
                      <w:sz w:val="21"/>
                      <w:szCs w:val="21"/>
                      <w:u w:val="none"/>
                      <w:lang w:val="en-US" w:eastAsia="zh-CN" w:bidi="ar"/>
                    </w:rPr>
                    <w:t>北边界</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874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31.81</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D98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54</w:t>
                  </w:r>
                </w:p>
              </w:tc>
              <w:tc>
                <w:tcPr>
                  <w:tcW w:w="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413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46</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4FF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 xml:space="preserve">54.02 </w:t>
                  </w:r>
                </w:p>
              </w:tc>
              <w:tc>
                <w:tcPr>
                  <w:tcW w:w="7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5F1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 xml:space="preserve">46.15 </w:t>
                  </w:r>
                </w:p>
              </w:tc>
              <w:tc>
                <w:tcPr>
                  <w:tcW w:w="3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3069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14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CA9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达标</w:t>
                  </w:r>
                </w:p>
              </w:tc>
            </w:tr>
          </w:tbl>
          <w:p w14:paraId="34A44616">
            <w:pPr>
              <w:pStyle w:val="13"/>
              <w:keepNext w:val="0"/>
              <w:keepLines w:val="0"/>
              <w:suppressLineNumbers w:val="0"/>
              <w:kinsoku/>
              <w:overflowPunct w:val="0"/>
              <w:topLinePunct/>
              <w:spacing w:before="31" w:beforeAutospacing="0" w:after="31" w:afterAutospacing="0" w:line="360" w:lineRule="auto"/>
              <w:ind w:left="0" w:leftChars="0" w:right="0" w:firstLine="480" w:firstLineChars="200"/>
              <w:textAlignment w:val="center"/>
              <w:rPr>
                <w:rFonts w:hint="default" w:ascii="Times New Roman" w:hAnsi="Times New Roman" w:eastAsia="宋体" w:cs="Times New Roman"/>
                <w:color w:val="auto"/>
                <w:sz w:val="24"/>
                <w:szCs w:val="24"/>
                <w:highlight w:val="yellow"/>
              </w:rPr>
            </w:pPr>
            <w:r>
              <w:rPr>
                <w:rFonts w:hint="default" w:ascii="Times New Roman" w:hAnsi="Times New Roman" w:eastAsia="宋体" w:cs="Times New Roman"/>
                <w:color w:val="auto"/>
                <w:sz w:val="24"/>
                <w:highlight w:val="none"/>
                <w:u w:val="none" w:color="auto"/>
              </w:rPr>
              <w:t>由</w:t>
            </w:r>
            <w:r>
              <w:rPr>
                <w:rFonts w:hint="eastAsia" w:cs="Times New Roman"/>
                <w:color w:val="auto"/>
                <w:sz w:val="24"/>
                <w:highlight w:val="none"/>
                <w:u w:val="none" w:color="auto"/>
                <w:lang w:val="en-US" w:eastAsia="zh-CN"/>
              </w:rPr>
              <w:t>上表</w:t>
            </w:r>
            <w:r>
              <w:rPr>
                <w:rFonts w:hint="default" w:ascii="Times New Roman" w:hAnsi="Times New Roman" w:eastAsia="宋体" w:cs="Times New Roman"/>
                <w:color w:val="auto"/>
                <w:sz w:val="24"/>
                <w:highlight w:val="none"/>
                <w:u w:val="none" w:color="auto"/>
              </w:rPr>
              <w:t>可知，项目厂界</w:t>
            </w:r>
            <w:r>
              <w:rPr>
                <w:rFonts w:hint="eastAsia" w:cs="Times New Roman"/>
                <w:color w:val="auto"/>
                <w:sz w:val="24"/>
                <w:highlight w:val="none"/>
                <w:u w:val="none" w:color="auto"/>
                <w:lang w:val="en-US" w:eastAsia="zh-CN"/>
              </w:rPr>
              <w:t>昼间</w:t>
            </w:r>
            <w:r>
              <w:rPr>
                <w:rFonts w:hint="default" w:ascii="Times New Roman" w:hAnsi="Times New Roman" w:eastAsia="宋体" w:cs="Times New Roman"/>
                <w:color w:val="auto"/>
                <w:sz w:val="24"/>
                <w:highlight w:val="none"/>
                <w:u w:val="none" w:color="auto"/>
              </w:rPr>
              <w:t>夜间噪声</w:t>
            </w:r>
            <w:r>
              <w:rPr>
                <w:rFonts w:hint="eastAsia" w:cs="Times New Roman"/>
                <w:color w:val="auto"/>
                <w:sz w:val="24"/>
                <w:highlight w:val="none"/>
                <w:u w:val="none" w:color="auto"/>
                <w:lang w:val="en-US" w:eastAsia="zh-CN"/>
              </w:rPr>
              <w:t>叠加值</w:t>
            </w:r>
            <w:r>
              <w:rPr>
                <w:rFonts w:hint="default" w:ascii="Times New Roman" w:hAnsi="Times New Roman" w:eastAsia="宋体" w:cs="Times New Roman"/>
                <w:color w:val="auto"/>
                <w:sz w:val="24"/>
                <w:highlight w:val="none"/>
                <w:u w:val="none" w:color="auto"/>
              </w:rPr>
              <w:t>均达到《工业企业厂界环境噪声排放标准》（GB12348-2008）</w:t>
            </w:r>
            <w:r>
              <w:rPr>
                <w:rFonts w:hint="eastAsia" w:ascii="Times New Roman" w:hAnsi="Times New Roman" w:eastAsia="宋体" w:cs="Times New Roman"/>
                <w:color w:val="auto"/>
                <w:sz w:val="24"/>
                <w:highlight w:val="none"/>
                <w:u w:val="none" w:color="auto"/>
                <w:lang w:val="en-US" w:eastAsia="zh-CN"/>
              </w:rPr>
              <w:t>2</w:t>
            </w:r>
            <w:r>
              <w:rPr>
                <w:rFonts w:hint="default" w:ascii="Times New Roman" w:hAnsi="Times New Roman" w:eastAsia="宋体" w:cs="Times New Roman"/>
                <w:color w:val="auto"/>
                <w:sz w:val="24"/>
                <w:highlight w:val="none"/>
                <w:u w:val="none" w:color="auto"/>
              </w:rPr>
              <w:t>类标准</w:t>
            </w:r>
            <w:r>
              <w:rPr>
                <w:rFonts w:hint="default" w:ascii="Times New Roman" w:hAnsi="Times New Roman" w:eastAsia="宋体" w:cs="Times New Roman"/>
                <w:color w:val="auto"/>
                <w:spacing w:val="12"/>
                <w:sz w:val="24"/>
                <w:szCs w:val="24"/>
                <w:highlight w:val="none"/>
              </w:rPr>
              <w:t>。</w:t>
            </w:r>
          </w:p>
          <w:p w14:paraId="71E6F495">
            <w:pPr>
              <w:pStyle w:val="12"/>
              <w:keepNext w:val="0"/>
              <w:keepLines w:val="0"/>
              <w:suppressLineNumbers w:val="0"/>
              <w:kinsoku/>
              <w:overflowPunct w:val="0"/>
              <w:topLinePunct/>
              <w:spacing w:beforeAutospacing="0" w:after="0" w:afterAutospacing="0" w:line="360" w:lineRule="auto"/>
              <w:ind w:left="0" w:firstLine="480" w:firstLineChars="2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（3）噪声监测计划</w:t>
            </w:r>
          </w:p>
          <w:p w14:paraId="049BD4DF">
            <w:pPr>
              <w:pStyle w:val="12"/>
              <w:keepNext w:val="0"/>
              <w:keepLines w:val="0"/>
              <w:pageBreakBefore w:val="0"/>
              <w:widowControl/>
              <w:suppressLineNumbers w:val="0"/>
              <w:kinsoku/>
              <w:wordWrap/>
              <w:overflowPunct w:val="0"/>
              <w:topLinePunct/>
              <w:autoSpaceDE/>
              <w:autoSpaceDN/>
              <w:bidi w:val="0"/>
              <w:adjustRightInd/>
              <w:snapToGrid w:val="0"/>
              <w:spacing w:before="0" w:beforeAutospacing="0" w:after="0" w:afterAutospacing="0" w:line="360" w:lineRule="auto"/>
              <w:ind w:left="0" w:right="0" w:firstLine="480" w:firstLineChars="200"/>
              <w:textAlignment w:val="center"/>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根据《</w:t>
            </w:r>
            <w:r>
              <w:rPr>
                <w:rFonts w:hint="eastAsia" w:cs="Times New Roman"/>
                <w:color w:val="auto"/>
                <w:sz w:val="24"/>
                <w:highlight w:val="none"/>
                <w:lang w:val="en-US" w:eastAsia="zh-CN"/>
              </w:rPr>
              <w:t>排污许可证申请与核发技术规范 工业噪声</w:t>
            </w:r>
            <w:r>
              <w:rPr>
                <w:rFonts w:hint="default" w:ascii="Times New Roman" w:hAnsi="Times New Roman" w:eastAsia="宋体" w:cs="Times New Roman"/>
                <w:color w:val="auto"/>
                <w:sz w:val="24"/>
                <w:highlight w:val="none"/>
              </w:rPr>
              <w:t xml:space="preserve">（HJ </w:t>
            </w:r>
            <w:r>
              <w:rPr>
                <w:rFonts w:hint="eastAsia" w:cs="Times New Roman"/>
                <w:color w:val="auto"/>
                <w:sz w:val="24"/>
                <w:highlight w:val="none"/>
                <w:lang w:val="en-US" w:eastAsia="zh-CN"/>
              </w:rPr>
              <w:t>1301</w:t>
            </w:r>
            <w:r>
              <w:rPr>
                <w:rFonts w:hint="default" w:ascii="Times New Roman" w:hAnsi="Times New Roman" w:eastAsia="宋体" w:cs="Times New Roman"/>
                <w:color w:val="auto"/>
                <w:sz w:val="24"/>
                <w:highlight w:val="none"/>
              </w:rPr>
              <w:t>-20</w:t>
            </w:r>
            <w:r>
              <w:rPr>
                <w:rFonts w:hint="eastAsia" w:cs="Times New Roman"/>
                <w:color w:val="auto"/>
                <w:sz w:val="24"/>
                <w:highlight w:val="none"/>
                <w:lang w:val="en-US" w:eastAsia="zh-CN"/>
              </w:rPr>
              <w:t>23</w:t>
            </w:r>
            <w:r>
              <w:rPr>
                <w:rFonts w:hint="default" w:ascii="Times New Roman" w:hAnsi="Times New Roman" w:eastAsia="宋体" w:cs="Times New Roman"/>
                <w:color w:val="auto"/>
                <w:sz w:val="24"/>
                <w:highlight w:val="none"/>
              </w:rPr>
              <w:t>）》，项目噪声监测计划如下：</w:t>
            </w:r>
          </w:p>
          <w:p w14:paraId="2782A6BD">
            <w:pPr>
              <w:pStyle w:val="8"/>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240" w:lineRule="auto"/>
              <w:ind w:left="0" w:right="0"/>
              <w:textAlignment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表4-</w:t>
            </w:r>
            <w:r>
              <w:rPr>
                <w:rFonts w:hint="default" w:ascii="Times New Roman" w:hAnsi="Times New Roman" w:eastAsia="宋体" w:cs="Times New Roman"/>
                <w:b/>
                <w:color w:val="auto"/>
                <w:sz w:val="21"/>
                <w:szCs w:val="21"/>
                <w:highlight w:val="none"/>
                <w:lang w:val="en-US" w:eastAsia="zh-CN"/>
              </w:rPr>
              <w:t>1</w:t>
            </w:r>
            <w:r>
              <w:rPr>
                <w:rFonts w:hint="eastAsia" w:ascii="Times New Roman" w:hAnsi="Times New Roman" w:cs="Times New Roman"/>
                <w:b/>
                <w:color w:val="auto"/>
                <w:sz w:val="21"/>
                <w:szCs w:val="21"/>
                <w:highlight w:val="none"/>
                <w:lang w:val="en-US" w:eastAsia="zh-CN"/>
              </w:rPr>
              <w:t>7</w:t>
            </w:r>
            <w:r>
              <w:rPr>
                <w:rFonts w:hint="default" w:ascii="Times New Roman" w:hAnsi="Times New Roman" w:eastAsia="宋体" w:cs="Times New Roman"/>
                <w:b/>
                <w:color w:val="auto"/>
                <w:sz w:val="21"/>
                <w:szCs w:val="21"/>
                <w:highlight w:val="none"/>
              </w:rPr>
              <w:t xml:space="preserve">   项目日常监督性监测计划</w:t>
            </w:r>
          </w:p>
          <w:tbl>
            <w:tblPr>
              <w:tblStyle w:val="29"/>
              <w:tblW w:w="48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2"/>
              <w:gridCol w:w="1929"/>
              <w:gridCol w:w="1564"/>
              <w:gridCol w:w="1402"/>
              <w:gridCol w:w="2215"/>
            </w:tblGrid>
            <w:tr w14:paraId="3BF56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733" w:type="pct"/>
                  <w:vAlign w:val="center"/>
                </w:tcPr>
                <w:p w14:paraId="15CEEDC8">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监测类别</w:t>
                  </w:r>
                </w:p>
              </w:tc>
              <w:tc>
                <w:tcPr>
                  <w:tcW w:w="1157" w:type="pct"/>
                  <w:vAlign w:val="center"/>
                </w:tcPr>
                <w:p w14:paraId="695CE4BF">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监测点位</w:t>
                  </w:r>
                </w:p>
              </w:tc>
              <w:tc>
                <w:tcPr>
                  <w:tcW w:w="938" w:type="pct"/>
                  <w:vAlign w:val="center"/>
                </w:tcPr>
                <w:p w14:paraId="2EC93827">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监测因子</w:t>
                  </w:r>
                </w:p>
              </w:tc>
              <w:tc>
                <w:tcPr>
                  <w:tcW w:w="841" w:type="pct"/>
                  <w:vAlign w:val="center"/>
                </w:tcPr>
                <w:p w14:paraId="114A5A7F">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监测频次</w:t>
                  </w:r>
                </w:p>
              </w:tc>
              <w:tc>
                <w:tcPr>
                  <w:tcW w:w="1329" w:type="pct"/>
                  <w:vAlign w:val="center"/>
                </w:tcPr>
                <w:p w14:paraId="0DEE99B3">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监测方式</w:t>
                  </w:r>
                </w:p>
              </w:tc>
            </w:tr>
            <w:tr w14:paraId="62C19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733" w:type="pct"/>
                  <w:vAlign w:val="center"/>
                </w:tcPr>
                <w:p w14:paraId="00CD7578">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噪声监测</w:t>
                  </w:r>
                </w:p>
              </w:tc>
              <w:tc>
                <w:tcPr>
                  <w:tcW w:w="1157" w:type="pct"/>
                  <w:vAlign w:val="center"/>
                </w:tcPr>
                <w:p w14:paraId="35CE8D65">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厂界四周</w:t>
                  </w:r>
                </w:p>
              </w:tc>
              <w:tc>
                <w:tcPr>
                  <w:tcW w:w="938" w:type="pct"/>
                  <w:vAlign w:val="center"/>
                </w:tcPr>
                <w:p w14:paraId="74C69CF1">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Leq(A)</w:t>
                  </w:r>
                </w:p>
              </w:tc>
              <w:tc>
                <w:tcPr>
                  <w:tcW w:w="841" w:type="pct"/>
                  <w:vAlign w:val="center"/>
                </w:tcPr>
                <w:p w14:paraId="14A9F995">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1次/季度</w:t>
                  </w:r>
                </w:p>
              </w:tc>
              <w:tc>
                <w:tcPr>
                  <w:tcW w:w="1329" w:type="pct"/>
                  <w:vAlign w:val="center"/>
                </w:tcPr>
                <w:p w14:paraId="0AF46FB3">
                  <w:pPr>
                    <w:pStyle w:val="12"/>
                    <w:keepNext w:val="0"/>
                    <w:keepLines w:val="0"/>
                    <w:widowControl w:val="0"/>
                    <w:suppressLineNumbers w:val="0"/>
                    <w:kinsoku/>
                    <w:overflowPunct w:val="0"/>
                    <w:topLinePunct/>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委托资质单位监测</w:t>
                  </w:r>
                </w:p>
              </w:tc>
            </w:tr>
          </w:tbl>
          <w:p w14:paraId="4FBD4CA5">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4、固体废物环境影响和保护措施分析</w:t>
            </w:r>
          </w:p>
          <w:p w14:paraId="3E9765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宋体" w:cs="Times New Roman"/>
                <w:i w:val="0"/>
                <w:iCs w:val="0"/>
                <w:color w:val="auto"/>
                <w:sz w:val="24"/>
                <w:szCs w:val="24"/>
                <w:highlight w:val="none"/>
                <w:u w:val="none"/>
              </w:rPr>
              <w:t>本项目产生的固废主要为</w:t>
            </w:r>
            <w:r>
              <w:rPr>
                <w:rFonts w:hint="default" w:ascii="Times New Roman" w:hAnsi="Times New Roman" w:eastAsia="宋体" w:cs="Times New Roman"/>
                <w:i w:val="0"/>
                <w:iCs w:val="0"/>
                <w:color w:val="auto"/>
                <w:sz w:val="24"/>
                <w:szCs w:val="24"/>
                <w:highlight w:val="none"/>
                <w:u w:val="none"/>
                <w:lang w:eastAsia="zh-CN"/>
              </w:rPr>
              <w:t>：</w:t>
            </w:r>
            <w:r>
              <w:rPr>
                <w:rFonts w:hint="eastAsia" w:cs="Times New Roman"/>
                <w:i w:val="0"/>
                <w:iCs w:val="0"/>
                <w:color w:val="auto"/>
                <w:sz w:val="24"/>
                <w:szCs w:val="24"/>
                <w:highlight w:val="none"/>
                <w:u w:val="none"/>
                <w:lang w:val="en-US" w:eastAsia="zh-CN"/>
              </w:rPr>
              <w:t>生物质锅炉废气除尘系统收尘灰、生物质锅炉炉渣、废包装袋（食品添加剂、调味料以及水处理药剂）、纯水制备废物（废活性炭、废石英砂、废过滤膜、废滤芯）、污水处理站栅渣、污泥、检修废物（废机油、废油桶、废含油抹布和手套）以及生活垃圾。</w:t>
            </w:r>
          </w:p>
          <w:p w14:paraId="2C3F54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rPr>
              <w:t>一般工业固体废物</w:t>
            </w:r>
          </w:p>
          <w:p w14:paraId="361A9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b/>
                <w:bCs/>
                <w:i w:val="0"/>
                <w:iCs w:val="0"/>
                <w:color w:val="auto"/>
                <w:sz w:val="24"/>
                <w:szCs w:val="24"/>
                <w:highlight w:val="none"/>
                <w:u w:val="none"/>
                <w:lang w:val="en-US" w:eastAsia="zh-CN"/>
              </w:rPr>
            </w:pPr>
            <w:r>
              <w:rPr>
                <w:rFonts w:hint="default" w:ascii="Times New Roman" w:hAnsi="Times New Roman" w:eastAsia="宋体" w:cs="Times New Roman"/>
                <w:b w:val="0"/>
                <w:bCs w:val="0"/>
                <w:i w:val="0"/>
                <w:iCs w:val="0"/>
                <w:color w:val="auto"/>
                <w:sz w:val="24"/>
                <w:szCs w:val="24"/>
                <w:highlight w:val="none"/>
                <w:u w:val="none"/>
                <w:lang w:val="en-US" w:eastAsia="zh-CN"/>
              </w:rPr>
              <w:t>1）</w:t>
            </w:r>
            <w:r>
              <w:rPr>
                <w:rFonts w:hint="eastAsia" w:cs="Times New Roman"/>
                <w:b w:val="0"/>
                <w:bCs w:val="0"/>
                <w:i w:val="0"/>
                <w:iCs w:val="0"/>
                <w:color w:val="auto"/>
                <w:sz w:val="24"/>
                <w:szCs w:val="24"/>
                <w:highlight w:val="none"/>
                <w:u w:val="none"/>
                <w:lang w:val="en-US" w:eastAsia="zh-CN"/>
              </w:rPr>
              <w:t>生物质锅炉废气除尘系统收尘灰</w:t>
            </w:r>
            <w:r>
              <w:rPr>
                <w:rFonts w:hint="default" w:ascii="Times New Roman" w:hAnsi="Times New Roman" w:eastAsia="宋体" w:cs="Times New Roman"/>
                <w:b w:val="0"/>
                <w:bCs w:val="0"/>
                <w:i w:val="0"/>
                <w:iCs w:val="0"/>
                <w:color w:val="auto"/>
                <w:sz w:val="24"/>
                <w:szCs w:val="24"/>
                <w:highlight w:val="none"/>
                <w:u w:val="none"/>
                <w:lang w:val="en-US" w:eastAsia="zh-CN"/>
              </w:rPr>
              <w:t>：</w:t>
            </w:r>
            <w:r>
              <w:rPr>
                <w:rFonts w:hint="eastAsia" w:cs="Times New Roman"/>
                <w:b w:val="0"/>
                <w:bCs w:val="0"/>
                <w:i w:val="0"/>
                <w:iCs w:val="0"/>
                <w:color w:val="auto"/>
                <w:sz w:val="24"/>
                <w:szCs w:val="24"/>
                <w:highlight w:val="none"/>
                <w:u w:val="none"/>
                <w:lang w:val="en-US" w:eastAsia="zh-CN"/>
              </w:rPr>
              <w:t>根据废气产排情况，生物质锅炉除尘系统收尘灰产生量约0.064t/a，收集后用作农肥</w:t>
            </w:r>
            <w:r>
              <w:rPr>
                <w:rFonts w:hint="default" w:ascii="Times New Roman" w:hAnsi="Times New Roman" w:eastAsia="宋体" w:cs="Times New Roman"/>
                <w:color w:val="auto"/>
                <w:sz w:val="24"/>
                <w:szCs w:val="24"/>
                <w:highlight w:val="none"/>
                <w:lang w:eastAsia="zh-CN"/>
              </w:rPr>
              <w:t>。</w:t>
            </w:r>
          </w:p>
          <w:p w14:paraId="611225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b w:val="0"/>
                <w:bCs w:val="0"/>
                <w:i w:val="0"/>
                <w:iCs w:val="0"/>
                <w:color w:val="auto"/>
                <w:sz w:val="24"/>
                <w:szCs w:val="24"/>
                <w:highlight w:val="none"/>
                <w:u w:val="none"/>
                <w:lang w:val="en-US" w:eastAsia="zh-CN"/>
              </w:rPr>
            </w:pPr>
            <w:r>
              <w:rPr>
                <w:rFonts w:hint="default" w:ascii="Times New Roman" w:hAnsi="Times New Roman" w:eastAsia="宋体" w:cs="Times New Roman"/>
                <w:b w:val="0"/>
                <w:bCs w:val="0"/>
                <w:i w:val="0"/>
                <w:iCs w:val="0"/>
                <w:color w:val="auto"/>
                <w:sz w:val="24"/>
                <w:szCs w:val="24"/>
                <w:highlight w:val="none"/>
                <w:u w:val="none"/>
                <w:lang w:val="en-US" w:eastAsia="zh-CN"/>
              </w:rPr>
              <w:t>2</w:t>
            </w:r>
            <w:r>
              <w:rPr>
                <w:rFonts w:hint="default" w:ascii="Times New Roman" w:hAnsi="Times New Roman" w:eastAsia="宋体" w:cs="Times New Roman"/>
                <w:b w:val="0"/>
                <w:bCs w:val="0"/>
                <w:i w:val="0"/>
                <w:iCs w:val="0"/>
                <w:color w:val="auto"/>
                <w:sz w:val="24"/>
                <w:szCs w:val="24"/>
                <w:highlight w:val="none"/>
                <w:u w:val="none"/>
              </w:rPr>
              <w:t>）</w:t>
            </w:r>
            <w:r>
              <w:rPr>
                <w:rFonts w:hint="eastAsia" w:cs="Times New Roman"/>
                <w:b w:val="0"/>
                <w:bCs w:val="0"/>
                <w:i w:val="0"/>
                <w:iCs w:val="0"/>
                <w:color w:val="auto"/>
                <w:sz w:val="24"/>
                <w:szCs w:val="24"/>
                <w:highlight w:val="none"/>
                <w:u w:val="none"/>
                <w:lang w:val="en-US" w:eastAsia="zh-CN"/>
              </w:rPr>
              <w:t>生物质锅炉炉渣</w:t>
            </w:r>
            <w:r>
              <w:rPr>
                <w:rFonts w:hint="default" w:ascii="Times New Roman" w:hAnsi="Times New Roman" w:eastAsia="宋体" w:cs="Times New Roman"/>
                <w:b w:val="0"/>
                <w:bCs w:val="0"/>
                <w:i w:val="0"/>
                <w:iCs w:val="0"/>
                <w:color w:val="auto"/>
                <w:sz w:val="24"/>
                <w:szCs w:val="24"/>
                <w:highlight w:val="none"/>
                <w:u w:val="none"/>
                <w:lang w:eastAsia="zh-CN"/>
              </w:rPr>
              <w:t>：</w:t>
            </w:r>
            <w:r>
              <w:rPr>
                <w:rFonts w:hint="eastAsia" w:cs="Times New Roman"/>
                <w:b w:val="0"/>
                <w:bCs w:val="0"/>
                <w:i w:val="0"/>
                <w:iCs w:val="0"/>
                <w:color w:val="auto"/>
                <w:sz w:val="24"/>
                <w:szCs w:val="24"/>
                <w:highlight w:val="none"/>
                <w:u w:val="none"/>
                <w:lang w:val="en-US" w:eastAsia="zh-CN"/>
              </w:rPr>
              <w:t>本项目生物质燃料用量为160t/a，</w:t>
            </w:r>
            <w:r>
              <w:rPr>
                <w:rFonts w:hint="default" w:ascii="Times New Roman" w:hAnsi="Times New Roman" w:eastAsia="宋体" w:cs="Times New Roman"/>
                <w:b w:val="0"/>
                <w:bCs w:val="0"/>
                <w:color w:val="auto"/>
                <w:kern w:val="0"/>
                <w:sz w:val="24"/>
                <w:szCs w:val="24"/>
                <w:highlight w:val="none"/>
                <w:u w:val="none"/>
                <w:lang w:val="en-US" w:eastAsia="zh-CN"/>
              </w:rPr>
              <w:t>根据生物质燃料检测报告其</w:t>
            </w:r>
            <w:r>
              <w:rPr>
                <w:rFonts w:hint="default" w:ascii="Times New Roman" w:hAnsi="Times New Roman" w:eastAsia="宋体" w:cs="Times New Roman"/>
                <w:b w:val="0"/>
                <w:bCs w:val="0"/>
                <w:color w:val="auto"/>
                <w:kern w:val="0"/>
                <w:sz w:val="24"/>
                <w:szCs w:val="24"/>
                <w:highlight w:val="none"/>
                <w:u w:val="none"/>
              </w:rPr>
              <w:t>灰份为</w:t>
            </w:r>
            <w:r>
              <w:rPr>
                <w:rFonts w:hint="eastAsia" w:cs="Times New Roman"/>
                <w:b w:val="0"/>
                <w:bCs w:val="0"/>
                <w:color w:val="auto"/>
                <w:kern w:val="0"/>
                <w:sz w:val="24"/>
                <w:szCs w:val="24"/>
                <w:highlight w:val="none"/>
                <w:u w:val="none"/>
                <w:lang w:val="en-US" w:eastAsia="zh-CN"/>
              </w:rPr>
              <w:t>3.82</w:t>
            </w:r>
            <w:r>
              <w:rPr>
                <w:rFonts w:hint="default" w:ascii="Times New Roman" w:hAnsi="Times New Roman" w:eastAsia="宋体" w:cs="Times New Roman"/>
                <w:b w:val="0"/>
                <w:bCs w:val="0"/>
                <w:color w:val="auto"/>
                <w:kern w:val="0"/>
                <w:sz w:val="24"/>
                <w:szCs w:val="24"/>
                <w:highlight w:val="none"/>
                <w:u w:val="none"/>
              </w:rPr>
              <w:t>%</w:t>
            </w:r>
            <w:r>
              <w:rPr>
                <w:rFonts w:hint="eastAsia" w:cs="Times New Roman"/>
                <w:b w:val="0"/>
                <w:bCs w:val="0"/>
                <w:color w:val="auto"/>
                <w:kern w:val="0"/>
                <w:sz w:val="24"/>
                <w:szCs w:val="24"/>
                <w:highlight w:val="none"/>
                <w:u w:val="none"/>
                <w:lang w:eastAsia="zh-CN"/>
              </w:rPr>
              <w:t>，</w:t>
            </w:r>
            <w:r>
              <w:rPr>
                <w:rFonts w:hint="eastAsia" w:cs="Times New Roman"/>
                <w:b w:val="0"/>
                <w:bCs w:val="0"/>
                <w:color w:val="auto"/>
                <w:kern w:val="0"/>
                <w:sz w:val="24"/>
                <w:szCs w:val="24"/>
                <w:highlight w:val="none"/>
                <w:u w:val="none"/>
                <w:lang w:val="en-US" w:eastAsia="zh-CN"/>
              </w:rPr>
              <w:t>则锅炉炉渣产生量约6.11t/a，收集后用作农肥</w:t>
            </w:r>
            <w:r>
              <w:rPr>
                <w:rFonts w:hint="default" w:ascii="Times New Roman" w:hAnsi="Times New Roman" w:eastAsia="宋体" w:cs="Times New Roman"/>
                <w:b w:val="0"/>
                <w:bCs w:val="0"/>
                <w:color w:val="auto"/>
                <w:sz w:val="24"/>
                <w:szCs w:val="24"/>
                <w:highlight w:val="none"/>
                <w:lang w:eastAsia="zh-CN"/>
              </w:rPr>
              <w:t>。</w:t>
            </w:r>
          </w:p>
          <w:p w14:paraId="7309A0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b w:val="0"/>
                <w:bCs w:val="0"/>
                <w:i w:val="0"/>
                <w:iCs w:val="0"/>
                <w:color w:val="auto"/>
                <w:sz w:val="24"/>
                <w:szCs w:val="24"/>
                <w:highlight w:val="yellow"/>
                <w:u w:val="none"/>
                <w:lang w:val="en-US" w:eastAsia="zh-CN"/>
              </w:rPr>
            </w:pPr>
            <w:r>
              <w:rPr>
                <w:rFonts w:hint="eastAsia" w:cs="Times New Roman"/>
                <w:b w:val="0"/>
                <w:bCs w:val="0"/>
                <w:i w:val="0"/>
                <w:iCs w:val="0"/>
                <w:color w:val="auto"/>
                <w:sz w:val="24"/>
                <w:szCs w:val="24"/>
                <w:highlight w:val="none"/>
                <w:u w:val="none"/>
                <w:lang w:val="en-US" w:eastAsia="zh-CN"/>
              </w:rPr>
              <w:t>3）废包装袋（食品添加剂、调味料以及水处理药剂）：</w:t>
            </w:r>
            <w:r>
              <w:rPr>
                <w:rFonts w:hint="default" w:ascii="Times New Roman" w:hAnsi="Times New Roman" w:eastAsia="宋体" w:cs="Times New Roman"/>
                <w:color w:val="auto"/>
                <w:kern w:val="0"/>
                <w:sz w:val="24"/>
                <w:szCs w:val="24"/>
                <w:highlight w:val="none"/>
                <w:u w:val="none"/>
              </w:rPr>
              <w:t>根据建设单位提供资料可知，项目废包装袋</w:t>
            </w:r>
            <w:r>
              <w:rPr>
                <w:rFonts w:hint="eastAsia" w:cs="Times New Roman"/>
                <w:color w:val="auto"/>
                <w:kern w:val="0"/>
                <w:sz w:val="24"/>
                <w:szCs w:val="24"/>
                <w:highlight w:val="none"/>
                <w:u w:val="none"/>
                <w:lang w:val="en-US" w:eastAsia="zh-CN"/>
              </w:rPr>
              <w:t>产生量约</w:t>
            </w:r>
            <w:r>
              <w:rPr>
                <w:rFonts w:hint="default" w:ascii="Times New Roman" w:hAnsi="Times New Roman" w:eastAsia="宋体" w:cs="Times New Roman"/>
                <w:color w:val="auto"/>
                <w:kern w:val="0"/>
                <w:sz w:val="24"/>
                <w:szCs w:val="24"/>
                <w:highlight w:val="none"/>
                <w:u w:val="none"/>
                <w:lang w:val="en-US" w:eastAsia="zh-CN"/>
              </w:rPr>
              <w:t>0.5</w:t>
            </w:r>
            <w:r>
              <w:rPr>
                <w:rFonts w:hint="default" w:ascii="Times New Roman" w:hAnsi="Times New Roman" w:eastAsia="宋体" w:cs="Times New Roman"/>
                <w:color w:val="auto"/>
                <w:kern w:val="0"/>
                <w:sz w:val="24"/>
                <w:szCs w:val="24"/>
                <w:highlight w:val="none"/>
                <w:u w:val="none"/>
              </w:rPr>
              <w:t>t/a，</w:t>
            </w:r>
            <w:r>
              <w:rPr>
                <w:rFonts w:hint="eastAsia" w:cs="Times New Roman"/>
                <w:color w:val="auto"/>
                <w:kern w:val="0"/>
                <w:sz w:val="24"/>
                <w:szCs w:val="24"/>
                <w:highlight w:val="none"/>
                <w:u w:val="none"/>
                <w:lang w:val="en-US" w:eastAsia="zh-CN"/>
              </w:rPr>
              <w:t>外售综合</w:t>
            </w:r>
            <w:r>
              <w:rPr>
                <w:rFonts w:hint="default" w:ascii="Times New Roman" w:hAnsi="Times New Roman" w:eastAsia="宋体" w:cs="Times New Roman"/>
                <w:color w:val="auto"/>
                <w:kern w:val="0"/>
                <w:sz w:val="24"/>
                <w:szCs w:val="24"/>
                <w:highlight w:val="none"/>
                <w:u w:val="none"/>
              </w:rPr>
              <w:t>利用</w:t>
            </w:r>
            <w:r>
              <w:rPr>
                <w:rFonts w:hint="eastAsia" w:cs="Times New Roman"/>
                <w:color w:val="auto"/>
                <w:kern w:val="0"/>
                <w:sz w:val="24"/>
                <w:szCs w:val="24"/>
                <w:highlight w:val="none"/>
                <w:u w:val="none"/>
                <w:lang w:eastAsia="zh-CN"/>
              </w:rPr>
              <w:t>。</w:t>
            </w:r>
          </w:p>
          <w:p w14:paraId="29F4CE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s="Times New Roman"/>
                <w:b w:val="0"/>
                <w:bCs w:val="0"/>
                <w:i w:val="0"/>
                <w:iCs w:val="0"/>
                <w:color w:val="auto"/>
                <w:sz w:val="24"/>
                <w:szCs w:val="24"/>
                <w:highlight w:val="none"/>
                <w:u w:val="none"/>
                <w:lang w:val="en-US" w:eastAsia="zh-CN"/>
              </w:rPr>
            </w:pPr>
            <w:r>
              <w:rPr>
                <w:rFonts w:hint="eastAsia" w:cs="Times New Roman"/>
                <w:b w:val="0"/>
                <w:bCs w:val="0"/>
                <w:i w:val="0"/>
                <w:iCs w:val="0"/>
                <w:color w:val="auto"/>
                <w:sz w:val="24"/>
                <w:szCs w:val="24"/>
                <w:highlight w:val="none"/>
                <w:u w:val="none"/>
                <w:lang w:val="en-US" w:eastAsia="zh-CN"/>
              </w:rPr>
              <w:t>4）纯水制备废物：本项目纯水制备采用活性炭吸附+石英砂过滤+滤芯过滤+RO反渗透工艺生产纯水，用于锅炉补水，年生产时间40天，因此本项目纯水设置红的活性炭、滤芯及过滤膜约3年更换一次，根据建设单位提供资料，其中废活性炭产生量约0.05t/次，废滤芯产生量约0.02t/次，废过滤膜产生量约0.01t/次，均交由物质回收单位综合利用。</w:t>
            </w:r>
          </w:p>
          <w:p w14:paraId="3524F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s="Times New Roman"/>
                <w:b w:val="0"/>
                <w:bCs w:val="0"/>
                <w:i w:val="0"/>
                <w:iCs w:val="0"/>
                <w:color w:val="auto"/>
                <w:sz w:val="24"/>
                <w:szCs w:val="24"/>
                <w:highlight w:val="none"/>
                <w:u w:val="none"/>
                <w:lang w:val="en-US" w:eastAsia="zh-CN"/>
              </w:rPr>
            </w:pPr>
            <w:r>
              <w:rPr>
                <w:rFonts w:hint="eastAsia" w:cs="Times New Roman"/>
                <w:b w:val="0"/>
                <w:bCs w:val="0"/>
                <w:i w:val="0"/>
                <w:iCs w:val="0"/>
                <w:color w:val="auto"/>
                <w:sz w:val="24"/>
                <w:szCs w:val="24"/>
                <w:highlight w:val="none"/>
                <w:u w:val="none"/>
                <w:lang w:val="en-US" w:eastAsia="zh-CN"/>
              </w:rPr>
              <w:t>5）污水处理站</w:t>
            </w:r>
            <w:r>
              <w:rPr>
                <w:rFonts w:hint="eastAsia" w:cs="Times New Roman"/>
                <w:i w:val="0"/>
                <w:iCs w:val="0"/>
                <w:color w:val="auto"/>
                <w:sz w:val="24"/>
                <w:szCs w:val="24"/>
                <w:highlight w:val="none"/>
                <w:u w:val="none"/>
                <w:lang w:val="en-US" w:eastAsia="zh-CN"/>
              </w:rPr>
              <w:t>栅渣、</w:t>
            </w:r>
            <w:r>
              <w:rPr>
                <w:rFonts w:hint="eastAsia" w:cs="Times New Roman"/>
                <w:b w:val="0"/>
                <w:bCs w:val="0"/>
                <w:i w:val="0"/>
                <w:iCs w:val="0"/>
                <w:color w:val="auto"/>
                <w:sz w:val="24"/>
                <w:szCs w:val="24"/>
                <w:highlight w:val="none"/>
                <w:u w:val="none"/>
                <w:lang w:val="en-US" w:eastAsia="zh-CN"/>
              </w:rPr>
              <w:t>污泥</w:t>
            </w:r>
          </w:p>
          <w:p w14:paraId="0B0D0C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i w:val="0"/>
                <w:iCs w:val="0"/>
                <w:color w:val="auto"/>
                <w:sz w:val="24"/>
                <w:szCs w:val="24"/>
                <w:highlight w:val="none"/>
                <w:u w:val="none"/>
                <w:lang w:val="en-US" w:eastAsia="zh-CN"/>
              </w:rPr>
            </w:pPr>
            <w:r>
              <w:rPr>
                <w:rFonts w:hint="eastAsia" w:ascii="宋体" w:hAnsi="宋体" w:eastAsia="宋体" w:cs="宋体"/>
                <w:i w:val="0"/>
                <w:iCs w:val="0"/>
                <w:color w:val="auto"/>
                <w:sz w:val="24"/>
                <w:szCs w:val="24"/>
                <w:highlight w:val="none"/>
                <w:u w:val="none"/>
                <w:lang w:eastAsia="zh-CN"/>
              </w:rPr>
              <w:t>①</w:t>
            </w:r>
            <w:r>
              <w:rPr>
                <w:rFonts w:hint="eastAsia" w:cs="Times New Roman"/>
                <w:i w:val="0"/>
                <w:iCs w:val="0"/>
                <w:color w:val="auto"/>
                <w:sz w:val="24"/>
                <w:szCs w:val="24"/>
                <w:highlight w:val="none"/>
                <w:u w:val="none"/>
                <w:lang w:val="en-US" w:eastAsia="zh-CN"/>
              </w:rPr>
              <w:t>栅渣</w:t>
            </w:r>
          </w:p>
          <w:p w14:paraId="7B139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i w:val="0"/>
                <w:iCs w:val="0"/>
                <w:color w:val="auto"/>
                <w:sz w:val="24"/>
                <w:szCs w:val="24"/>
                <w:highlight w:val="yellow"/>
                <w:u w:val="none"/>
                <w:lang w:eastAsia="zh-CN"/>
              </w:rPr>
            </w:pPr>
            <w:r>
              <w:rPr>
                <w:rFonts w:hint="eastAsia"/>
                <w:highlight w:val="none"/>
                <w:u w:val="none"/>
              </w:rPr>
              <w:t>由格栅截留的固体废弃物主要有细垃圾和悬浮或漂浮状态的杂物等。</w:t>
            </w:r>
            <w:r>
              <w:rPr>
                <w:rFonts w:hint="eastAsia"/>
                <w:highlight w:val="none"/>
                <w:u w:val="none"/>
                <w:lang w:val="en-US" w:eastAsia="zh-CN"/>
              </w:rPr>
              <w:t>类别同类项目，栅渣产生量</w:t>
            </w:r>
            <w:r>
              <w:rPr>
                <w:rFonts w:hint="default" w:ascii="Times New Roman" w:hAnsi="Times New Roman" w:cs="Times New Roman"/>
                <w:color w:val="000000" w:themeColor="text1"/>
                <w:sz w:val="24"/>
                <w:szCs w:val="24"/>
                <w:highlight w:val="none"/>
                <w14:textFill>
                  <w14:solidFill>
                    <w14:schemeClr w14:val="tx1"/>
                  </w14:solidFill>
                </w14:textFill>
              </w:rPr>
              <w:t>栅渣产生量0.03m</w:t>
            </w:r>
            <w:r>
              <w:rPr>
                <w:rFonts w:hint="default" w:ascii="Times New Roman" w:hAnsi="Times New Roman"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color w:val="000000" w:themeColor="text1"/>
                <w:sz w:val="24"/>
                <w:szCs w:val="24"/>
                <w:highlight w:val="none"/>
                <w14:textFill>
                  <w14:solidFill>
                    <w14:schemeClr w14:val="tx1"/>
                  </w14:solidFill>
                </w14:textFill>
              </w:rPr>
              <w:t>/ 1000m</w:t>
            </w:r>
            <w:r>
              <w:rPr>
                <w:rFonts w:hint="default" w:ascii="Times New Roman" w:hAnsi="Times New Roman"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含水率60%</w:t>
            </w:r>
            <w:r>
              <w:rPr>
                <w:rFonts w:hint="default" w:ascii="Times New Roman" w:hAnsi="Times New Roman" w:cs="Times New Roman"/>
                <w:color w:val="000000" w:themeColor="text1"/>
                <w:sz w:val="24"/>
                <w:szCs w:val="24"/>
                <w:highlight w:val="none"/>
                <w14:textFill>
                  <w14:solidFill>
                    <w14:schemeClr w14:val="tx1"/>
                  </w14:solidFill>
                </w14:textFill>
              </w:rPr>
              <w:t>，容重960kg/m</w:t>
            </w:r>
            <w:r>
              <w:rPr>
                <w:rFonts w:hint="default" w:ascii="Times New Roman" w:hAnsi="Times New Roman"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则本项目栅渣产生量为0.</w:t>
            </w:r>
            <w:r>
              <w:rPr>
                <w:rFonts w:hint="eastAsia" w:cs="Times New Roman"/>
                <w:color w:val="000000" w:themeColor="text1"/>
                <w:sz w:val="24"/>
                <w:szCs w:val="24"/>
                <w:highlight w:val="none"/>
                <w:lang w:val="en-US" w:eastAsia="zh-CN"/>
                <w14:textFill>
                  <w14:solidFill>
                    <w14:schemeClr w14:val="tx1"/>
                  </w14:solidFill>
                </w14:textFill>
              </w:rPr>
              <w:t>0035</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t/d（</w:t>
            </w:r>
            <w:r>
              <w:rPr>
                <w:rFonts w:hint="eastAsia" w:cs="Times New Roman"/>
                <w:color w:val="000000" w:themeColor="text1"/>
                <w:sz w:val="24"/>
                <w:szCs w:val="24"/>
                <w:highlight w:val="none"/>
                <w:lang w:val="en-US" w:eastAsia="zh-CN"/>
                <w14:textFill>
                  <w14:solidFill>
                    <w14:schemeClr w14:val="tx1"/>
                  </w14:solidFill>
                </w14:textFill>
              </w:rPr>
              <w:t>1.05</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t/a）</w:t>
            </w:r>
            <w:r>
              <w:rPr>
                <w:rFonts w:hint="eastAsia" w:cs="Times New Roman"/>
                <w:color w:val="000000" w:themeColor="text1"/>
                <w:sz w:val="24"/>
                <w:szCs w:val="24"/>
                <w:highlight w:val="none"/>
                <w:lang w:val="en-US" w:eastAsia="zh-CN"/>
                <w14:textFill>
                  <w14:solidFill>
                    <w14:schemeClr w14:val="tx1"/>
                  </w14:solidFill>
                </w14:textFill>
              </w:rPr>
              <w:t>，交由垃圾焚烧单位焚烧</w:t>
            </w:r>
            <w:r>
              <w:rPr>
                <w:rFonts w:hint="eastAsia" w:cs="Times New Roman"/>
                <w:b w:val="0"/>
                <w:bCs w:val="0"/>
                <w:i w:val="0"/>
                <w:iCs w:val="0"/>
                <w:color w:val="auto"/>
                <w:sz w:val="24"/>
                <w:szCs w:val="24"/>
                <w:highlight w:val="none"/>
                <w:u w:val="none"/>
                <w:lang w:val="en-US" w:eastAsia="zh-CN"/>
              </w:rPr>
              <w:t>。</w:t>
            </w:r>
          </w:p>
          <w:p w14:paraId="5FAC6F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i w:val="0"/>
                <w:iCs w:val="0"/>
                <w:color w:val="auto"/>
                <w:sz w:val="24"/>
                <w:szCs w:val="24"/>
                <w:highlight w:val="none"/>
                <w:u w:val="none"/>
                <w:lang w:val="en-US" w:eastAsia="zh-CN"/>
              </w:rPr>
            </w:pPr>
            <w:r>
              <w:rPr>
                <w:rFonts w:hint="eastAsia" w:ascii="宋体" w:hAnsi="宋体" w:eastAsia="宋体" w:cs="宋体"/>
                <w:i w:val="0"/>
                <w:iCs w:val="0"/>
                <w:color w:val="auto"/>
                <w:sz w:val="24"/>
                <w:szCs w:val="24"/>
                <w:highlight w:val="none"/>
                <w:u w:val="none"/>
                <w:lang w:eastAsia="zh-CN"/>
              </w:rPr>
              <w:t>②</w:t>
            </w:r>
            <w:r>
              <w:rPr>
                <w:rFonts w:hint="eastAsia" w:cs="Times New Roman"/>
                <w:i w:val="0"/>
                <w:iCs w:val="0"/>
                <w:color w:val="auto"/>
                <w:sz w:val="24"/>
                <w:szCs w:val="24"/>
                <w:highlight w:val="none"/>
                <w:u w:val="none"/>
                <w:lang w:val="en-US" w:eastAsia="zh-CN"/>
              </w:rPr>
              <w:t>污泥</w:t>
            </w:r>
          </w:p>
          <w:p w14:paraId="142881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i w:val="0"/>
                <w:iCs w:val="0"/>
                <w:color w:val="auto"/>
                <w:sz w:val="24"/>
                <w:szCs w:val="24"/>
                <w:highlight w:val="none"/>
                <w:u w:val="none"/>
                <w:lang w:eastAsia="zh-CN"/>
              </w:rPr>
            </w:pPr>
            <w:r>
              <w:rPr>
                <w:rFonts w:hint="eastAsia" w:cs="Times New Roman"/>
                <w:i w:val="0"/>
                <w:iCs w:val="0"/>
                <w:color w:val="auto"/>
                <w:sz w:val="24"/>
                <w:szCs w:val="24"/>
                <w:highlight w:val="none"/>
                <w:u w:val="none"/>
                <w:lang w:val="en-US" w:eastAsia="zh-CN"/>
              </w:rPr>
              <w:t>参照</w:t>
            </w:r>
            <w:r>
              <w:rPr>
                <w:rFonts w:hint="default" w:ascii="Times New Roman" w:hAnsi="Times New Roman" w:eastAsia="宋体" w:cs="Times New Roman"/>
                <w:i w:val="0"/>
                <w:iCs w:val="0"/>
                <w:color w:val="auto"/>
                <w:sz w:val="24"/>
                <w:szCs w:val="24"/>
                <w:highlight w:val="none"/>
                <w:u w:val="none"/>
                <w:lang w:eastAsia="zh-CN"/>
              </w:rPr>
              <w:t>《排污许可证申请与核发技术规范 水处理（试行）》（HJ978-2018）中的关于污泥产生量的计算公式：</w:t>
            </w:r>
          </w:p>
          <w:p w14:paraId="08ACD5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宋体" w:cs="Times New Roman"/>
                <w:i w:val="0"/>
                <w:iCs w:val="0"/>
                <w:color w:val="auto"/>
                <w:sz w:val="24"/>
                <w:szCs w:val="24"/>
                <w:highlight w:val="none"/>
                <w:u w:val="none"/>
                <w:lang w:eastAsia="zh-CN"/>
              </w:rPr>
              <w:object>
                <v:shape id="_x0000_i1031" o:spt="75" type="#_x0000_t75" style="height:20pt;width:130pt;" o:ole="t" filled="f" o:preferrelative="t" stroked="f" coordsize="21600,21600">
                  <v:path/>
                  <v:fill on="f" focussize="0,0"/>
                  <v:stroke on="f"/>
                  <v:imagedata r:id="rId40" o:title=""/>
                  <o:lock v:ext="edit" aspectratio="t"/>
                  <w10:wrap type="none"/>
                  <w10:anchorlock/>
                </v:shape>
                <o:OLEObject Type="Embed" ProgID="Equation.KSEE3" ShapeID="_x0000_i1031" DrawAspect="Content" ObjectID="_1468075732" r:id="rId39">
                  <o:LockedField>false</o:LockedField>
                </o:OLEObject>
              </w:object>
            </w:r>
          </w:p>
          <w:p w14:paraId="64EB3B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i w:val="0"/>
                <w:iCs w:val="0"/>
                <w:color w:val="auto"/>
                <w:sz w:val="24"/>
                <w:szCs w:val="24"/>
                <w:highlight w:val="none"/>
                <w:u w:val="none"/>
                <w:lang w:val="en-US" w:eastAsia="zh-CN"/>
              </w:rPr>
            </w:pPr>
            <w:r>
              <w:rPr>
                <w:rFonts w:hint="default" w:ascii="Times New Roman" w:hAnsi="Times New Roman" w:eastAsia="宋体" w:cs="Times New Roman"/>
                <w:i w:val="0"/>
                <w:iCs w:val="0"/>
                <w:color w:val="auto"/>
                <w:sz w:val="24"/>
                <w:szCs w:val="24"/>
                <w:highlight w:val="none"/>
                <w:u w:val="none"/>
                <w:lang w:val="en-US" w:eastAsia="zh-CN"/>
              </w:rPr>
              <w:t>式中：E产生量——污水处理过程产生的污泥量，以干泥计，t；</w:t>
            </w:r>
          </w:p>
          <w:p w14:paraId="4D9914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i w:val="0"/>
                <w:iCs w:val="0"/>
                <w:color w:val="auto"/>
                <w:sz w:val="24"/>
                <w:szCs w:val="24"/>
                <w:highlight w:val="none"/>
                <w:u w:val="none"/>
                <w:lang w:val="en-US" w:eastAsia="zh-CN"/>
              </w:rPr>
            </w:pPr>
            <w:r>
              <w:rPr>
                <w:rFonts w:hint="default" w:ascii="Times New Roman" w:hAnsi="Times New Roman" w:eastAsia="宋体" w:cs="Times New Roman"/>
                <w:i w:val="0"/>
                <w:iCs w:val="0"/>
                <w:color w:val="auto"/>
                <w:sz w:val="24"/>
                <w:szCs w:val="24"/>
                <w:highlight w:val="none"/>
                <w:u w:val="none"/>
                <w:lang w:val="en-US" w:eastAsia="zh-CN"/>
              </w:rPr>
              <w:t>Q——核算时段内废水排放量，m</w:t>
            </w:r>
            <w:r>
              <w:rPr>
                <w:rFonts w:hint="default" w:ascii="Times New Roman" w:hAnsi="Times New Roman" w:eastAsia="宋体" w:cs="Times New Roman"/>
                <w:i w:val="0"/>
                <w:iCs w:val="0"/>
                <w:color w:val="auto"/>
                <w:sz w:val="24"/>
                <w:szCs w:val="24"/>
                <w:highlight w:val="none"/>
                <w:u w:val="none"/>
                <w:vertAlign w:val="superscript"/>
                <w:lang w:val="en-US" w:eastAsia="zh-CN"/>
              </w:rPr>
              <w:t>3</w:t>
            </w:r>
            <w:r>
              <w:rPr>
                <w:rFonts w:hint="default" w:ascii="Times New Roman" w:hAnsi="Times New Roman" w:eastAsia="宋体" w:cs="Times New Roman"/>
                <w:i w:val="0"/>
                <w:iCs w:val="0"/>
                <w:color w:val="auto"/>
                <w:sz w:val="24"/>
                <w:szCs w:val="24"/>
                <w:highlight w:val="none"/>
                <w:u w:val="none"/>
                <w:lang w:val="en-US" w:eastAsia="zh-CN"/>
              </w:rPr>
              <w:t>；</w:t>
            </w:r>
          </w:p>
          <w:p w14:paraId="247C9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i w:val="0"/>
                <w:iCs w:val="0"/>
                <w:color w:val="auto"/>
                <w:sz w:val="24"/>
                <w:szCs w:val="24"/>
                <w:highlight w:val="none"/>
                <w:u w:val="none"/>
                <w:lang w:val="en-US"/>
              </w:rPr>
            </w:pPr>
            <w:r>
              <w:rPr>
                <w:rFonts w:hint="default" w:ascii="Times New Roman" w:hAnsi="Times New Roman" w:eastAsia="宋体" w:cs="Times New Roman"/>
                <w:i w:val="0"/>
                <w:iCs w:val="0"/>
                <w:color w:val="auto"/>
                <w:sz w:val="24"/>
                <w:szCs w:val="24"/>
                <w:highlight w:val="none"/>
                <w:u w:val="none"/>
                <w:lang w:val="en-US" w:eastAsia="zh-CN"/>
              </w:rPr>
              <w:t>W深——有深度处理工艺（添加化学药剂）时按2计，无深度处理工艺时按1计，量纲一</w:t>
            </w:r>
            <w:r>
              <w:rPr>
                <w:rFonts w:hint="eastAsia" w:cs="Times New Roman"/>
                <w:i w:val="0"/>
                <w:iCs w:val="0"/>
                <w:color w:val="auto"/>
                <w:sz w:val="24"/>
                <w:szCs w:val="24"/>
                <w:highlight w:val="none"/>
                <w:u w:val="none"/>
                <w:lang w:val="en-US" w:eastAsia="zh-CN"/>
              </w:rPr>
              <w:t>，本项目有添加化学药剂，</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则W</w:t>
            </w:r>
            <w:r>
              <w:rPr>
                <w:rFonts w:hint="eastAsia" w:ascii="Times New Roman" w:hAnsi="Times New Roman" w:cs="Times New Roman"/>
                <w:color w:val="000000" w:themeColor="text1"/>
                <w:sz w:val="24"/>
                <w:szCs w:val="24"/>
                <w:highlight w:val="none"/>
                <w:vertAlign w:val="subscript"/>
                <w:lang w:val="en-US" w:eastAsia="zh-CN"/>
                <w14:textFill>
                  <w14:solidFill>
                    <w14:schemeClr w14:val="tx1"/>
                  </w14:solidFill>
                </w14:textFill>
              </w:rPr>
              <w:t>深</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按2计</w:t>
            </w:r>
            <w:r>
              <w:rPr>
                <w:rFonts w:hint="eastAsia" w:cs="Times New Roman"/>
                <w:color w:val="000000" w:themeColor="text1"/>
                <w:sz w:val="24"/>
                <w:szCs w:val="24"/>
                <w:highlight w:val="none"/>
                <w:lang w:val="en-US" w:eastAsia="zh-CN"/>
                <w14:textFill>
                  <w14:solidFill>
                    <w14:schemeClr w14:val="tx1"/>
                  </w14:solidFill>
                </w14:textFill>
              </w:rPr>
              <w:t>。</w:t>
            </w:r>
          </w:p>
          <w:p w14:paraId="68EEB8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highlight w:val="yellow"/>
                <w:lang w:eastAsia="zh-CN"/>
              </w:rPr>
            </w:pPr>
            <w:r>
              <w:rPr>
                <w:rFonts w:hint="eastAsia" w:cs="Times New Roman"/>
                <w:i w:val="0"/>
                <w:iCs w:val="0"/>
                <w:color w:val="auto"/>
                <w:sz w:val="24"/>
                <w:szCs w:val="24"/>
                <w:highlight w:val="none"/>
                <w:u w:val="none"/>
                <w:lang w:val="en-US" w:eastAsia="zh-CN"/>
              </w:rPr>
              <w:t>根据上式，本项目污水处理站</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干污泥产生量约</w:t>
            </w:r>
            <w:r>
              <w:rPr>
                <w:rFonts w:hint="eastAsia" w:cs="Times New Roman"/>
                <w:color w:val="000000" w:themeColor="text1"/>
                <w:sz w:val="24"/>
                <w:szCs w:val="24"/>
                <w:highlight w:val="none"/>
                <w:lang w:val="en-US" w:eastAsia="zh-CN"/>
                <w14:textFill>
                  <w14:solidFill>
                    <w14:schemeClr w14:val="tx1"/>
                  </w14:solidFill>
                </w14:textFill>
              </w:rPr>
              <w:t>0.041</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t/d、</w:t>
            </w:r>
            <w:r>
              <w:rPr>
                <w:rFonts w:hint="eastAsia" w:cs="Times New Roman"/>
                <w:color w:val="000000" w:themeColor="text1"/>
                <w:sz w:val="24"/>
                <w:szCs w:val="24"/>
                <w:highlight w:val="none"/>
                <w:lang w:val="en-US" w:eastAsia="zh-CN"/>
                <w14:textFill>
                  <w14:solidFill>
                    <w14:schemeClr w14:val="tx1"/>
                  </w14:solidFill>
                </w14:textFill>
              </w:rPr>
              <w:t>12.3</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t/a，含水率60%考虑，</w:t>
            </w:r>
            <w:r>
              <w:rPr>
                <w:rFonts w:hint="eastAsia" w:cs="Times New Roman"/>
                <w:color w:val="000000" w:themeColor="text1"/>
                <w:sz w:val="24"/>
                <w:szCs w:val="24"/>
                <w:highlight w:val="none"/>
                <w:lang w:val="en-US" w:eastAsia="zh-CN"/>
                <w14:textFill>
                  <w14:solidFill>
                    <w14:schemeClr w14:val="tx1"/>
                  </w14:solidFill>
                </w14:textFill>
              </w:rPr>
              <w:t>则污水处理站污泥产生量为0.1025t/d（30.75t/a），交由垃圾焚烧单位焚烧</w:t>
            </w:r>
            <w:r>
              <w:rPr>
                <w:rFonts w:hint="default" w:ascii="Times New Roman" w:hAnsi="Times New Roman" w:eastAsia="宋体" w:cs="Times New Roman"/>
                <w:color w:val="auto"/>
                <w:sz w:val="24"/>
                <w:szCs w:val="24"/>
                <w:highlight w:val="none"/>
                <w:lang w:val="en-US" w:eastAsia="zh-CN"/>
              </w:rPr>
              <w:t>。</w:t>
            </w:r>
          </w:p>
          <w:p w14:paraId="4736B9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b w:val="0"/>
                <w:bCs w:val="0"/>
                <w:i w:val="0"/>
                <w:iCs w:val="0"/>
                <w:color w:val="auto"/>
                <w:spacing w:val="4"/>
                <w:sz w:val="24"/>
                <w:szCs w:val="24"/>
                <w:highlight w:val="none"/>
                <w:u w:val="none"/>
                <w:lang w:eastAsia="zh-CN"/>
              </w:rPr>
            </w:pPr>
            <w:r>
              <w:rPr>
                <w:rFonts w:hint="default" w:ascii="Times New Roman" w:hAnsi="Times New Roman" w:eastAsia="宋体" w:cs="Times New Roman"/>
                <w:b w:val="0"/>
                <w:bCs w:val="0"/>
                <w:i w:val="0"/>
                <w:iCs w:val="0"/>
                <w:color w:val="auto"/>
                <w:sz w:val="24"/>
                <w:szCs w:val="24"/>
                <w:highlight w:val="none"/>
                <w:u w:val="none"/>
                <w:lang w:val="en-US" w:eastAsia="zh-CN"/>
              </w:rPr>
              <w:t>6</w:t>
            </w:r>
            <w:r>
              <w:rPr>
                <w:rFonts w:hint="default" w:ascii="Times New Roman" w:hAnsi="Times New Roman" w:eastAsia="宋体" w:cs="Times New Roman"/>
                <w:b w:val="0"/>
                <w:bCs w:val="0"/>
                <w:i w:val="0"/>
                <w:iCs w:val="0"/>
                <w:color w:val="auto"/>
                <w:sz w:val="24"/>
                <w:szCs w:val="24"/>
                <w:highlight w:val="none"/>
                <w:u w:val="none"/>
              </w:rPr>
              <w:t>）生活垃圾</w:t>
            </w:r>
            <w:r>
              <w:rPr>
                <w:rFonts w:hint="default" w:ascii="Times New Roman" w:hAnsi="Times New Roman" w:eastAsia="宋体" w:cs="Times New Roman"/>
                <w:b w:val="0"/>
                <w:bCs w:val="0"/>
                <w:i w:val="0"/>
                <w:iCs w:val="0"/>
                <w:color w:val="auto"/>
                <w:sz w:val="24"/>
                <w:szCs w:val="24"/>
                <w:highlight w:val="none"/>
                <w:u w:val="none"/>
                <w:lang w:eastAsia="zh-CN"/>
              </w:rPr>
              <w:t>：</w:t>
            </w:r>
            <w:r>
              <w:rPr>
                <w:rFonts w:hint="default" w:ascii="Times New Roman" w:hAnsi="Times New Roman" w:eastAsia="宋体" w:cs="Times New Roman"/>
                <w:b w:val="0"/>
                <w:bCs w:val="0"/>
                <w:i w:val="0"/>
                <w:iCs w:val="0"/>
                <w:color w:val="auto"/>
                <w:sz w:val="24"/>
                <w:szCs w:val="24"/>
                <w:highlight w:val="none"/>
                <w:u w:val="none"/>
              </w:rPr>
              <w:t>本项目</w:t>
            </w:r>
            <w:r>
              <w:rPr>
                <w:rFonts w:hint="eastAsia" w:cs="Times New Roman"/>
                <w:b w:val="0"/>
                <w:bCs w:val="0"/>
                <w:i w:val="0"/>
                <w:iCs w:val="0"/>
                <w:color w:val="auto"/>
                <w:sz w:val="24"/>
                <w:szCs w:val="24"/>
                <w:highlight w:val="none"/>
                <w:u w:val="none"/>
                <w:lang w:val="en-US" w:eastAsia="zh-CN"/>
              </w:rPr>
              <w:t>劳动</w:t>
            </w:r>
            <w:r>
              <w:rPr>
                <w:rFonts w:hint="default" w:ascii="Times New Roman" w:hAnsi="Times New Roman" w:eastAsia="宋体" w:cs="Times New Roman"/>
                <w:b w:val="0"/>
                <w:bCs w:val="0"/>
                <w:i w:val="0"/>
                <w:iCs w:val="0"/>
                <w:color w:val="auto"/>
                <w:sz w:val="24"/>
                <w:szCs w:val="24"/>
                <w:highlight w:val="none"/>
                <w:u w:val="none"/>
              </w:rPr>
              <w:t>定员</w:t>
            </w:r>
            <w:r>
              <w:rPr>
                <w:rFonts w:hint="eastAsia" w:cs="Times New Roman"/>
                <w:b w:val="0"/>
                <w:bCs w:val="0"/>
                <w:i w:val="0"/>
                <w:iCs w:val="0"/>
                <w:color w:val="auto"/>
                <w:sz w:val="24"/>
                <w:szCs w:val="24"/>
                <w:highlight w:val="none"/>
                <w:u w:val="none"/>
                <w:lang w:val="en-US" w:eastAsia="zh-CN"/>
              </w:rPr>
              <w:t>24</w:t>
            </w:r>
            <w:r>
              <w:rPr>
                <w:rFonts w:hint="default" w:ascii="Times New Roman" w:hAnsi="Times New Roman" w:eastAsia="宋体" w:cs="Times New Roman"/>
                <w:b w:val="0"/>
                <w:bCs w:val="0"/>
                <w:i w:val="0"/>
                <w:iCs w:val="0"/>
                <w:color w:val="auto"/>
                <w:sz w:val="24"/>
                <w:szCs w:val="24"/>
                <w:highlight w:val="none"/>
                <w:u w:val="none"/>
              </w:rPr>
              <w:t>人，</w:t>
            </w:r>
            <w:r>
              <w:rPr>
                <w:rFonts w:hint="eastAsia" w:cs="Times New Roman"/>
                <w:b w:val="0"/>
                <w:bCs w:val="0"/>
                <w:i w:val="0"/>
                <w:iCs w:val="0"/>
                <w:color w:val="auto"/>
                <w:sz w:val="24"/>
                <w:szCs w:val="24"/>
                <w:highlight w:val="none"/>
                <w:u w:val="none"/>
                <w:lang w:val="en-US" w:eastAsia="zh-CN"/>
              </w:rPr>
              <w:t>不在厂内食宿，</w:t>
            </w:r>
            <w:r>
              <w:rPr>
                <w:rFonts w:hint="default" w:ascii="Times New Roman" w:hAnsi="Times New Roman" w:eastAsia="宋体" w:cs="Times New Roman"/>
                <w:b w:val="0"/>
                <w:bCs w:val="0"/>
                <w:i w:val="0"/>
                <w:iCs w:val="0"/>
                <w:color w:val="auto"/>
                <w:sz w:val="24"/>
                <w:szCs w:val="24"/>
                <w:highlight w:val="none"/>
                <w:u w:val="none"/>
              </w:rPr>
              <w:t>生活垃圾量</w:t>
            </w:r>
            <w:r>
              <w:rPr>
                <w:rFonts w:hint="eastAsia" w:cs="Times New Roman"/>
                <w:b w:val="0"/>
                <w:bCs w:val="0"/>
                <w:i w:val="0"/>
                <w:iCs w:val="0"/>
                <w:color w:val="auto"/>
                <w:sz w:val="24"/>
                <w:szCs w:val="24"/>
                <w:highlight w:val="none"/>
                <w:u w:val="none"/>
                <w:lang w:val="en-US" w:eastAsia="zh-CN"/>
              </w:rPr>
              <w:t>按</w:t>
            </w:r>
            <w:r>
              <w:rPr>
                <w:rFonts w:hint="default" w:ascii="Times New Roman" w:hAnsi="Times New Roman" w:eastAsia="宋体" w:cs="Times New Roman"/>
                <w:b w:val="0"/>
                <w:bCs w:val="0"/>
                <w:i w:val="0"/>
                <w:iCs w:val="0"/>
                <w:color w:val="auto"/>
                <w:sz w:val="24"/>
                <w:szCs w:val="24"/>
                <w:highlight w:val="none"/>
                <w:u w:val="none"/>
                <w:lang w:val="en-US" w:eastAsia="zh-CN"/>
              </w:rPr>
              <w:t>0.5</w:t>
            </w:r>
            <w:r>
              <w:rPr>
                <w:rFonts w:hint="default" w:ascii="Times New Roman" w:hAnsi="Times New Roman" w:eastAsia="宋体" w:cs="Times New Roman"/>
                <w:b w:val="0"/>
                <w:bCs w:val="0"/>
                <w:i w:val="0"/>
                <w:iCs w:val="0"/>
                <w:color w:val="auto"/>
                <w:sz w:val="24"/>
                <w:szCs w:val="24"/>
                <w:highlight w:val="none"/>
                <w:u w:val="none"/>
              </w:rPr>
              <w:t>kg/d·人计，工作人员产生生活垃圾量为</w:t>
            </w:r>
            <w:r>
              <w:rPr>
                <w:rFonts w:hint="eastAsia" w:cs="Times New Roman"/>
                <w:b w:val="0"/>
                <w:bCs w:val="0"/>
                <w:i w:val="0"/>
                <w:iCs w:val="0"/>
                <w:color w:val="auto"/>
                <w:sz w:val="24"/>
                <w:szCs w:val="24"/>
                <w:highlight w:val="none"/>
                <w:u w:val="none"/>
                <w:lang w:val="en-US" w:eastAsia="zh-CN"/>
              </w:rPr>
              <w:t>0.012</w:t>
            </w:r>
            <w:r>
              <w:rPr>
                <w:rFonts w:hint="default" w:ascii="Times New Roman" w:hAnsi="Times New Roman" w:eastAsia="宋体" w:cs="Times New Roman"/>
                <w:b w:val="0"/>
                <w:bCs w:val="0"/>
                <w:i w:val="0"/>
                <w:iCs w:val="0"/>
                <w:color w:val="auto"/>
                <w:sz w:val="24"/>
                <w:szCs w:val="24"/>
                <w:highlight w:val="none"/>
                <w:u w:val="none"/>
              </w:rPr>
              <w:t>t/d（</w:t>
            </w:r>
            <w:r>
              <w:rPr>
                <w:rFonts w:hint="eastAsia" w:cs="Times New Roman"/>
                <w:b w:val="0"/>
                <w:bCs w:val="0"/>
                <w:i w:val="0"/>
                <w:iCs w:val="0"/>
                <w:color w:val="auto"/>
                <w:sz w:val="24"/>
                <w:szCs w:val="24"/>
                <w:highlight w:val="none"/>
                <w:u w:val="none"/>
                <w:lang w:val="en-US" w:eastAsia="zh-CN"/>
              </w:rPr>
              <w:t>3.6</w:t>
            </w:r>
            <w:r>
              <w:rPr>
                <w:rFonts w:hint="default" w:ascii="Times New Roman" w:hAnsi="Times New Roman" w:eastAsia="宋体" w:cs="Times New Roman"/>
                <w:b w:val="0"/>
                <w:bCs w:val="0"/>
                <w:i w:val="0"/>
                <w:iCs w:val="0"/>
                <w:color w:val="auto"/>
                <w:sz w:val="24"/>
                <w:szCs w:val="24"/>
                <w:highlight w:val="none"/>
                <w:u w:val="none"/>
              </w:rPr>
              <w:t>t/a）</w:t>
            </w:r>
            <w:r>
              <w:rPr>
                <w:rFonts w:hint="default" w:ascii="Times New Roman" w:hAnsi="Times New Roman" w:eastAsia="宋体" w:cs="Times New Roman"/>
                <w:b w:val="0"/>
                <w:bCs w:val="0"/>
                <w:i w:val="0"/>
                <w:iCs w:val="0"/>
                <w:color w:val="auto"/>
                <w:sz w:val="24"/>
                <w:szCs w:val="24"/>
                <w:highlight w:val="none"/>
                <w:u w:val="none"/>
                <w:lang w:eastAsia="zh-CN"/>
              </w:rPr>
              <w:t>；</w:t>
            </w:r>
            <w:r>
              <w:rPr>
                <w:rFonts w:hint="default" w:ascii="Times New Roman" w:hAnsi="Times New Roman" w:eastAsia="宋体" w:cs="Times New Roman"/>
                <w:b w:val="0"/>
                <w:bCs w:val="0"/>
                <w:i w:val="0"/>
                <w:iCs w:val="0"/>
                <w:color w:val="auto"/>
                <w:spacing w:val="4"/>
                <w:sz w:val="24"/>
                <w:szCs w:val="24"/>
                <w:highlight w:val="none"/>
                <w:u w:val="none"/>
              </w:rPr>
              <w:t>生活垃圾由环卫部门</w:t>
            </w:r>
            <w:r>
              <w:rPr>
                <w:rFonts w:hint="default" w:ascii="Times New Roman" w:hAnsi="Times New Roman" w:eastAsia="宋体" w:cs="Times New Roman"/>
                <w:b w:val="0"/>
                <w:bCs w:val="0"/>
                <w:i w:val="0"/>
                <w:iCs w:val="0"/>
                <w:color w:val="auto"/>
                <w:spacing w:val="4"/>
                <w:sz w:val="24"/>
                <w:szCs w:val="24"/>
                <w:highlight w:val="none"/>
                <w:u w:val="none"/>
                <w:lang w:eastAsia="zh-CN"/>
              </w:rPr>
              <w:t>统一清运处理。</w:t>
            </w:r>
          </w:p>
          <w:p w14:paraId="4A50B0CB">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eastAsia="zh-CN"/>
              </w:rPr>
              <w:t>（</w:t>
            </w:r>
            <w:r>
              <w:rPr>
                <w:rFonts w:hint="eastAsia" w:cs="Times New Roman"/>
                <w:color w:val="auto"/>
                <w:sz w:val="24"/>
                <w:highlight w:val="none"/>
                <w:lang w:val="en-US" w:eastAsia="zh-CN"/>
              </w:rPr>
              <w:t>2</w:t>
            </w:r>
            <w:r>
              <w:rPr>
                <w:rFonts w:hint="eastAsia" w:cs="Times New Roman"/>
                <w:color w:val="auto"/>
                <w:sz w:val="24"/>
                <w:highlight w:val="none"/>
                <w:lang w:eastAsia="zh-CN"/>
              </w:rPr>
              <w:t>）</w:t>
            </w:r>
            <w:r>
              <w:rPr>
                <w:rFonts w:hint="eastAsia" w:cs="Times New Roman"/>
                <w:color w:val="auto"/>
                <w:sz w:val="24"/>
                <w:highlight w:val="none"/>
                <w:lang w:val="en-US" w:eastAsia="zh-CN"/>
              </w:rPr>
              <w:t>危险废物</w:t>
            </w:r>
          </w:p>
          <w:p w14:paraId="09679B94">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yellow"/>
              </w:rPr>
            </w:pPr>
            <w:r>
              <w:rPr>
                <w:rFonts w:hint="eastAsia" w:cs="Times New Roman"/>
                <w:color w:val="auto"/>
                <w:sz w:val="24"/>
                <w:highlight w:val="none"/>
                <w:u w:val="none" w:color="auto"/>
                <w:lang w:val="en-US" w:eastAsia="zh-CN"/>
              </w:rPr>
              <w:t>项目生产设备日常维护检修等会使用机油，因此会产生废机油、废油桶、含油抹布及手套等危险废物。根据建设单位提供资料，废机油产生量约为0.01t/a，危险</w:t>
            </w:r>
            <w:r>
              <w:rPr>
                <w:rFonts w:hint="eastAsia"/>
                <w:color w:val="auto"/>
                <w:highlight w:val="none"/>
                <w:u w:val="none" w:color="auto"/>
              </w:rPr>
              <w:t>废物类别为HW08，</w:t>
            </w:r>
            <w:r>
              <w:rPr>
                <w:rFonts w:hint="eastAsia"/>
                <w:color w:val="auto"/>
                <w:highlight w:val="none"/>
                <w:u w:val="none" w:color="auto"/>
                <w:lang w:val="en-US" w:eastAsia="zh-CN"/>
              </w:rPr>
              <w:t>危险</w:t>
            </w:r>
            <w:r>
              <w:rPr>
                <w:rFonts w:hint="eastAsia"/>
                <w:color w:val="auto"/>
                <w:highlight w:val="none"/>
                <w:u w:val="none" w:color="auto"/>
              </w:rPr>
              <w:t>废物代码为900-214-08</w:t>
            </w:r>
            <w:r>
              <w:rPr>
                <w:rFonts w:hint="eastAsia"/>
                <w:color w:val="auto"/>
                <w:highlight w:val="none"/>
                <w:u w:val="none" w:color="auto"/>
                <w:lang w:eastAsia="zh-CN"/>
              </w:rPr>
              <w:t>；</w:t>
            </w:r>
            <w:r>
              <w:rPr>
                <w:rFonts w:hint="eastAsia" w:cs="Times New Roman"/>
                <w:color w:val="auto"/>
                <w:sz w:val="24"/>
                <w:highlight w:val="none"/>
                <w:u w:val="none" w:color="auto"/>
                <w:lang w:val="en-US" w:eastAsia="zh-CN"/>
              </w:rPr>
              <w:t>废油桶产生量约为0.02t/a，危险</w:t>
            </w:r>
            <w:r>
              <w:rPr>
                <w:rFonts w:hint="eastAsia"/>
                <w:color w:val="auto"/>
                <w:highlight w:val="none"/>
                <w:u w:val="none" w:color="auto"/>
              </w:rPr>
              <w:t>废物类别为HW08，废</w:t>
            </w:r>
            <w:r>
              <w:rPr>
                <w:rFonts w:hint="eastAsia"/>
                <w:color w:val="auto"/>
                <w:highlight w:val="none"/>
                <w:u w:val="none" w:color="auto"/>
                <w:lang w:val="en-US" w:eastAsia="zh-CN"/>
              </w:rPr>
              <w:t>危险</w:t>
            </w:r>
            <w:r>
              <w:rPr>
                <w:rFonts w:hint="eastAsia"/>
                <w:color w:val="auto"/>
                <w:highlight w:val="none"/>
                <w:u w:val="none" w:color="auto"/>
              </w:rPr>
              <w:t>物代码为900-249-08</w:t>
            </w:r>
            <w:r>
              <w:rPr>
                <w:rFonts w:hint="eastAsia"/>
                <w:color w:val="auto"/>
                <w:highlight w:val="none"/>
                <w:u w:val="none" w:color="auto"/>
                <w:lang w:eastAsia="zh-CN"/>
              </w:rPr>
              <w:t>；</w:t>
            </w:r>
            <w:r>
              <w:rPr>
                <w:rFonts w:hint="eastAsia"/>
                <w:color w:val="auto"/>
                <w:highlight w:val="none"/>
                <w:u w:val="none" w:color="auto"/>
                <w:lang w:val="en-US" w:eastAsia="zh-CN"/>
              </w:rPr>
              <w:t>含油抹布及手套产生量约为0.01t/a，危险废物类别为HW49，危险废物代码为900-041-49</w:t>
            </w:r>
            <w:r>
              <w:rPr>
                <w:rFonts w:hint="eastAsia"/>
                <w:color w:val="auto"/>
                <w:highlight w:val="none"/>
                <w:u w:val="none" w:color="auto"/>
                <w:lang w:eastAsia="zh-CN"/>
              </w:rPr>
              <w:t>。</w:t>
            </w:r>
            <w:r>
              <w:rPr>
                <w:rFonts w:hint="eastAsia"/>
                <w:color w:val="auto"/>
                <w:highlight w:val="none"/>
                <w:u w:val="none" w:color="auto"/>
                <w:lang w:val="en-US" w:eastAsia="zh-CN"/>
              </w:rPr>
              <w:t>废矿物油、废油桶、含油抹布及手套暂存于厂区危废暂存间内，定期交由有资质单位处置。</w:t>
            </w:r>
          </w:p>
          <w:p w14:paraId="4C47F1E4">
            <w:pPr>
              <w:keepNext w:val="0"/>
              <w:keepLines w:val="0"/>
              <w:pageBreakBefore w:val="0"/>
              <w:suppressLineNumbers w:val="0"/>
              <w:tabs>
                <w:tab w:val="left" w:pos="6591"/>
              </w:tabs>
              <w:kinsoku/>
              <w:topLinePunct w:val="0"/>
              <w:bidi w:val="0"/>
              <w:adjustRightInd w:val="0"/>
              <w:snapToGrid w:val="0"/>
              <w:spacing w:before="0" w:beforeAutospacing="0" w:after="0" w:afterAutospacing="0" w:line="240" w:lineRule="auto"/>
              <w:ind w:left="0" w:leftChars="0" w:right="0" w:rightChars="0" w:firstLine="0" w:firstLineChars="0"/>
              <w:jc w:val="center"/>
              <w:rPr>
                <w:rFonts w:hint="eastAsia" w:cs="Times New Roman"/>
                <w:b/>
                <w:bCs/>
                <w:color w:val="auto"/>
                <w:sz w:val="21"/>
                <w:szCs w:val="21"/>
                <w:highlight w:val="none"/>
                <w:u w:val="none" w:color="auto"/>
                <w:lang w:val="en-US" w:eastAsia="zh-CN"/>
              </w:rPr>
            </w:pPr>
            <w:r>
              <w:rPr>
                <w:rFonts w:hint="default" w:ascii="Times New Roman" w:hAnsi="Times New Roman" w:eastAsia="宋体" w:cs="Times New Roman"/>
                <w:b/>
                <w:bCs/>
                <w:color w:val="auto"/>
                <w:sz w:val="21"/>
                <w:szCs w:val="21"/>
                <w:highlight w:val="none"/>
                <w:u w:val="none" w:color="auto"/>
                <w:lang w:eastAsia="zh-CN"/>
              </w:rPr>
              <w:t>表4</w:t>
            </w:r>
            <w:r>
              <w:rPr>
                <w:rFonts w:hint="eastAsia" w:cs="Times New Roman"/>
                <w:b/>
                <w:bCs/>
                <w:color w:val="auto"/>
                <w:sz w:val="21"/>
                <w:szCs w:val="21"/>
                <w:highlight w:val="none"/>
                <w:u w:val="none" w:color="auto"/>
                <w:lang w:val="en-US" w:eastAsia="zh-CN"/>
              </w:rPr>
              <w:t>-18 固体废物产生及处置情况</w:t>
            </w:r>
          </w:p>
          <w:tbl>
            <w:tblPr>
              <w:tblStyle w:val="28"/>
              <w:tblW w:w="84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708"/>
              <w:gridCol w:w="1690"/>
              <w:gridCol w:w="1729"/>
              <w:gridCol w:w="1442"/>
              <w:gridCol w:w="1030"/>
              <w:gridCol w:w="1878"/>
            </w:tblGrid>
            <w:tr w14:paraId="0F0AE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8" w:hRule="atLeast"/>
              </w:trPr>
              <w:tc>
                <w:tcPr>
                  <w:tcW w:w="708" w:type="dxa"/>
                  <w:shd w:val="clear" w:color="auto" w:fill="auto"/>
                  <w:vAlign w:val="center"/>
                </w:tcPr>
                <w:p w14:paraId="3F00D1BD">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固废类型</w:t>
                  </w:r>
                </w:p>
              </w:tc>
              <w:tc>
                <w:tcPr>
                  <w:tcW w:w="1690" w:type="dxa"/>
                  <w:shd w:val="clear" w:color="auto" w:fill="auto"/>
                  <w:vAlign w:val="center"/>
                </w:tcPr>
                <w:p w14:paraId="482A7FE8">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固废名称</w:t>
                  </w:r>
                </w:p>
              </w:tc>
              <w:tc>
                <w:tcPr>
                  <w:tcW w:w="1729" w:type="dxa"/>
                  <w:shd w:val="clear" w:color="auto" w:fill="auto"/>
                  <w:vAlign w:val="center"/>
                </w:tcPr>
                <w:p w14:paraId="30FC6C4C">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固体废物</w:t>
                  </w:r>
                  <w:r>
                    <w:rPr>
                      <w:rFonts w:hint="default"/>
                      <w:b/>
                      <w:bCs/>
                      <w:color w:val="auto"/>
                      <w:highlight w:val="none"/>
                      <w:u w:val="none" w:color="auto"/>
                      <w:lang w:val="en-US" w:eastAsia="zh-CN"/>
                    </w:rPr>
                    <w:t>/</w:t>
                  </w:r>
                  <w:r>
                    <w:rPr>
                      <w:rFonts w:hint="eastAsia"/>
                      <w:b/>
                      <w:bCs/>
                      <w:color w:val="auto"/>
                      <w:highlight w:val="none"/>
                      <w:u w:val="none" w:color="auto"/>
                      <w:lang w:val="en-US" w:eastAsia="zh-CN"/>
                    </w:rPr>
                    <w:t>危险废物类别</w:t>
                  </w:r>
                </w:p>
              </w:tc>
              <w:tc>
                <w:tcPr>
                  <w:tcW w:w="1442" w:type="dxa"/>
                  <w:shd w:val="clear" w:color="auto" w:fill="auto"/>
                  <w:vAlign w:val="center"/>
                </w:tcPr>
                <w:p w14:paraId="7286E4A1">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固体废物</w:t>
                  </w:r>
                  <w:r>
                    <w:rPr>
                      <w:rFonts w:hint="default"/>
                      <w:b/>
                      <w:bCs/>
                      <w:color w:val="auto"/>
                      <w:highlight w:val="none"/>
                      <w:u w:val="none" w:color="auto"/>
                      <w:lang w:val="en-US" w:eastAsia="zh-CN"/>
                    </w:rPr>
                    <w:t>/</w:t>
                  </w:r>
                  <w:r>
                    <w:rPr>
                      <w:rFonts w:hint="eastAsia"/>
                      <w:b/>
                      <w:bCs/>
                      <w:color w:val="auto"/>
                      <w:highlight w:val="none"/>
                      <w:u w:val="none" w:color="auto"/>
                      <w:lang w:val="en-US" w:eastAsia="zh-CN"/>
                    </w:rPr>
                    <w:t>危险废物代码</w:t>
                  </w:r>
                </w:p>
              </w:tc>
              <w:tc>
                <w:tcPr>
                  <w:tcW w:w="1030" w:type="dxa"/>
                  <w:shd w:val="clear" w:color="auto" w:fill="auto"/>
                  <w:vAlign w:val="center"/>
                </w:tcPr>
                <w:p w14:paraId="730FBEDF">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产生量</w:t>
                  </w:r>
                  <w:r>
                    <w:rPr>
                      <w:rFonts w:hint="default"/>
                      <w:b/>
                      <w:bCs/>
                      <w:color w:val="auto"/>
                      <w:highlight w:val="none"/>
                      <w:u w:val="none" w:color="auto"/>
                      <w:lang w:val="en-US" w:eastAsia="zh-CN"/>
                    </w:rPr>
                    <w:t>t/a</w:t>
                  </w:r>
                </w:p>
              </w:tc>
              <w:tc>
                <w:tcPr>
                  <w:tcW w:w="1878" w:type="dxa"/>
                  <w:shd w:val="clear" w:color="auto" w:fill="auto"/>
                  <w:vAlign w:val="center"/>
                </w:tcPr>
                <w:p w14:paraId="7AFF2058">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处理措施</w:t>
                  </w:r>
                </w:p>
              </w:tc>
            </w:tr>
            <w:tr w14:paraId="7B12A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5" w:hRule="atLeast"/>
              </w:trPr>
              <w:tc>
                <w:tcPr>
                  <w:tcW w:w="708" w:type="dxa"/>
                  <w:vMerge w:val="restart"/>
                  <w:shd w:val="clear" w:color="auto" w:fill="auto"/>
                  <w:vAlign w:val="center"/>
                </w:tcPr>
                <w:p w14:paraId="28950F42">
                  <w:pPr>
                    <w:pStyle w:val="37"/>
                    <w:keepNext w:val="0"/>
                    <w:keepLines w:val="0"/>
                    <w:suppressLineNumbers w:val="0"/>
                    <w:bidi w:val="0"/>
                    <w:spacing w:before="0" w:beforeAutospacing="0" w:after="0" w:afterAutospacing="0"/>
                    <w:ind w:left="0" w:right="0"/>
                    <w:rPr>
                      <w:rFonts w:hint="eastAsia"/>
                      <w:color w:val="auto"/>
                      <w:highlight w:val="none"/>
                      <w:u w:val="none" w:color="auto"/>
                    </w:rPr>
                  </w:pPr>
                  <w:r>
                    <w:rPr>
                      <w:rFonts w:hint="eastAsia"/>
                      <w:color w:val="auto"/>
                      <w:highlight w:val="none"/>
                      <w:u w:val="none" w:color="auto"/>
                      <w:lang w:val="en-US" w:eastAsia="zh-CN"/>
                    </w:rPr>
                    <w:t>一般固体废物</w:t>
                  </w:r>
                </w:p>
              </w:tc>
              <w:tc>
                <w:tcPr>
                  <w:tcW w:w="1690" w:type="dxa"/>
                  <w:shd w:val="clear" w:color="auto" w:fill="auto"/>
                  <w:noWrap/>
                  <w:vAlign w:val="center"/>
                </w:tcPr>
                <w:p w14:paraId="6B8F2AE3">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ascii="Times New Roman" w:hAnsi="Times New Roman" w:eastAsia="宋体" w:cs="Times New Roman"/>
                      <w:color w:val="auto"/>
                      <w:kern w:val="0"/>
                      <w:sz w:val="21"/>
                      <w:szCs w:val="21"/>
                      <w:highlight w:val="none"/>
                      <w:u w:val="none" w:color="auto"/>
                      <w:lang w:val="en-US" w:eastAsia="zh-CN" w:bidi="ar-SA"/>
                    </w:rPr>
                    <w:t>生物质锅炉除尘系统收尘灰</w:t>
                  </w:r>
                </w:p>
              </w:tc>
              <w:tc>
                <w:tcPr>
                  <w:tcW w:w="1729" w:type="dxa"/>
                  <w:shd w:val="clear" w:color="auto" w:fill="auto"/>
                  <w:vAlign w:val="center"/>
                </w:tcPr>
                <w:p w14:paraId="5620E249">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SW59其他工业固体废物</w:t>
                  </w:r>
                </w:p>
              </w:tc>
              <w:tc>
                <w:tcPr>
                  <w:tcW w:w="1442" w:type="dxa"/>
                  <w:shd w:val="clear" w:color="auto" w:fill="auto"/>
                  <w:noWrap/>
                  <w:vAlign w:val="center"/>
                </w:tcPr>
                <w:p w14:paraId="0E053005">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900-099-S59</w:t>
                  </w:r>
                </w:p>
              </w:tc>
              <w:tc>
                <w:tcPr>
                  <w:tcW w:w="1030" w:type="dxa"/>
                  <w:shd w:val="clear" w:color="auto" w:fill="auto"/>
                  <w:vAlign w:val="center"/>
                </w:tcPr>
                <w:p w14:paraId="47AD6996">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s="Times New Roman"/>
                      <w:color w:val="auto"/>
                      <w:kern w:val="0"/>
                      <w:sz w:val="21"/>
                      <w:szCs w:val="21"/>
                      <w:highlight w:val="none"/>
                      <w:u w:val="none" w:color="auto"/>
                      <w:lang w:val="en-US" w:eastAsia="zh-CN" w:bidi="ar-SA"/>
                    </w:rPr>
                    <w:t>0.064</w:t>
                  </w:r>
                </w:p>
              </w:tc>
              <w:tc>
                <w:tcPr>
                  <w:tcW w:w="1878" w:type="dxa"/>
                  <w:shd w:val="clear" w:color="auto" w:fill="auto"/>
                  <w:vAlign w:val="center"/>
                </w:tcPr>
                <w:p w14:paraId="718D1507">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收集后用作农肥</w:t>
                  </w:r>
                </w:p>
              </w:tc>
            </w:tr>
            <w:tr w14:paraId="514CE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5" w:hRule="atLeast"/>
              </w:trPr>
              <w:tc>
                <w:tcPr>
                  <w:tcW w:w="708" w:type="dxa"/>
                  <w:vMerge w:val="continue"/>
                  <w:shd w:val="clear" w:color="auto" w:fill="auto"/>
                  <w:vAlign w:val="center"/>
                </w:tcPr>
                <w:p w14:paraId="7A7658D2">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690" w:type="dxa"/>
                  <w:shd w:val="clear" w:color="auto" w:fill="auto"/>
                  <w:noWrap/>
                  <w:vAlign w:val="center"/>
                </w:tcPr>
                <w:p w14:paraId="1C09FD00">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生物质锅炉炉渣</w:t>
                  </w:r>
                </w:p>
              </w:tc>
              <w:tc>
                <w:tcPr>
                  <w:tcW w:w="1729" w:type="dxa"/>
                  <w:shd w:val="clear" w:color="auto" w:fill="auto"/>
                  <w:vAlign w:val="center"/>
                </w:tcPr>
                <w:p w14:paraId="0D6C2E49">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SW03炉渣</w:t>
                  </w:r>
                </w:p>
              </w:tc>
              <w:tc>
                <w:tcPr>
                  <w:tcW w:w="1442" w:type="dxa"/>
                  <w:shd w:val="clear" w:color="auto" w:fill="auto"/>
                  <w:noWrap/>
                  <w:vAlign w:val="center"/>
                </w:tcPr>
                <w:p w14:paraId="7336CE3F">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900-099-S03</w:t>
                  </w:r>
                </w:p>
              </w:tc>
              <w:tc>
                <w:tcPr>
                  <w:tcW w:w="1030" w:type="dxa"/>
                  <w:shd w:val="clear" w:color="auto" w:fill="auto"/>
                  <w:vAlign w:val="center"/>
                </w:tcPr>
                <w:p w14:paraId="5B004382">
                  <w:pPr>
                    <w:pStyle w:val="37"/>
                    <w:keepNext w:val="0"/>
                    <w:keepLines w:val="0"/>
                    <w:suppressLineNumbers w:val="0"/>
                    <w:bidi w:val="0"/>
                    <w:spacing w:before="0" w:beforeAutospacing="0" w:after="0" w:afterAutospacing="0"/>
                    <w:ind w:left="0" w:right="0"/>
                    <w:rPr>
                      <w:rFonts w:hint="default" w:eastAsia="宋体"/>
                      <w:color w:val="auto"/>
                      <w:highlight w:val="none"/>
                      <w:u w:val="none" w:color="auto"/>
                      <w:lang w:val="en-US" w:eastAsia="zh-CN"/>
                    </w:rPr>
                  </w:pPr>
                  <w:r>
                    <w:rPr>
                      <w:rFonts w:hint="eastAsia"/>
                      <w:color w:val="auto"/>
                      <w:highlight w:val="none"/>
                      <w:u w:val="none" w:color="auto"/>
                      <w:lang w:val="en-US" w:eastAsia="zh-CN"/>
                    </w:rPr>
                    <w:t>6.11</w:t>
                  </w:r>
                </w:p>
              </w:tc>
              <w:tc>
                <w:tcPr>
                  <w:tcW w:w="1878" w:type="dxa"/>
                  <w:shd w:val="clear" w:color="auto" w:fill="auto"/>
                  <w:vAlign w:val="center"/>
                </w:tcPr>
                <w:p w14:paraId="39D3AB2F">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r>
                    <w:rPr>
                      <w:rFonts w:hint="eastAsia"/>
                      <w:color w:val="auto"/>
                      <w:highlight w:val="none"/>
                      <w:u w:val="none" w:color="auto"/>
                      <w:lang w:val="en-US" w:eastAsia="zh-CN"/>
                    </w:rPr>
                    <w:t>收集后用作农肥</w:t>
                  </w:r>
                </w:p>
              </w:tc>
            </w:tr>
            <w:tr w14:paraId="11A60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5" w:hRule="atLeast"/>
              </w:trPr>
              <w:tc>
                <w:tcPr>
                  <w:tcW w:w="708" w:type="dxa"/>
                  <w:vMerge w:val="continue"/>
                  <w:shd w:val="clear" w:color="auto" w:fill="auto"/>
                  <w:vAlign w:val="center"/>
                </w:tcPr>
                <w:p w14:paraId="1EF643AB">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690" w:type="dxa"/>
                  <w:shd w:val="clear" w:color="auto" w:fill="auto"/>
                  <w:noWrap/>
                  <w:vAlign w:val="center"/>
                </w:tcPr>
                <w:p w14:paraId="5EB3F240">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废包装物</w:t>
                  </w:r>
                </w:p>
              </w:tc>
              <w:tc>
                <w:tcPr>
                  <w:tcW w:w="1729" w:type="dxa"/>
                  <w:shd w:val="clear" w:color="auto" w:fill="auto"/>
                  <w:vAlign w:val="center"/>
                </w:tcPr>
                <w:p w14:paraId="7340E8D3">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SW17可再生类废物</w:t>
                  </w:r>
                </w:p>
              </w:tc>
              <w:tc>
                <w:tcPr>
                  <w:tcW w:w="1442" w:type="dxa"/>
                  <w:shd w:val="clear" w:color="auto" w:fill="auto"/>
                  <w:noWrap/>
                  <w:vAlign w:val="center"/>
                </w:tcPr>
                <w:p w14:paraId="3912D95B">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900-099-S17</w:t>
                  </w:r>
                </w:p>
              </w:tc>
              <w:tc>
                <w:tcPr>
                  <w:tcW w:w="1030" w:type="dxa"/>
                  <w:shd w:val="clear" w:color="auto" w:fill="auto"/>
                  <w:vAlign w:val="center"/>
                </w:tcPr>
                <w:p w14:paraId="66751FB5">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0.5</w:t>
                  </w:r>
                </w:p>
              </w:tc>
              <w:tc>
                <w:tcPr>
                  <w:tcW w:w="1878" w:type="dxa"/>
                  <w:shd w:val="clear" w:color="auto" w:fill="auto"/>
                  <w:vAlign w:val="center"/>
                </w:tcPr>
                <w:p w14:paraId="066DD026">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收集后外售综合利用</w:t>
                  </w:r>
                </w:p>
              </w:tc>
            </w:tr>
            <w:tr w14:paraId="6BD2E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5" w:hRule="atLeast"/>
              </w:trPr>
              <w:tc>
                <w:tcPr>
                  <w:tcW w:w="708" w:type="dxa"/>
                  <w:vMerge w:val="continue"/>
                  <w:shd w:val="clear" w:color="auto" w:fill="auto"/>
                  <w:vAlign w:val="center"/>
                </w:tcPr>
                <w:p w14:paraId="7CC69E1C">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690" w:type="dxa"/>
                  <w:shd w:val="clear" w:color="auto" w:fill="auto"/>
                  <w:noWrap/>
                  <w:vAlign w:val="center"/>
                </w:tcPr>
                <w:p w14:paraId="6D14BFC4">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ascii="Times New Roman" w:hAnsi="Times New Roman" w:eastAsia="宋体" w:cs="Times New Roman"/>
                      <w:color w:val="auto"/>
                      <w:kern w:val="0"/>
                      <w:sz w:val="21"/>
                      <w:szCs w:val="21"/>
                      <w:highlight w:val="none"/>
                      <w:u w:val="none" w:color="auto"/>
                      <w:lang w:val="en-US" w:eastAsia="zh-CN" w:bidi="ar-SA"/>
                    </w:rPr>
                    <w:t>废活性炭</w:t>
                  </w:r>
                </w:p>
              </w:tc>
              <w:tc>
                <w:tcPr>
                  <w:tcW w:w="1729" w:type="dxa"/>
                  <w:shd w:val="clear" w:color="auto" w:fill="auto"/>
                  <w:vAlign w:val="center"/>
                </w:tcPr>
                <w:p w14:paraId="7BE59E92">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SW17可再生类废物</w:t>
                  </w:r>
                </w:p>
              </w:tc>
              <w:tc>
                <w:tcPr>
                  <w:tcW w:w="1442" w:type="dxa"/>
                  <w:shd w:val="clear" w:color="auto" w:fill="auto"/>
                  <w:noWrap/>
                  <w:vAlign w:val="center"/>
                </w:tcPr>
                <w:p w14:paraId="42CB6170">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900-099-S17</w:t>
                  </w:r>
                </w:p>
              </w:tc>
              <w:tc>
                <w:tcPr>
                  <w:tcW w:w="1030" w:type="dxa"/>
                  <w:shd w:val="clear" w:color="auto" w:fill="auto"/>
                  <w:vAlign w:val="center"/>
                </w:tcPr>
                <w:p w14:paraId="7F9A9A2C">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s="Times New Roman"/>
                      <w:color w:val="auto"/>
                      <w:kern w:val="0"/>
                      <w:sz w:val="21"/>
                      <w:szCs w:val="21"/>
                      <w:highlight w:val="none"/>
                      <w:u w:val="none" w:color="auto"/>
                      <w:lang w:val="en-US" w:eastAsia="zh-CN" w:bidi="ar-SA"/>
                    </w:rPr>
                    <w:t>0.05t/次</w:t>
                  </w:r>
                </w:p>
              </w:tc>
              <w:tc>
                <w:tcPr>
                  <w:tcW w:w="1878" w:type="dxa"/>
                  <w:vMerge w:val="restart"/>
                  <w:shd w:val="clear" w:color="auto" w:fill="auto"/>
                  <w:vAlign w:val="center"/>
                </w:tcPr>
                <w:p w14:paraId="4B729C01">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交由物资回收单位综合利用</w:t>
                  </w:r>
                </w:p>
              </w:tc>
            </w:tr>
            <w:tr w14:paraId="43710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5" w:hRule="atLeast"/>
              </w:trPr>
              <w:tc>
                <w:tcPr>
                  <w:tcW w:w="708" w:type="dxa"/>
                  <w:vMerge w:val="continue"/>
                  <w:shd w:val="clear" w:color="auto" w:fill="auto"/>
                  <w:vAlign w:val="center"/>
                </w:tcPr>
                <w:p w14:paraId="2C7C621E">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690" w:type="dxa"/>
                  <w:shd w:val="clear" w:color="auto" w:fill="auto"/>
                  <w:noWrap/>
                  <w:vAlign w:val="center"/>
                </w:tcPr>
                <w:p w14:paraId="2CF687B3">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废过滤膜</w:t>
                  </w:r>
                </w:p>
              </w:tc>
              <w:tc>
                <w:tcPr>
                  <w:tcW w:w="1729" w:type="dxa"/>
                  <w:shd w:val="clear" w:color="auto" w:fill="auto"/>
                  <w:vAlign w:val="center"/>
                </w:tcPr>
                <w:p w14:paraId="7BFCA8BE">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SW17可再生类废物</w:t>
                  </w:r>
                </w:p>
              </w:tc>
              <w:tc>
                <w:tcPr>
                  <w:tcW w:w="1442" w:type="dxa"/>
                  <w:shd w:val="clear" w:color="auto" w:fill="auto"/>
                  <w:noWrap/>
                  <w:vAlign w:val="center"/>
                </w:tcPr>
                <w:p w14:paraId="24FEAE6A">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900-099-S17</w:t>
                  </w:r>
                </w:p>
              </w:tc>
              <w:tc>
                <w:tcPr>
                  <w:tcW w:w="1030" w:type="dxa"/>
                  <w:shd w:val="clear" w:color="auto" w:fill="auto"/>
                  <w:vAlign w:val="center"/>
                </w:tcPr>
                <w:p w14:paraId="293F5F8D">
                  <w:pPr>
                    <w:pStyle w:val="37"/>
                    <w:keepNext w:val="0"/>
                    <w:keepLines w:val="0"/>
                    <w:suppressLineNumbers w:val="0"/>
                    <w:bidi w:val="0"/>
                    <w:spacing w:before="0" w:beforeAutospacing="0" w:after="0" w:afterAutospacing="0"/>
                    <w:ind w:left="0" w:right="0"/>
                    <w:rPr>
                      <w:rFonts w:hint="default" w:eastAsia="宋体"/>
                      <w:color w:val="auto"/>
                      <w:highlight w:val="none"/>
                      <w:u w:val="none" w:color="auto"/>
                      <w:lang w:val="en-US" w:eastAsia="zh-CN"/>
                    </w:rPr>
                  </w:pPr>
                  <w:r>
                    <w:rPr>
                      <w:rFonts w:hint="eastAsia"/>
                      <w:color w:val="auto"/>
                      <w:highlight w:val="none"/>
                      <w:u w:val="none" w:color="auto"/>
                      <w:lang w:val="en-US" w:eastAsia="zh-CN"/>
                    </w:rPr>
                    <w:t>0.01</w:t>
                  </w:r>
                  <w:r>
                    <w:rPr>
                      <w:rFonts w:hint="eastAsia" w:cs="Times New Roman"/>
                      <w:color w:val="auto"/>
                      <w:kern w:val="0"/>
                      <w:sz w:val="21"/>
                      <w:szCs w:val="21"/>
                      <w:highlight w:val="none"/>
                      <w:u w:val="none" w:color="auto"/>
                      <w:lang w:val="en-US" w:eastAsia="zh-CN" w:bidi="ar-SA"/>
                    </w:rPr>
                    <w:t>t/次</w:t>
                  </w:r>
                </w:p>
              </w:tc>
              <w:tc>
                <w:tcPr>
                  <w:tcW w:w="1878" w:type="dxa"/>
                  <w:vMerge w:val="continue"/>
                  <w:shd w:val="clear" w:color="auto" w:fill="auto"/>
                  <w:vAlign w:val="center"/>
                </w:tcPr>
                <w:p w14:paraId="1D619437">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r>
            <w:tr w14:paraId="18338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5" w:hRule="atLeast"/>
              </w:trPr>
              <w:tc>
                <w:tcPr>
                  <w:tcW w:w="708" w:type="dxa"/>
                  <w:vMerge w:val="continue"/>
                  <w:shd w:val="clear" w:color="auto" w:fill="auto"/>
                  <w:vAlign w:val="center"/>
                </w:tcPr>
                <w:p w14:paraId="08723CBF">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690" w:type="dxa"/>
                  <w:shd w:val="clear" w:color="auto" w:fill="auto"/>
                  <w:noWrap/>
                  <w:vAlign w:val="center"/>
                </w:tcPr>
                <w:p w14:paraId="49D5C514">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废滤芯</w:t>
                  </w:r>
                </w:p>
              </w:tc>
              <w:tc>
                <w:tcPr>
                  <w:tcW w:w="1729" w:type="dxa"/>
                  <w:shd w:val="clear" w:color="auto" w:fill="auto"/>
                  <w:vAlign w:val="center"/>
                </w:tcPr>
                <w:p w14:paraId="4C379E1A">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SW59其他工业固体废物</w:t>
                  </w:r>
                </w:p>
              </w:tc>
              <w:tc>
                <w:tcPr>
                  <w:tcW w:w="1442" w:type="dxa"/>
                  <w:shd w:val="clear" w:color="auto" w:fill="auto"/>
                  <w:noWrap/>
                  <w:vAlign w:val="center"/>
                </w:tcPr>
                <w:p w14:paraId="05CA033F">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900-009-S59</w:t>
                  </w:r>
                </w:p>
              </w:tc>
              <w:tc>
                <w:tcPr>
                  <w:tcW w:w="1030" w:type="dxa"/>
                  <w:shd w:val="clear" w:color="auto" w:fill="auto"/>
                  <w:vAlign w:val="center"/>
                </w:tcPr>
                <w:p w14:paraId="14D80051">
                  <w:pPr>
                    <w:pStyle w:val="37"/>
                    <w:keepNext w:val="0"/>
                    <w:keepLines w:val="0"/>
                    <w:suppressLineNumbers w:val="0"/>
                    <w:bidi w:val="0"/>
                    <w:spacing w:before="0" w:beforeAutospacing="0" w:after="0" w:afterAutospacing="0"/>
                    <w:ind w:left="0" w:right="0"/>
                    <w:rPr>
                      <w:rFonts w:hint="default" w:eastAsia="宋体"/>
                      <w:color w:val="auto"/>
                      <w:highlight w:val="none"/>
                      <w:u w:val="none" w:color="auto"/>
                      <w:lang w:val="en-US" w:eastAsia="zh-CN"/>
                    </w:rPr>
                  </w:pPr>
                  <w:r>
                    <w:rPr>
                      <w:rFonts w:hint="eastAsia"/>
                      <w:color w:val="auto"/>
                      <w:highlight w:val="none"/>
                      <w:u w:val="none" w:color="auto"/>
                      <w:lang w:val="en-US" w:eastAsia="zh-CN"/>
                    </w:rPr>
                    <w:t>0.02</w:t>
                  </w:r>
                  <w:r>
                    <w:rPr>
                      <w:rFonts w:hint="eastAsia" w:cs="Times New Roman"/>
                      <w:color w:val="auto"/>
                      <w:kern w:val="0"/>
                      <w:sz w:val="21"/>
                      <w:szCs w:val="21"/>
                      <w:highlight w:val="none"/>
                      <w:u w:val="none" w:color="auto"/>
                      <w:lang w:val="en-US" w:eastAsia="zh-CN" w:bidi="ar-SA"/>
                    </w:rPr>
                    <w:t>t/次</w:t>
                  </w:r>
                </w:p>
              </w:tc>
              <w:tc>
                <w:tcPr>
                  <w:tcW w:w="1878" w:type="dxa"/>
                  <w:vMerge w:val="continue"/>
                  <w:shd w:val="clear" w:color="auto" w:fill="auto"/>
                  <w:vAlign w:val="center"/>
                </w:tcPr>
                <w:p w14:paraId="72FEE1C4">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r>
            <w:tr w14:paraId="3F4A5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5" w:hRule="atLeast"/>
              </w:trPr>
              <w:tc>
                <w:tcPr>
                  <w:tcW w:w="708" w:type="dxa"/>
                  <w:vMerge w:val="continue"/>
                  <w:shd w:val="clear" w:color="auto" w:fill="auto"/>
                  <w:vAlign w:val="center"/>
                </w:tcPr>
                <w:p w14:paraId="60441911">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690" w:type="dxa"/>
                  <w:shd w:val="clear" w:color="auto" w:fill="auto"/>
                  <w:noWrap/>
                  <w:vAlign w:val="center"/>
                </w:tcPr>
                <w:p w14:paraId="39C35859">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栅渣</w:t>
                  </w:r>
                </w:p>
              </w:tc>
              <w:tc>
                <w:tcPr>
                  <w:tcW w:w="1729" w:type="dxa"/>
                  <w:shd w:val="clear" w:color="auto" w:fill="auto"/>
                  <w:vAlign w:val="center"/>
                </w:tcPr>
                <w:p w14:paraId="6991B35E">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r>
                    <w:rPr>
                      <w:rFonts w:hint="eastAsia"/>
                      <w:color w:val="auto"/>
                      <w:highlight w:val="none"/>
                      <w:u w:val="none" w:color="auto"/>
                      <w:lang w:val="en-US" w:eastAsia="zh-CN"/>
                    </w:rPr>
                    <w:t>SW59其他工业固体废物</w:t>
                  </w:r>
                </w:p>
              </w:tc>
              <w:tc>
                <w:tcPr>
                  <w:tcW w:w="1442" w:type="dxa"/>
                  <w:shd w:val="clear" w:color="auto" w:fill="auto"/>
                  <w:noWrap/>
                  <w:vAlign w:val="center"/>
                </w:tcPr>
                <w:p w14:paraId="5159A46D">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900-099-S59</w:t>
                  </w:r>
                </w:p>
              </w:tc>
              <w:tc>
                <w:tcPr>
                  <w:tcW w:w="1030" w:type="dxa"/>
                  <w:shd w:val="clear" w:color="auto" w:fill="auto"/>
                  <w:vAlign w:val="center"/>
                </w:tcPr>
                <w:p w14:paraId="0AC3ACA2">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1.05</w:t>
                  </w:r>
                </w:p>
              </w:tc>
              <w:tc>
                <w:tcPr>
                  <w:tcW w:w="1878" w:type="dxa"/>
                  <w:vMerge w:val="restart"/>
                  <w:shd w:val="clear" w:color="auto" w:fill="auto"/>
                  <w:vAlign w:val="center"/>
                </w:tcPr>
                <w:p w14:paraId="69B7BC09">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r>
                    <w:rPr>
                      <w:rFonts w:hint="eastAsia" w:cs="Times New Roman"/>
                      <w:color w:val="000000" w:themeColor="text1"/>
                      <w:sz w:val="24"/>
                      <w:szCs w:val="24"/>
                      <w:highlight w:val="none"/>
                      <w:lang w:val="en-US" w:eastAsia="zh-CN"/>
                      <w14:textFill>
                        <w14:solidFill>
                          <w14:schemeClr w14:val="tx1"/>
                        </w14:solidFill>
                      </w14:textFill>
                    </w:rPr>
                    <w:t>交由垃圾焚烧单位焚烧</w:t>
                  </w:r>
                </w:p>
              </w:tc>
            </w:tr>
            <w:tr w14:paraId="7F1B1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5" w:hRule="atLeast"/>
              </w:trPr>
              <w:tc>
                <w:tcPr>
                  <w:tcW w:w="708" w:type="dxa"/>
                  <w:vMerge w:val="continue"/>
                  <w:shd w:val="clear" w:color="auto" w:fill="auto"/>
                  <w:vAlign w:val="center"/>
                </w:tcPr>
                <w:p w14:paraId="22992EB0">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690" w:type="dxa"/>
                  <w:shd w:val="clear" w:color="auto" w:fill="auto"/>
                  <w:noWrap/>
                  <w:vAlign w:val="center"/>
                </w:tcPr>
                <w:p w14:paraId="68A505CC">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s="Times New Roman"/>
                      <w:color w:val="auto"/>
                      <w:kern w:val="0"/>
                      <w:sz w:val="21"/>
                      <w:szCs w:val="21"/>
                      <w:highlight w:val="none"/>
                      <w:u w:val="none" w:color="auto"/>
                      <w:lang w:val="en-US" w:eastAsia="zh-CN" w:bidi="ar-SA"/>
                    </w:rPr>
                    <w:t>污水处理站污泥</w:t>
                  </w:r>
                </w:p>
              </w:tc>
              <w:tc>
                <w:tcPr>
                  <w:tcW w:w="1729" w:type="dxa"/>
                  <w:shd w:val="clear" w:color="auto" w:fill="auto"/>
                  <w:vAlign w:val="center"/>
                </w:tcPr>
                <w:p w14:paraId="6DE8A905">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s="Times New Roman"/>
                      <w:color w:val="auto"/>
                      <w:kern w:val="0"/>
                      <w:sz w:val="21"/>
                      <w:szCs w:val="21"/>
                      <w:highlight w:val="none"/>
                      <w:u w:val="none" w:color="auto"/>
                      <w:lang w:val="en-US" w:eastAsia="zh-CN" w:bidi="ar-SA"/>
                    </w:rPr>
                    <w:t>SW07污泥</w:t>
                  </w:r>
                </w:p>
              </w:tc>
              <w:tc>
                <w:tcPr>
                  <w:tcW w:w="1442" w:type="dxa"/>
                  <w:shd w:val="clear" w:color="auto" w:fill="auto"/>
                  <w:noWrap/>
                  <w:vAlign w:val="center"/>
                </w:tcPr>
                <w:p w14:paraId="4B602AAD">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s="Times New Roman"/>
                      <w:color w:val="auto"/>
                      <w:kern w:val="0"/>
                      <w:sz w:val="21"/>
                      <w:szCs w:val="21"/>
                      <w:highlight w:val="none"/>
                      <w:u w:val="none" w:color="auto"/>
                      <w:lang w:val="en-US" w:eastAsia="zh-CN" w:bidi="ar-SA"/>
                    </w:rPr>
                    <w:t>140-001-S07</w:t>
                  </w:r>
                </w:p>
              </w:tc>
              <w:tc>
                <w:tcPr>
                  <w:tcW w:w="1030" w:type="dxa"/>
                  <w:shd w:val="clear" w:color="auto" w:fill="auto"/>
                  <w:vAlign w:val="center"/>
                </w:tcPr>
                <w:p w14:paraId="6B822A74">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s="Times New Roman"/>
                      <w:color w:val="auto"/>
                      <w:kern w:val="0"/>
                      <w:sz w:val="21"/>
                      <w:szCs w:val="21"/>
                      <w:highlight w:val="none"/>
                      <w:u w:val="none" w:color="auto"/>
                      <w:lang w:val="en-US" w:eastAsia="zh-CN" w:bidi="ar-SA"/>
                    </w:rPr>
                    <w:t>30.75</w:t>
                  </w:r>
                </w:p>
              </w:tc>
              <w:tc>
                <w:tcPr>
                  <w:tcW w:w="1878" w:type="dxa"/>
                  <w:vMerge w:val="continue"/>
                  <w:shd w:val="clear" w:color="auto" w:fill="auto"/>
                  <w:vAlign w:val="center"/>
                </w:tcPr>
                <w:p w14:paraId="2147C13B">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p>
              </w:tc>
            </w:tr>
            <w:tr w14:paraId="62A80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8" w:hRule="atLeast"/>
              </w:trPr>
              <w:tc>
                <w:tcPr>
                  <w:tcW w:w="708" w:type="dxa"/>
                  <w:vMerge w:val="continue"/>
                  <w:shd w:val="clear" w:color="auto" w:fill="auto"/>
                  <w:vAlign w:val="center"/>
                </w:tcPr>
                <w:p w14:paraId="2ABBCF53">
                  <w:pPr>
                    <w:pStyle w:val="37"/>
                    <w:keepNext w:val="0"/>
                    <w:keepLines w:val="0"/>
                    <w:suppressLineNumbers w:val="0"/>
                    <w:bidi w:val="0"/>
                    <w:spacing w:before="0" w:beforeAutospacing="0" w:after="0" w:afterAutospacing="0"/>
                    <w:ind w:left="0" w:right="0"/>
                    <w:rPr>
                      <w:rFonts w:hint="eastAsia"/>
                      <w:color w:val="auto"/>
                      <w:highlight w:val="none"/>
                      <w:u w:val="none" w:color="auto"/>
                    </w:rPr>
                  </w:pPr>
                </w:p>
              </w:tc>
              <w:tc>
                <w:tcPr>
                  <w:tcW w:w="1690" w:type="dxa"/>
                  <w:shd w:val="clear" w:color="auto" w:fill="auto"/>
                  <w:vAlign w:val="center"/>
                </w:tcPr>
                <w:p w14:paraId="382272F1">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生活垃圾</w:t>
                  </w:r>
                </w:p>
              </w:tc>
              <w:tc>
                <w:tcPr>
                  <w:tcW w:w="1729" w:type="dxa"/>
                  <w:shd w:val="clear" w:color="auto" w:fill="auto"/>
                  <w:vAlign w:val="center"/>
                </w:tcPr>
                <w:p w14:paraId="3F3CE9E7">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SW64其他垃圾</w:t>
                  </w:r>
                </w:p>
              </w:tc>
              <w:tc>
                <w:tcPr>
                  <w:tcW w:w="1442" w:type="dxa"/>
                  <w:shd w:val="clear" w:color="auto" w:fill="auto"/>
                  <w:vAlign w:val="center"/>
                </w:tcPr>
                <w:p w14:paraId="24BB00A6">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default"/>
                      <w:color w:val="auto"/>
                      <w:highlight w:val="none"/>
                      <w:u w:val="none" w:color="auto"/>
                      <w:lang w:val="en-US" w:eastAsia="zh-CN"/>
                    </w:rPr>
                    <w:t>900-099-S64</w:t>
                  </w:r>
                </w:p>
              </w:tc>
              <w:tc>
                <w:tcPr>
                  <w:tcW w:w="1030" w:type="dxa"/>
                  <w:shd w:val="clear" w:color="auto" w:fill="auto"/>
                  <w:vAlign w:val="center"/>
                </w:tcPr>
                <w:p w14:paraId="4C5F67DE">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ascii="Times New Roman" w:hAnsi="Times New Roman" w:eastAsia="宋体" w:cs="Times New Roman"/>
                      <w:color w:val="auto"/>
                      <w:kern w:val="0"/>
                      <w:sz w:val="21"/>
                      <w:szCs w:val="21"/>
                      <w:highlight w:val="none"/>
                      <w:u w:val="none" w:color="auto"/>
                      <w:lang w:val="en-US" w:eastAsia="zh-CN" w:bidi="ar-SA"/>
                    </w:rPr>
                    <w:t>3.6</w:t>
                  </w:r>
                </w:p>
              </w:tc>
              <w:tc>
                <w:tcPr>
                  <w:tcW w:w="1878" w:type="dxa"/>
                  <w:shd w:val="clear" w:color="auto" w:fill="auto"/>
                  <w:vAlign w:val="center"/>
                </w:tcPr>
                <w:p w14:paraId="7619C79C">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s="Times New Roman"/>
                      <w:color w:val="auto"/>
                      <w:kern w:val="0"/>
                      <w:sz w:val="21"/>
                      <w:szCs w:val="21"/>
                      <w:highlight w:val="none"/>
                      <w:u w:val="none" w:color="auto"/>
                      <w:lang w:val="en-US" w:eastAsia="zh-CN" w:bidi="ar-SA"/>
                    </w:rPr>
                    <w:t>交由环卫部门处理</w:t>
                  </w:r>
                </w:p>
              </w:tc>
            </w:tr>
            <w:tr w14:paraId="3B789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1" w:hRule="atLeast"/>
              </w:trPr>
              <w:tc>
                <w:tcPr>
                  <w:tcW w:w="708" w:type="dxa"/>
                  <w:vMerge w:val="restart"/>
                  <w:shd w:val="clear" w:color="auto" w:fill="auto"/>
                  <w:vAlign w:val="center"/>
                </w:tcPr>
                <w:p w14:paraId="03781AFF">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r>
                    <w:rPr>
                      <w:rFonts w:hint="eastAsia"/>
                      <w:color w:val="auto"/>
                      <w:highlight w:val="none"/>
                      <w:u w:val="none" w:color="auto"/>
                      <w:lang w:val="en-US" w:eastAsia="zh-CN"/>
                    </w:rPr>
                    <w:t>危险废物</w:t>
                  </w:r>
                </w:p>
              </w:tc>
              <w:tc>
                <w:tcPr>
                  <w:tcW w:w="1690" w:type="dxa"/>
                  <w:shd w:val="clear" w:color="auto" w:fill="auto"/>
                  <w:vAlign w:val="center"/>
                </w:tcPr>
                <w:p w14:paraId="4780EBD9">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废机油</w:t>
                  </w:r>
                </w:p>
              </w:tc>
              <w:tc>
                <w:tcPr>
                  <w:tcW w:w="1729" w:type="dxa"/>
                  <w:shd w:val="clear" w:color="auto" w:fill="auto"/>
                  <w:vAlign w:val="center"/>
                </w:tcPr>
                <w:p w14:paraId="78389D2A">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HW08废矿物油与含矿物油废物</w:t>
                  </w:r>
                </w:p>
              </w:tc>
              <w:tc>
                <w:tcPr>
                  <w:tcW w:w="1442" w:type="dxa"/>
                  <w:shd w:val="clear" w:color="auto" w:fill="auto"/>
                  <w:vAlign w:val="center"/>
                </w:tcPr>
                <w:p w14:paraId="5BD907C7">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default"/>
                      <w:color w:val="auto"/>
                      <w:highlight w:val="none"/>
                      <w:u w:val="none" w:color="auto"/>
                      <w:lang w:val="en-US" w:eastAsia="zh-CN"/>
                    </w:rPr>
                    <w:t>900-214-08</w:t>
                  </w:r>
                </w:p>
              </w:tc>
              <w:tc>
                <w:tcPr>
                  <w:tcW w:w="1030" w:type="dxa"/>
                  <w:shd w:val="clear" w:color="auto" w:fill="auto"/>
                  <w:vAlign w:val="center"/>
                </w:tcPr>
                <w:p w14:paraId="1EB988B0">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ascii="Times New Roman" w:hAnsi="Times New Roman" w:eastAsia="宋体" w:cs="Times New Roman"/>
                      <w:color w:val="auto"/>
                      <w:kern w:val="0"/>
                      <w:sz w:val="21"/>
                      <w:szCs w:val="21"/>
                      <w:highlight w:val="none"/>
                      <w:u w:val="none" w:color="auto"/>
                      <w:lang w:val="en-US" w:eastAsia="zh-CN" w:bidi="ar-SA"/>
                    </w:rPr>
                    <w:t>0.01</w:t>
                  </w:r>
                </w:p>
              </w:tc>
              <w:tc>
                <w:tcPr>
                  <w:tcW w:w="1878" w:type="dxa"/>
                  <w:vMerge w:val="restart"/>
                  <w:shd w:val="clear" w:color="auto" w:fill="auto"/>
                  <w:vAlign w:val="center"/>
                </w:tcPr>
                <w:p w14:paraId="020E62F7">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r>
                    <w:rPr>
                      <w:rFonts w:hint="eastAsia"/>
                      <w:color w:val="auto"/>
                      <w:highlight w:val="none"/>
                      <w:u w:val="none" w:color="auto"/>
                      <w:lang w:val="en-US" w:eastAsia="zh-CN"/>
                    </w:rPr>
                    <w:t>暂存于危废暂存间，定期交由有资质单位处置</w:t>
                  </w:r>
                </w:p>
              </w:tc>
            </w:tr>
            <w:tr w14:paraId="3E996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1" w:hRule="atLeast"/>
              </w:trPr>
              <w:tc>
                <w:tcPr>
                  <w:tcW w:w="708" w:type="dxa"/>
                  <w:vMerge w:val="continue"/>
                  <w:shd w:val="clear" w:color="auto" w:fill="auto"/>
                  <w:vAlign w:val="center"/>
                </w:tcPr>
                <w:p w14:paraId="5D62006C">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690" w:type="dxa"/>
                  <w:shd w:val="clear" w:color="auto" w:fill="auto"/>
                  <w:vAlign w:val="center"/>
                </w:tcPr>
                <w:p w14:paraId="1C3F8600">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废油桶</w:t>
                  </w:r>
                </w:p>
              </w:tc>
              <w:tc>
                <w:tcPr>
                  <w:tcW w:w="1729" w:type="dxa"/>
                  <w:shd w:val="clear" w:color="auto" w:fill="auto"/>
                  <w:vAlign w:val="center"/>
                </w:tcPr>
                <w:p w14:paraId="730E95F7">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HW08废矿物油与含矿物油废物</w:t>
                  </w:r>
                </w:p>
              </w:tc>
              <w:tc>
                <w:tcPr>
                  <w:tcW w:w="1442" w:type="dxa"/>
                  <w:shd w:val="clear" w:color="auto" w:fill="auto"/>
                  <w:vAlign w:val="center"/>
                </w:tcPr>
                <w:p w14:paraId="03D7F0D5">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default"/>
                      <w:color w:val="auto"/>
                      <w:highlight w:val="none"/>
                      <w:u w:val="none" w:color="auto"/>
                      <w:lang w:val="en-US" w:eastAsia="zh-CN"/>
                    </w:rPr>
                    <w:t>900-249-08</w:t>
                  </w:r>
                </w:p>
              </w:tc>
              <w:tc>
                <w:tcPr>
                  <w:tcW w:w="1030" w:type="dxa"/>
                  <w:shd w:val="clear" w:color="auto" w:fill="auto"/>
                  <w:vAlign w:val="center"/>
                </w:tcPr>
                <w:p w14:paraId="1CF380CF">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ascii="Times New Roman" w:hAnsi="Times New Roman" w:eastAsia="宋体" w:cs="Times New Roman"/>
                      <w:color w:val="auto"/>
                      <w:kern w:val="0"/>
                      <w:sz w:val="21"/>
                      <w:szCs w:val="21"/>
                      <w:highlight w:val="none"/>
                      <w:u w:val="none" w:color="auto"/>
                      <w:lang w:val="en-US" w:eastAsia="zh-CN" w:bidi="ar-SA"/>
                    </w:rPr>
                    <w:t>0.02</w:t>
                  </w:r>
                </w:p>
              </w:tc>
              <w:tc>
                <w:tcPr>
                  <w:tcW w:w="1878" w:type="dxa"/>
                  <w:vMerge w:val="continue"/>
                  <w:shd w:val="clear" w:color="auto" w:fill="auto"/>
                  <w:vAlign w:val="center"/>
                </w:tcPr>
                <w:p w14:paraId="2DD62BE2">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r>
            <w:tr w14:paraId="2E090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8" w:hRule="atLeast"/>
              </w:trPr>
              <w:tc>
                <w:tcPr>
                  <w:tcW w:w="708" w:type="dxa"/>
                  <w:vMerge w:val="continue"/>
                  <w:shd w:val="clear" w:color="auto" w:fill="auto"/>
                  <w:vAlign w:val="center"/>
                </w:tcPr>
                <w:p w14:paraId="1FBD3C16">
                  <w:pPr>
                    <w:pStyle w:val="37"/>
                    <w:keepNext w:val="0"/>
                    <w:keepLines w:val="0"/>
                    <w:suppressLineNumbers w:val="0"/>
                    <w:bidi w:val="0"/>
                    <w:spacing w:before="0" w:beforeAutospacing="0" w:after="0" w:afterAutospacing="0"/>
                    <w:ind w:left="0" w:right="0"/>
                    <w:rPr>
                      <w:rFonts w:hint="eastAsia"/>
                      <w:color w:val="auto"/>
                      <w:highlight w:val="none"/>
                      <w:u w:val="none" w:color="auto"/>
                    </w:rPr>
                  </w:pPr>
                </w:p>
              </w:tc>
              <w:tc>
                <w:tcPr>
                  <w:tcW w:w="1690" w:type="dxa"/>
                  <w:shd w:val="clear" w:color="auto" w:fill="auto"/>
                  <w:vAlign w:val="center"/>
                </w:tcPr>
                <w:p w14:paraId="06821EC2">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废含油抹布及手套</w:t>
                  </w:r>
                </w:p>
              </w:tc>
              <w:tc>
                <w:tcPr>
                  <w:tcW w:w="1729" w:type="dxa"/>
                  <w:shd w:val="clear" w:color="auto" w:fill="auto"/>
                  <w:vAlign w:val="center"/>
                </w:tcPr>
                <w:p w14:paraId="5B51EECB">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HW49其他废物</w:t>
                  </w:r>
                </w:p>
              </w:tc>
              <w:tc>
                <w:tcPr>
                  <w:tcW w:w="1442" w:type="dxa"/>
                  <w:shd w:val="clear" w:color="auto" w:fill="auto"/>
                  <w:vAlign w:val="center"/>
                </w:tcPr>
                <w:p w14:paraId="19A19C22">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900-041-49</w:t>
                  </w:r>
                </w:p>
              </w:tc>
              <w:tc>
                <w:tcPr>
                  <w:tcW w:w="1030" w:type="dxa"/>
                  <w:shd w:val="clear" w:color="auto" w:fill="auto"/>
                  <w:vAlign w:val="center"/>
                </w:tcPr>
                <w:p w14:paraId="6D6BC1DD">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0.01</w:t>
                  </w:r>
                </w:p>
              </w:tc>
              <w:tc>
                <w:tcPr>
                  <w:tcW w:w="1878" w:type="dxa"/>
                  <w:vMerge w:val="continue"/>
                  <w:shd w:val="clear" w:color="auto" w:fill="auto"/>
                  <w:vAlign w:val="center"/>
                </w:tcPr>
                <w:p w14:paraId="1414066D">
                  <w:pPr>
                    <w:pStyle w:val="37"/>
                    <w:keepNext w:val="0"/>
                    <w:keepLines w:val="0"/>
                    <w:suppressLineNumbers w:val="0"/>
                    <w:bidi w:val="0"/>
                    <w:spacing w:before="0" w:beforeAutospacing="0" w:after="0" w:afterAutospacing="0"/>
                    <w:ind w:left="0" w:right="0"/>
                    <w:rPr>
                      <w:rFonts w:hint="eastAsia"/>
                      <w:color w:val="auto"/>
                      <w:highlight w:val="none"/>
                      <w:u w:val="none" w:color="auto"/>
                    </w:rPr>
                  </w:pPr>
                </w:p>
              </w:tc>
            </w:tr>
          </w:tbl>
          <w:p w14:paraId="13C24054">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yellow"/>
              </w:rPr>
            </w:pPr>
          </w:p>
          <w:p w14:paraId="7DA591D3">
            <w:pPr>
              <w:pStyle w:val="18"/>
              <w:keepNext w:val="0"/>
              <w:keepLines w:val="0"/>
              <w:suppressLineNumbers w:val="0"/>
              <w:spacing w:before="0" w:beforeAutospacing="0" w:after="0" w:afterAutospacing="0" w:line="240" w:lineRule="auto"/>
              <w:ind w:left="0" w:leftChars="0" w:right="0" w:firstLine="0" w:firstLineChars="0"/>
              <w:jc w:val="center"/>
              <w:rPr>
                <w:rFonts w:hint="default" w:eastAsia="宋体" w:cs="Times New Roman"/>
                <w:b/>
                <w:bCs/>
                <w:color w:val="auto"/>
                <w:kern w:val="2"/>
                <w:sz w:val="21"/>
                <w:szCs w:val="21"/>
                <w:highlight w:val="none"/>
                <w:u w:val="none" w:color="auto"/>
                <w:lang w:val="en-US" w:eastAsia="zh-CN" w:bidi="ar-SA"/>
              </w:rPr>
            </w:pPr>
            <w:r>
              <w:rPr>
                <w:rFonts w:hint="eastAsia" w:eastAsia="宋体" w:cs="Times New Roman"/>
                <w:b/>
                <w:bCs/>
                <w:color w:val="auto"/>
                <w:kern w:val="2"/>
                <w:sz w:val="21"/>
                <w:szCs w:val="21"/>
                <w:highlight w:val="none"/>
                <w:u w:val="none" w:color="auto"/>
                <w:lang w:val="en-US" w:eastAsia="zh-CN" w:bidi="ar-SA"/>
              </w:rPr>
              <w:t>表4-1</w:t>
            </w:r>
            <w:r>
              <w:rPr>
                <w:rFonts w:hint="eastAsia" w:cs="Times New Roman"/>
                <w:b/>
                <w:bCs/>
                <w:color w:val="auto"/>
                <w:kern w:val="2"/>
                <w:sz w:val="21"/>
                <w:szCs w:val="21"/>
                <w:highlight w:val="none"/>
                <w:u w:val="none" w:color="auto"/>
                <w:lang w:val="en-US" w:eastAsia="zh-CN" w:bidi="ar-SA"/>
              </w:rPr>
              <w:t>9</w:t>
            </w:r>
            <w:r>
              <w:rPr>
                <w:rFonts w:hint="eastAsia" w:eastAsia="宋体" w:cs="Times New Roman"/>
                <w:b/>
                <w:bCs/>
                <w:color w:val="auto"/>
                <w:kern w:val="2"/>
                <w:sz w:val="21"/>
                <w:szCs w:val="21"/>
                <w:highlight w:val="none"/>
                <w:u w:val="none" w:color="auto"/>
                <w:lang w:val="en-US" w:eastAsia="zh-CN" w:bidi="ar-SA"/>
              </w:rPr>
              <w:t xml:space="preserve"> </w:t>
            </w:r>
            <w:r>
              <w:rPr>
                <w:rFonts w:hint="eastAsia" w:cs="Times New Roman"/>
                <w:b/>
                <w:bCs/>
                <w:color w:val="auto"/>
                <w:kern w:val="2"/>
                <w:sz w:val="21"/>
                <w:szCs w:val="21"/>
                <w:highlight w:val="none"/>
                <w:u w:val="none" w:color="auto"/>
                <w:lang w:val="en-US" w:eastAsia="zh-CN" w:bidi="ar-SA"/>
              </w:rPr>
              <w:t>危险废物基本情况汇总表</w:t>
            </w:r>
          </w:p>
          <w:tbl>
            <w:tblPr>
              <w:tblStyle w:val="28"/>
              <w:tblW w:w="84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7"/>
              <w:gridCol w:w="786"/>
              <w:gridCol w:w="779"/>
              <w:gridCol w:w="1196"/>
              <w:gridCol w:w="729"/>
              <w:gridCol w:w="771"/>
              <w:gridCol w:w="730"/>
              <w:gridCol w:w="757"/>
              <w:gridCol w:w="660"/>
              <w:gridCol w:w="716"/>
              <w:gridCol w:w="903"/>
            </w:tblGrid>
            <w:tr w14:paraId="7ABD8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0" w:hRule="atLeast"/>
                <w:jc w:val="center"/>
              </w:trPr>
              <w:tc>
                <w:tcPr>
                  <w:tcW w:w="427" w:type="dxa"/>
                  <w:shd w:val="clear" w:color="auto" w:fill="auto"/>
                  <w:noWrap/>
                  <w:vAlign w:val="center"/>
                </w:tcPr>
                <w:p w14:paraId="071FE311">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序号</w:t>
                  </w:r>
                </w:p>
              </w:tc>
              <w:tc>
                <w:tcPr>
                  <w:tcW w:w="786" w:type="dxa"/>
                  <w:shd w:val="clear" w:color="auto" w:fill="auto"/>
                  <w:vAlign w:val="center"/>
                </w:tcPr>
                <w:p w14:paraId="7B08F23E">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危险废物名称</w:t>
                  </w:r>
                </w:p>
              </w:tc>
              <w:tc>
                <w:tcPr>
                  <w:tcW w:w="779" w:type="dxa"/>
                  <w:shd w:val="clear" w:color="auto" w:fill="auto"/>
                  <w:vAlign w:val="center"/>
                </w:tcPr>
                <w:p w14:paraId="569CD556">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危险废物类别</w:t>
                  </w:r>
                </w:p>
              </w:tc>
              <w:tc>
                <w:tcPr>
                  <w:tcW w:w="1196" w:type="dxa"/>
                  <w:shd w:val="clear" w:color="auto" w:fill="auto"/>
                  <w:vAlign w:val="center"/>
                </w:tcPr>
                <w:p w14:paraId="136B15DF">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危险废物代码</w:t>
                  </w:r>
                </w:p>
              </w:tc>
              <w:tc>
                <w:tcPr>
                  <w:tcW w:w="729" w:type="dxa"/>
                  <w:shd w:val="clear" w:color="auto" w:fill="auto"/>
                  <w:vAlign w:val="center"/>
                </w:tcPr>
                <w:p w14:paraId="199BEEB3">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产生量</w:t>
                  </w:r>
                  <w:r>
                    <w:rPr>
                      <w:rFonts w:hint="default"/>
                      <w:b/>
                      <w:bCs/>
                      <w:color w:val="auto"/>
                      <w:highlight w:val="none"/>
                      <w:lang w:val="en-US" w:eastAsia="zh-CN"/>
                    </w:rPr>
                    <w:t>t/a</w:t>
                  </w:r>
                </w:p>
              </w:tc>
              <w:tc>
                <w:tcPr>
                  <w:tcW w:w="771" w:type="dxa"/>
                  <w:shd w:val="clear" w:color="auto" w:fill="auto"/>
                  <w:vAlign w:val="center"/>
                </w:tcPr>
                <w:p w14:paraId="5AC02CCD">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产生环节</w:t>
                  </w:r>
                </w:p>
              </w:tc>
              <w:tc>
                <w:tcPr>
                  <w:tcW w:w="730" w:type="dxa"/>
                  <w:shd w:val="clear" w:color="auto" w:fill="auto"/>
                  <w:vAlign w:val="center"/>
                </w:tcPr>
                <w:p w14:paraId="15743E09">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主要成分</w:t>
                  </w:r>
                </w:p>
              </w:tc>
              <w:tc>
                <w:tcPr>
                  <w:tcW w:w="757" w:type="dxa"/>
                  <w:shd w:val="clear" w:color="auto" w:fill="auto"/>
                  <w:vAlign w:val="center"/>
                </w:tcPr>
                <w:p w14:paraId="33FAB463">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有害成分</w:t>
                  </w:r>
                </w:p>
              </w:tc>
              <w:tc>
                <w:tcPr>
                  <w:tcW w:w="660" w:type="dxa"/>
                  <w:shd w:val="clear" w:color="auto" w:fill="auto"/>
                  <w:vAlign w:val="center"/>
                </w:tcPr>
                <w:p w14:paraId="387264D5">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危险特性</w:t>
                  </w:r>
                </w:p>
              </w:tc>
              <w:tc>
                <w:tcPr>
                  <w:tcW w:w="716" w:type="dxa"/>
                  <w:shd w:val="clear" w:color="auto" w:fill="auto"/>
                  <w:vAlign w:val="center"/>
                </w:tcPr>
                <w:p w14:paraId="0535CFC5">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产废周期</w:t>
                  </w:r>
                </w:p>
              </w:tc>
              <w:tc>
                <w:tcPr>
                  <w:tcW w:w="903" w:type="dxa"/>
                  <w:shd w:val="clear" w:color="auto" w:fill="auto"/>
                  <w:vAlign w:val="center"/>
                </w:tcPr>
                <w:p w14:paraId="544D8993">
                  <w:pPr>
                    <w:pStyle w:val="86"/>
                    <w:keepNext w:val="0"/>
                    <w:keepLines w:val="0"/>
                    <w:suppressLineNumbers w:val="0"/>
                    <w:bidi w:val="0"/>
                    <w:spacing w:before="0" w:beforeAutospacing="0" w:after="0" w:afterAutospacing="0"/>
                    <w:ind w:left="0" w:right="0"/>
                    <w:rPr>
                      <w:rFonts w:hint="eastAsia"/>
                      <w:b/>
                      <w:bCs/>
                      <w:color w:val="auto"/>
                      <w:highlight w:val="none"/>
                    </w:rPr>
                  </w:pPr>
                  <w:r>
                    <w:rPr>
                      <w:rFonts w:hint="eastAsia"/>
                      <w:b/>
                      <w:bCs/>
                      <w:color w:val="auto"/>
                      <w:highlight w:val="none"/>
                      <w:lang w:val="en-US" w:eastAsia="zh-CN"/>
                    </w:rPr>
                    <w:t>处置方式</w:t>
                  </w:r>
                </w:p>
              </w:tc>
            </w:tr>
            <w:tr w14:paraId="4F0BA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427" w:type="dxa"/>
                  <w:shd w:val="clear" w:color="auto" w:fill="auto"/>
                  <w:noWrap/>
                  <w:vAlign w:val="center"/>
                </w:tcPr>
                <w:p w14:paraId="16A8CC66">
                  <w:pPr>
                    <w:pStyle w:val="86"/>
                    <w:keepNext w:val="0"/>
                    <w:keepLines w:val="0"/>
                    <w:suppressLineNumbers w:val="0"/>
                    <w:bidi w:val="0"/>
                    <w:spacing w:before="0" w:beforeAutospacing="0" w:after="0" w:afterAutospacing="0"/>
                    <w:ind w:left="0" w:right="0"/>
                    <w:rPr>
                      <w:rFonts w:hint="default"/>
                      <w:color w:val="auto"/>
                      <w:highlight w:val="none"/>
                    </w:rPr>
                  </w:pPr>
                  <w:r>
                    <w:rPr>
                      <w:rFonts w:hint="default"/>
                      <w:color w:val="auto"/>
                      <w:highlight w:val="none"/>
                      <w:lang w:val="en-US" w:eastAsia="zh-CN"/>
                    </w:rPr>
                    <w:t>1</w:t>
                  </w:r>
                </w:p>
              </w:tc>
              <w:tc>
                <w:tcPr>
                  <w:tcW w:w="786" w:type="dxa"/>
                  <w:shd w:val="clear" w:color="auto" w:fill="auto"/>
                  <w:vAlign w:val="center"/>
                </w:tcPr>
                <w:p w14:paraId="060C227A">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废机油</w:t>
                  </w:r>
                </w:p>
              </w:tc>
              <w:tc>
                <w:tcPr>
                  <w:tcW w:w="779" w:type="dxa"/>
                  <w:shd w:val="clear" w:color="auto" w:fill="auto"/>
                  <w:vAlign w:val="center"/>
                </w:tcPr>
                <w:p w14:paraId="16D20DA4">
                  <w:pPr>
                    <w:pStyle w:val="86"/>
                    <w:keepNext w:val="0"/>
                    <w:keepLines w:val="0"/>
                    <w:suppressLineNumbers w:val="0"/>
                    <w:bidi w:val="0"/>
                    <w:spacing w:before="0" w:beforeAutospacing="0" w:after="0" w:afterAutospacing="0"/>
                    <w:ind w:left="0" w:right="0"/>
                    <w:rPr>
                      <w:rFonts w:hint="default"/>
                      <w:color w:val="auto"/>
                      <w:highlight w:val="none"/>
                    </w:rPr>
                  </w:pPr>
                  <w:r>
                    <w:rPr>
                      <w:rFonts w:hint="default"/>
                      <w:color w:val="auto"/>
                      <w:highlight w:val="none"/>
                      <w:lang w:val="en-US" w:eastAsia="zh-CN"/>
                    </w:rPr>
                    <w:t>HW08</w:t>
                  </w:r>
                </w:p>
              </w:tc>
              <w:tc>
                <w:tcPr>
                  <w:tcW w:w="1196" w:type="dxa"/>
                  <w:shd w:val="clear" w:color="auto" w:fill="auto"/>
                  <w:vAlign w:val="center"/>
                </w:tcPr>
                <w:p w14:paraId="12DA97BD">
                  <w:pPr>
                    <w:pStyle w:val="86"/>
                    <w:keepNext w:val="0"/>
                    <w:keepLines w:val="0"/>
                    <w:suppressLineNumbers w:val="0"/>
                    <w:bidi w:val="0"/>
                    <w:spacing w:before="0" w:beforeAutospacing="0" w:after="0" w:afterAutospacing="0"/>
                    <w:ind w:left="0" w:right="0"/>
                    <w:rPr>
                      <w:rFonts w:hint="default"/>
                      <w:color w:val="auto"/>
                      <w:highlight w:val="none"/>
                    </w:rPr>
                  </w:pPr>
                  <w:r>
                    <w:rPr>
                      <w:rFonts w:hint="default"/>
                      <w:color w:val="auto"/>
                      <w:highlight w:val="none"/>
                      <w:lang w:val="en-US" w:eastAsia="zh-CN"/>
                    </w:rPr>
                    <w:t>900-214-08</w:t>
                  </w:r>
                </w:p>
              </w:tc>
              <w:tc>
                <w:tcPr>
                  <w:tcW w:w="729" w:type="dxa"/>
                  <w:shd w:val="clear" w:color="auto" w:fill="auto"/>
                  <w:vAlign w:val="center"/>
                </w:tcPr>
                <w:p w14:paraId="7C1D42B8">
                  <w:pPr>
                    <w:pStyle w:val="86"/>
                    <w:keepNext w:val="0"/>
                    <w:keepLines w:val="0"/>
                    <w:suppressLineNumbers w:val="0"/>
                    <w:bidi w:val="0"/>
                    <w:spacing w:before="0" w:beforeAutospacing="0" w:after="0" w:afterAutospacing="0"/>
                    <w:ind w:left="0" w:right="0"/>
                    <w:rPr>
                      <w:rFonts w:hint="default"/>
                      <w:color w:val="auto"/>
                      <w:highlight w:val="none"/>
                      <w:lang w:val="en-US"/>
                    </w:rPr>
                  </w:pPr>
                  <w:r>
                    <w:rPr>
                      <w:rFonts w:hint="eastAsia"/>
                      <w:color w:val="auto"/>
                      <w:highlight w:val="none"/>
                      <w:lang w:val="en-US" w:eastAsia="zh-CN"/>
                    </w:rPr>
                    <w:t>0.01</w:t>
                  </w:r>
                </w:p>
              </w:tc>
              <w:tc>
                <w:tcPr>
                  <w:tcW w:w="771" w:type="dxa"/>
                  <w:vMerge w:val="restart"/>
                  <w:shd w:val="clear" w:color="auto" w:fill="auto"/>
                  <w:vAlign w:val="center"/>
                </w:tcPr>
                <w:p w14:paraId="5F0E0496">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设备维护检修</w:t>
                  </w:r>
                </w:p>
              </w:tc>
              <w:tc>
                <w:tcPr>
                  <w:tcW w:w="730" w:type="dxa"/>
                  <w:shd w:val="clear" w:color="auto" w:fill="auto"/>
                  <w:vAlign w:val="center"/>
                </w:tcPr>
                <w:p w14:paraId="18FF08DA">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有机物</w:t>
                  </w:r>
                </w:p>
              </w:tc>
              <w:tc>
                <w:tcPr>
                  <w:tcW w:w="757" w:type="dxa"/>
                  <w:shd w:val="clear" w:color="auto" w:fill="auto"/>
                  <w:vAlign w:val="center"/>
                </w:tcPr>
                <w:p w14:paraId="5AE0E518">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有机物</w:t>
                  </w:r>
                </w:p>
              </w:tc>
              <w:tc>
                <w:tcPr>
                  <w:tcW w:w="660" w:type="dxa"/>
                  <w:shd w:val="clear" w:color="auto" w:fill="auto"/>
                  <w:vAlign w:val="center"/>
                </w:tcPr>
                <w:p w14:paraId="59BE64A6">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毒性、可燃性</w:t>
                  </w:r>
                </w:p>
              </w:tc>
              <w:tc>
                <w:tcPr>
                  <w:tcW w:w="716" w:type="dxa"/>
                  <w:shd w:val="clear" w:color="auto" w:fill="auto"/>
                  <w:vAlign w:val="center"/>
                </w:tcPr>
                <w:p w14:paraId="3C23525E">
                  <w:pPr>
                    <w:pStyle w:val="86"/>
                    <w:keepNext w:val="0"/>
                    <w:keepLines w:val="0"/>
                    <w:suppressLineNumbers w:val="0"/>
                    <w:bidi w:val="0"/>
                    <w:spacing w:before="0" w:beforeAutospacing="0" w:after="0" w:afterAutospacing="0"/>
                    <w:ind w:left="0" w:right="0"/>
                    <w:rPr>
                      <w:rFonts w:hint="default"/>
                      <w:color w:val="auto"/>
                      <w:highlight w:val="none"/>
                    </w:rPr>
                  </w:pPr>
                  <w:r>
                    <w:rPr>
                      <w:rFonts w:hint="default"/>
                      <w:color w:val="auto"/>
                      <w:highlight w:val="none"/>
                      <w:lang w:val="en-US" w:eastAsia="zh-CN"/>
                    </w:rPr>
                    <w:t>1</w:t>
                  </w:r>
                  <w:r>
                    <w:rPr>
                      <w:rFonts w:hint="eastAsia"/>
                      <w:color w:val="auto"/>
                      <w:highlight w:val="none"/>
                      <w:lang w:val="en-US" w:eastAsia="zh-CN"/>
                    </w:rPr>
                    <w:t>年</w:t>
                  </w:r>
                </w:p>
              </w:tc>
              <w:tc>
                <w:tcPr>
                  <w:tcW w:w="903" w:type="dxa"/>
                  <w:vMerge w:val="restart"/>
                  <w:shd w:val="clear" w:color="auto" w:fill="auto"/>
                  <w:vAlign w:val="center"/>
                </w:tcPr>
                <w:p w14:paraId="5540CCBD">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分类收集暂存后，交由有资质单位处置</w:t>
                  </w:r>
                </w:p>
              </w:tc>
            </w:tr>
            <w:tr w14:paraId="6D3A8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 w:hRule="atLeast"/>
                <w:jc w:val="center"/>
              </w:trPr>
              <w:tc>
                <w:tcPr>
                  <w:tcW w:w="427" w:type="dxa"/>
                  <w:shd w:val="clear" w:color="auto" w:fill="auto"/>
                  <w:noWrap/>
                  <w:vAlign w:val="center"/>
                </w:tcPr>
                <w:p w14:paraId="727631BD">
                  <w:pPr>
                    <w:pStyle w:val="86"/>
                    <w:keepNext w:val="0"/>
                    <w:keepLines w:val="0"/>
                    <w:suppressLineNumbers w:val="0"/>
                    <w:bidi w:val="0"/>
                    <w:spacing w:before="0" w:beforeAutospacing="0" w:after="0" w:afterAutospacing="0"/>
                    <w:ind w:left="0" w:right="0"/>
                    <w:rPr>
                      <w:rFonts w:hint="default"/>
                      <w:color w:val="auto"/>
                      <w:highlight w:val="none"/>
                    </w:rPr>
                  </w:pPr>
                  <w:r>
                    <w:rPr>
                      <w:rFonts w:hint="default"/>
                      <w:color w:val="auto"/>
                      <w:highlight w:val="none"/>
                      <w:lang w:val="en-US" w:eastAsia="zh-CN"/>
                    </w:rPr>
                    <w:t>2</w:t>
                  </w:r>
                </w:p>
              </w:tc>
              <w:tc>
                <w:tcPr>
                  <w:tcW w:w="786" w:type="dxa"/>
                  <w:shd w:val="clear" w:color="auto" w:fill="auto"/>
                  <w:noWrap/>
                  <w:vAlign w:val="center"/>
                </w:tcPr>
                <w:p w14:paraId="43772F61">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废油桶</w:t>
                  </w:r>
                </w:p>
              </w:tc>
              <w:tc>
                <w:tcPr>
                  <w:tcW w:w="779" w:type="dxa"/>
                  <w:shd w:val="clear" w:color="auto" w:fill="auto"/>
                  <w:vAlign w:val="center"/>
                </w:tcPr>
                <w:p w14:paraId="56468813">
                  <w:pPr>
                    <w:pStyle w:val="86"/>
                    <w:keepNext w:val="0"/>
                    <w:keepLines w:val="0"/>
                    <w:suppressLineNumbers w:val="0"/>
                    <w:bidi w:val="0"/>
                    <w:spacing w:before="0" w:beforeAutospacing="0" w:after="0" w:afterAutospacing="0"/>
                    <w:ind w:left="0" w:right="0"/>
                    <w:rPr>
                      <w:rFonts w:hint="default"/>
                      <w:color w:val="auto"/>
                      <w:highlight w:val="none"/>
                    </w:rPr>
                  </w:pPr>
                  <w:r>
                    <w:rPr>
                      <w:rFonts w:hint="default"/>
                      <w:color w:val="auto"/>
                      <w:highlight w:val="none"/>
                      <w:lang w:val="en-US" w:eastAsia="zh-CN"/>
                    </w:rPr>
                    <w:t>HW08</w:t>
                  </w:r>
                </w:p>
              </w:tc>
              <w:tc>
                <w:tcPr>
                  <w:tcW w:w="1196" w:type="dxa"/>
                  <w:shd w:val="clear" w:color="auto" w:fill="auto"/>
                  <w:noWrap/>
                  <w:vAlign w:val="center"/>
                </w:tcPr>
                <w:p w14:paraId="7FE15535">
                  <w:pPr>
                    <w:pStyle w:val="86"/>
                    <w:keepNext w:val="0"/>
                    <w:keepLines w:val="0"/>
                    <w:suppressLineNumbers w:val="0"/>
                    <w:bidi w:val="0"/>
                    <w:spacing w:before="0" w:beforeAutospacing="0" w:after="0" w:afterAutospacing="0"/>
                    <w:ind w:left="0" w:right="0"/>
                    <w:rPr>
                      <w:rFonts w:hint="default"/>
                      <w:color w:val="auto"/>
                      <w:highlight w:val="none"/>
                    </w:rPr>
                  </w:pPr>
                  <w:r>
                    <w:rPr>
                      <w:rFonts w:hint="default"/>
                      <w:color w:val="auto"/>
                      <w:highlight w:val="none"/>
                      <w:lang w:val="en-US" w:eastAsia="zh-CN"/>
                    </w:rPr>
                    <w:t>900-249-08</w:t>
                  </w:r>
                </w:p>
              </w:tc>
              <w:tc>
                <w:tcPr>
                  <w:tcW w:w="729" w:type="dxa"/>
                  <w:shd w:val="clear" w:color="auto" w:fill="auto"/>
                  <w:noWrap/>
                  <w:vAlign w:val="center"/>
                </w:tcPr>
                <w:p w14:paraId="03E5D609">
                  <w:pPr>
                    <w:pStyle w:val="86"/>
                    <w:keepNext w:val="0"/>
                    <w:keepLines w:val="0"/>
                    <w:suppressLineNumbers w:val="0"/>
                    <w:bidi w:val="0"/>
                    <w:spacing w:before="0" w:beforeAutospacing="0" w:after="0" w:afterAutospacing="0"/>
                    <w:ind w:left="0" w:right="0"/>
                    <w:rPr>
                      <w:rFonts w:hint="default"/>
                      <w:color w:val="auto"/>
                      <w:highlight w:val="none"/>
                    </w:rPr>
                  </w:pPr>
                  <w:r>
                    <w:rPr>
                      <w:rFonts w:hint="default"/>
                      <w:color w:val="auto"/>
                      <w:highlight w:val="none"/>
                      <w:lang w:val="en-US" w:eastAsia="zh-CN"/>
                    </w:rPr>
                    <w:t>0.02</w:t>
                  </w:r>
                </w:p>
              </w:tc>
              <w:tc>
                <w:tcPr>
                  <w:tcW w:w="771" w:type="dxa"/>
                  <w:vMerge w:val="continue"/>
                  <w:shd w:val="clear" w:color="auto" w:fill="auto"/>
                  <w:noWrap/>
                  <w:vAlign w:val="center"/>
                </w:tcPr>
                <w:p w14:paraId="040553BC">
                  <w:pPr>
                    <w:pStyle w:val="86"/>
                    <w:keepNext w:val="0"/>
                    <w:keepLines w:val="0"/>
                    <w:suppressLineNumbers w:val="0"/>
                    <w:bidi w:val="0"/>
                    <w:spacing w:before="0" w:beforeAutospacing="0" w:after="0" w:afterAutospacing="0"/>
                    <w:ind w:left="0" w:right="0"/>
                    <w:rPr>
                      <w:rFonts w:hint="eastAsia"/>
                      <w:color w:val="auto"/>
                      <w:highlight w:val="none"/>
                    </w:rPr>
                  </w:pPr>
                </w:p>
              </w:tc>
              <w:tc>
                <w:tcPr>
                  <w:tcW w:w="730" w:type="dxa"/>
                  <w:shd w:val="clear" w:color="auto" w:fill="auto"/>
                  <w:noWrap/>
                  <w:vAlign w:val="center"/>
                </w:tcPr>
                <w:p w14:paraId="1595FECB">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有机物</w:t>
                  </w:r>
                </w:p>
              </w:tc>
              <w:tc>
                <w:tcPr>
                  <w:tcW w:w="757" w:type="dxa"/>
                  <w:shd w:val="clear" w:color="auto" w:fill="auto"/>
                  <w:noWrap/>
                  <w:vAlign w:val="center"/>
                </w:tcPr>
                <w:p w14:paraId="354C52DA">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有机物</w:t>
                  </w:r>
                </w:p>
              </w:tc>
              <w:tc>
                <w:tcPr>
                  <w:tcW w:w="660" w:type="dxa"/>
                  <w:shd w:val="clear" w:color="auto" w:fill="auto"/>
                  <w:noWrap/>
                  <w:vAlign w:val="center"/>
                </w:tcPr>
                <w:p w14:paraId="3EFE1A4D">
                  <w:pPr>
                    <w:pStyle w:val="86"/>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毒性、可燃性</w:t>
                  </w:r>
                </w:p>
              </w:tc>
              <w:tc>
                <w:tcPr>
                  <w:tcW w:w="716" w:type="dxa"/>
                  <w:shd w:val="clear" w:color="auto" w:fill="auto"/>
                  <w:noWrap/>
                  <w:vAlign w:val="center"/>
                </w:tcPr>
                <w:p w14:paraId="420F1A2A">
                  <w:pPr>
                    <w:pStyle w:val="86"/>
                    <w:keepNext w:val="0"/>
                    <w:keepLines w:val="0"/>
                    <w:suppressLineNumbers w:val="0"/>
                    <w:bidi w:val="0"/>
                    <w:spacing w:before="0" w:beforeAutospacing="0" w:after="0" w:afterAutospacing="0"/>
                    <w:ind w:left="0" w:right="0"/>
                    <w:rPr>
                      <w:rFonts w:hint="default"/>
                      <w:color w:val="auto"/>
                      <w:highlight w:val="none"/>
                    </w:rPr>
                  </w:pPr>
                  <w:r>
                    <w:rPr>
                      <w:rFonts w:hint="default"/>
                      <w:color w:val="auto"/>
                      <w:highlight w:val="none"/>
                      <w:lang w:val="en-US" w:eastAsia="zh-CN"/>
                    </w:rPr>
                    <w:t>1</w:t>
                  </w:r>
                  <w:r>
                    <w:rPr>
                      <w:rFonts w:hint="eastAsia"/>
                      <w:color w:val="auto"/>
                      <w:highlight w:val="none"/>
                      <w:lang w:val="en-US" w:eastAsia="zh-CN"/>
                    </w:rPr>
                    <w:t>年</w:t>
                  </w:r>
                </w:p>
              </w:tc>
              <w:tc>
                <w:tcPr>
                  <w:tcW w:w="903" w:type="dxa"/>
                  <w:vMerge w:val="continue"/>
                  <w:shd w:val="clear" w:color="auto" w:fill="auto"/>
                  <w:vAlign w:val="center"/>
                </w:tcPr>
                <w:p w14:paraId="2597D952">
                  <w:pPr>
                    <w:pStyle w:val="86"/>
                    <w:keepNext w:val="0"/>
                    <w:keepLines w:val="0"/>
                    <w:suppressLineNumbers w:val="0"/>
                    <w:bidi w:val="0"/>
                    <w:spacing w:before="0" w:beforeAutospacing="0" w:after="0" w:afterAutospacing="0"/>
                    <w:ind w:left="0" w:right="0"/>
                    <w:rPr>
                      <w:rFonts w:hint="eastAsia"/>
                      <w:color w:val="auto"/>
                      <w:highlight w:val="none"/>
                    </w:rPr>
                  </w:pPr>
                </w:p>
              </w:tc>
            </w:tr>
            <w:tr w14:paraId="191AB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427" w:type="dxa"/>
                  <w:shd w:val="clear" w:color="auto" w:fill="auto"/>
                  <w:noWrap/>
                  <w:vAlign w:val="center"/>
                </w:tcPr>
                <w:p w14:paraId="4A0E260A">
                  <w:pPr>
                    <w:pStyle w:val="86"/>
                    <w:keepNext w:val="0"/>
                    <w:keepLines w:val="0"/>
                    <w:suppressLineNumbers w:val="0"/>
                    <w:bidi w:val="0"/>
                    <w:spacing w:before="0" w:beforeAutospacing="0" w:after="0" w:afterAutospacing="0"/>
                    <w:ind w:left="0" w:right="0"/>
                    <w:rPr>
                      <w:rFonts w:hint="default"/>
                      <w:color w:val="auto"/>
                      <w:highlight w:val="none"/>
                      <w:lang w:val="en-US" w:eastAsia="zh-CN"/>
                    </w:rPr>
                  </w:pPr>
                  <w:r>
                    <w:rPr>
                      <w:rFonts w:hint="eastAsia"/>
                      <w:color w:val="auto"/>
                      <w:highlight w:val="none"/>
                      <w:lang w:val="en-US" w:eastAsia="zh-CN"/>
                    </w:rPr>
                    <w:t>3</w:t>
                  </w:r>
                </w:p>
              </w:tc>
              <w:tc>
                <w:tcPr>
                  <w:tcW w:w="786" w:type="dxa"/>
                  <w:shd w:val="clear" w:color="auto" w:fill="auto"/>
                  <w:noWrap/>
                  <w:vAlign w:val="center"/>
                </w:tcPr>
                <w:p w14:paraId="0AD928D7">
                  <w:pPr>
                    <w:pStyle w:val="86"/>
                    <w:keepNext w:val="0"/>
                    <w:keepLines w:val="0"/>
                    <w:suppressLineNumbers w:val="0"/>
                    <w:bidi w:val="0"/>
                    <w:spacing w:before="0" w:beforeAutospacing="0" w:after="0" w:afterAutospacing="0"/>
                    <w:ind w:left="0" w:right="0"/>
                    <w:rPr>
                      <w:rFonts w:hint="eastAsia"/>
                      <w:color w:val="auto"/>
                      <w:highlight w:val="none"/>
                      <w:lang w:val="en-US" w:eastAsia="zh-CN"/>
                    </w:rPr>
                  </w:pPr>
                  <w:r>
                    <w:rPr>
                      <w:rFonts w:hint="eastAsia"/>
                      <w:color w:val="auto"/>
                      <w:highlight w:val="none"/>
                      <w:lang w:val="en-US" w:eastAsia="zh-CN"/>
                    </w:rPr>
                    <w:t>含油抹布及手套</w:t>
                  </w:r>
                </w:p>
              </w:tc>
              <w:tc>
                <w:tcPr>
                  <w:tcW w:w="779" w:type="dxa"/>
                  <w:shd w:val="clear" w:color="auto" w:fill="auto"/>
                  <w:vAlign w:val="center"/>
                </w:tcPr>
                <w:p w14:paraId="1D8F2797">
                  <w:pPr>
                    <w:pStyle w:val="86"/>
                    <w:keepNext w:val="0"/>
                    <w:keepLines w:val="0"/>
                    <w:suppressLineNumbers w:val="0"/>
                    <w:bidi w:val="0"/>
                    <w:spacing w:before="0" w:beforeAutospacing="0" w:after="0" w:afterAutospacing="0"/>
                    <w:ind w:left="0" w:right="0"/>
                    <w:rPr>
                      <w:rFonts w:hint="default"/>
                      <w:color w:val="auto"/>
                      <w:highlight w:val="none"/>
                      <w:lang w:val="en-US" w:eastAsia="zh-CN"/>
                    </w:rPr>
                  </w:pPr>
                  <w:r>
                    <w:rPr>
                      <w:rFonts w:hint="eastAsia"/>
                      <w:color w:val="auto"/>
                      <w:highlight w:val="none"/>
                      <w:lang w:val="en-US" w:eastAsia="zh-CN"/>
                    </w:rPr>
                    <w:t>HW49</w:t>
                  </w:r>
                </w:p>
              </w:tc>
              <w:tc>
                <w:tcPr>
                  <w:tcW w:w="1196" w:type="dxa"/>
                  <w:shd w:val="clear" w:color="auto" w:fill="auto"/>
                  <w:noWrap/>
                  <w:vAlign w:val="center"/>
                </w:tcPr>
                <w:p w14:paraId="15CE38CC">
                  <w:pPr>
                    <w:pStyle w:val="86"/>
                    <w:keepNext w:val="0"/>
                    <w:keepLines w:val="0"/>
                    <w:suppressLineNumbers w:val="0"/>
                    <w:bidi w:val="0"/>
                    <w:spacing w:before="0" w:beforeAutospacing="0" w:after="0" w:afterAutospacing="0"/>
                    <w:ind w:left="0" w:right="0"/>
                    <w:rPr>
                      <w:rFonts w:hint="default"/>
                      <w:color w:val="auto"/>
                      <w:highlight w:val="none"/>
                      <w:lang w:val="en-US" w:eastAsia="zh-CN"/>
                    </w:rPr>
                  </w:pPr>
                  <w:r>
                    <w:rPr>
                      <w:rFonts w:hint="eastAsia"/>
                      <w:color w:val="auto"/>
                      <w:highlight w:val="none"/>
                      <w:lang w:val="en-US" w:eastAsia="zh-CN"/>
                    </w:rPr>
                    <w:t>900-041-49</w:t>
                  </w:r>
                </w:p>
              </w:tc>
              <w:tc>
                <w:tcPr>
                  <w:tcW w:w="729" w:type="dxa"/>
                  <w:shd w:val="clear" w:color="auto" w:fill="auto"/>
                  <w:noWrap/>
                  <w:vAlign w:val="center"/>
                </w:tcPr>
                <w:p w14:paraId="034D18C7">
                  <w:pPr>
                    <w:pStyle w:val="86"/>
                    <w:keepNext w:val="0"/>
                    <w:keepLines w:val="0"/>
                    <w:suppressLineNumbers w:val="0"/>
                    <w:bidi w:val="0"/>
                    <w:spacing w:before="0" w:beforeAutospacing="0" w:after="0" w:afterAutospacing="0"/>
                    <w:ind w:left="0" w:right="0"/>
                    <w:rPr>
                      <w:rFonts w:hint="default"/>
                      <w:color w:val="auto"/>
                      <w:highlight w:val="none"/>
                      <w:lang w:val="en-US" w:eastAsia="zh-CN"/>
                    </w:rPr>
                  </w:pPr>
                  <w:r>
                    <w:rPr>
                      <w:rFonts w:hint="eastAsia"/>
                      <w:color w:val="auto"/>
                      <w:highlight w:val="none"/>
                      <w:lang w:val="en-US" w:eastAsia="zh-CN"/>
                    </w:rPr>
                    <w:t>0.01</w:t>
                  </w:r>
                </w:p>
              </w:tc>
              <w:tc>
                <w:tcPr>
                  <w:tcW w:w="771" w:type="dxa"/>
                  <w:vMerge w:val="continue"/>
                  <w:shd w:val="clear" w:color="auto" w:fill="auto"/>
                  <w:noWrap/>
                  <w:vAlign w:val="center"/>
                </w:tcPr>
                <w:p w14:paraId="3DFEA14B">
                  <w:pPr>
                    <w:pStyle w:val="86"/>
                    <w:keepNext w:val="0"/>
                    <w:keepLines w:val="0"/>
                    <w:suppressLineNumbers w:val="0"/>
                    <w:bidi w:val="0"/>
                    <w:spacing w:before="0" w:beforeAutospacing="0" w:after="0" w:afterAutospacing="0"/>
                    <w:ind w:left="0" w:right="0"/>
                    <w:rPr>
                      <w:rFonts w:hint="eastAsia"/>
                      <w:color w:val="auto"/>
                      <w:highlight w:val="none"/>
                      <w:lang w:val="en-US" w:eastAsia="zh-CN"/>
                    </w:rPr>
                  </w:pPr>
                </w:p>
              </w:tc>
              <w:tc>
                <w:tcPr>
                  <w:tcW w:w="730" w:type="dxa"/>
                  <w:shd w:val="clear" w:color="auto" w:fill="auto"/>
                  <w:noWrap/>
                  <w:vAlign w:val="center"/>
                </w:tcPr>
                <w:p w14:paraId="5D03EB66">
                  <w:pPr>
                    <w:pStyle w:val="86"/>
                    <w:keepNext w:val="0"/>
                    <w:keepLines w:val="0"/>
                    <w:suppressLineNumbers w:val="0"/>
                    <w:bidi w:val="0"/>
                    <w:spacing w:before="0" w:beforeAutospacing="0" w:after="0" w:afterAutospacing="0"/>
                    <w:ind w:left="0" w:right="0"/>
                    <w:rPr>
                      <w:rFonts w:hint="eastAsia"/>
                      <w:color w:val="auto"/>
                      <w:highlight w:val="none"/>
                      <w:lang w:val="en-US" w:eastAsia="zh-CN"/>
                    </w:rPr>
                  </w:pPr>
                  <w:r>
                    <w:rPr>
                      <w:rFonts w:hint="eastAsia"/>
                      <w:color w:val="auto"/>
                      <w:highlight w:val="none"/>
                      <w:lang w:val="en-US" w:eastAsia="zh-CN"/>
                    </w:rPr>
                    <w:t>有机物</w:t>
                  </w:r>
                </w:p>
              </w:tc>
              <w:tc>
                <w:tcPr>
                  <w:tcW w:w="757" w:type="dxa"/>
                  <w:shd w:val="clear" w:color="auto" w:fill="auto"/>
                  <w:noWrap/>
                  <w:vAlign w:val="center"/>
                </w:tcPr>
                <w:p w14:paraId="4AF40446">
                  <w:pPr>
                    <w:pStyle w:val="86"/>
                    <w:keepNext w:val="0"/>
                    <w:keepLines w:val="0"/>
                    <w:suppressLineNumbers w:val="0"/>
                    <w:bidi w:val="0"/>
                    <w:spacing w:before="0" w:beforeAutospacing="0" w:after="0" w:afterAutospacing="0"/>
                    <w:ind w:left="0" w:right="0"/>
                    <w:rPr>
                      <w:rFonts w:hint="eastAsia"/>
                      <w:color w:val="auto"/>
                      <w:highlight w:val="none"/>
                      <w:lang w:val="en-US" w:eastAsia="zh-CN"/>
                    </w:rPr>
                  </w:pPr>
                  <w:r>
                    <w:rPr>
                      <w:rFonts w:hint="eastAsia"/>
                      <w:color w:val="auto"/>
                      <w:highlight w:val="none"/>
                      <w:lang w:val="en-US" w:eastAsia="zh-CN"/>
                    </w:rPr>
                    <w:t>有机物</w:t>
                  </w:r>
                </w:p>
              </w:tc>
              <w:tc>
                <w:tcPr>
                  <w:tcW w:w="660" w:type="dxa"/>
                  <w:shd w:val="clear" w:color="auto" w:fill="auto"/>
                  <w:noWrap/>
                  <w:vAlign w:val="center"/>
                </w:tcPr>
                <w:p w14:paraId="78134040">
                  <w:pPr>
                    <w:pStyle w:val="86"/>
                    <w:keepNext w:val="0"/>
                    <w:keepLines w:val="0"/>
                    <w:suppressLineNumbers w:val="0"/>
                    <w:bidi w:val="0"/>
                    <w:spacing w:before="0" w:beforeAutospacing="0" w:after="0" w:afterAutospacing="0"/>
                    <w:ind w:left="0" w:right="0"/>
                    <w:rPr>
                      <w:rFonts w:hint="eastAsia"/>
                      <w:color w:val="auto"/>
                      <w:highlight w:val="none"/>
                      <w:lang w:val="en-US" w:eastAsia="zh-CN"/>
                    </w:rPr>
                  </w:pPr>
                  <w:r>
                    <w:rPr>
                      <w:rFonts w:hint="eastAsia"/>
                      <w:color w:val="auto"/>
                      <w:highlight w:val="none"/>
                      <w:lang w:val="en-US" w:eastAsia="zh-CN"/>
                    </w:rPr>
                    <w:t>毒性、可燃性</w:t>
                  </w:r>
                </w:p>
              </w:tc>
              <w:tc>
                <w:tcPr>
                  <w:tcW w:w="716" w:type="dxa"/>
                  <w:shd w:val="clear" w:color="auto" w:fill="auto"/>
                  <w:noWrap/>
                  <w:vAlign w:val="center"/>
                </w:tcPr>
                <w:p w14:paraId="21220641">
                  <w:pPr>
                    <w:pStyle w:val="86"/>
                    <w:keepNext w:val="0"/>
                    <w:keepLines w:val="0"/>
                    <w:suppressLineNumbers w:val="0"/>
                    <w:bidi w:val="0"/>
                    <w:spacing w:before="0" w:beforeAutospacing="0" w:after="0" w:afterAutospacing="0"/>
                    <w:ind w:left="0" w:right="0"/>
                    <w:rPr>
                      <w:rFonts w:hint="default"/>
                      <w:color w:val="auto"/>
                      <w:highlight w:val="none"/>
                      <w:lang w:val="en-US" w:eastAsia="zh-CN"/>
                    </w:rPr>
                  </w:pPr>
                  <w:r>
                    <w:rPr>
                      <w:rFonts w:hint="default"/>
                      <w:color w:val="auto"/>
                      <w:highlight w:val="none"/>
                      <w:lang w:val="en-US" w:eastAsia="zh-CN"/>
                    </w:rPr>
                    <w:t>1</w:t>
                  </w:r>
                  <w:r>
                    <w:rPr>
                      <w:rFonts w:hint="eastAsia"/>
                      <w:color w:val="auto"/>
                      <w:highlight w:val="none"/>
                      <w:lang w:val="en-US" w:eastAsia="zh-CN"/>
                    </w:rPr>
                    <w:t>年</w:t>
                  </w:r>
                </w:p>
              </w:tc>
              <w:tc>
                <w:tcPr>
                  <w:tcW w:w="903" w:type="dxa"/>
                  <w:vMerge w:val="continue"/>
                  <w:shd w:val="clear" w:color="auto" w:fill="auto"/>
                  <w:vAlign w:val="center"/>
                </w:tcPr>
                <w:p w14:paraId="38064BAA">
                  <w:pPr>
                    <w:pStyle w:val="86"/>
                    <w:keepNext w:val="0"/>
                    <w:keepLines w:val="0"/>
                    <w:suppressLineNumbers w:val="0"/>
                    <w:bidi w:val="0"/>
                    <w:spacing w:before="0" w:beforeAutospacing="0" w:after="0" w:afterAutospacing="0"/>
                    <w:ind w:left="0" w:right="0"/>
                    <w:rPr>
                      <w:rFonts w:hint="eastAsia"/>
                      <w:color w:val="auto"/>
                      <w:highlight w:val="none"/>
                    </w:rPr>
                  </w:pPr>
                </w:p>
              </w:tc>
            </w:tr>
          </w:tbl>
          <w:p w14:paraId="76B20D7C">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yellow"/>
              </w:rPr>
            </w:pPr>
          </w:p>
          <w:p w14:paraId="0F8178E2">
            <w:pPr>
              <w:pStyle w:val="18"/>
              <w:keepNext w:val="0"/>
              <w:keepLines w:val="0"/>
              <w:suppressLineNumbers w:val="0"/>
              <w:spacing w:before="0" w:beforeAutospacing="0" w:after="0" w:afterAutospacing="0" w:line="240" w:lineRule="auto"/>
              <w:ind w:left="0" w:leftChars="0" w:right="0" w:firstLine="0" w:firstLineChars="0"/>
              <w:jc w:val="center"/>
              <w:rPr>
                <w:rFonts w:hint="eastAsia" w:eastAsia="宋体" w:cs="Times New Roman"/>
                <w:b/>
                <w:bCs/>
                <w:color w:val="auto"/>
                <w:kern w:val="2"/>
                <w:sz w:val="21"/>
                <w:szCs w:val="21"/>
                <w:highlight w:val="none"/>
                <w:u w:val="none" w:color="auto"/>
                <w:lang w:val="en-US" w:eastAsia="zh-CN" w:bidi="ar-SA"/>
              </w:rPr>
            </w:pPr>
            <w:bookmarkStart w:id="34" w:name="_Ref5090439"/>
            <w:r>
              <w:rPr>
                <w:rFonts w:hint="eastAsia" w:eastAsia="宋体" w:cs="Times New Roman"/>
                <w:b/>
                <w:bCs/>
                <w:color w:val="auto"/>
                <w:kern w:val="2"/>
                <w:sz w:val="21"/>
                <w:szCs w:val="21"/>
                <w:highlight w:val="none"/>
                <w:u w:val="none" w:color="auto"/>
                <w:lang w:val="en-US" w:eastAsia="zh-CN" w:bidi="ar-SA"/>
              </w:rPr>
              <w:t>表4-</w:t>
            </w:r>
            <w:r>
              <w:rPr>
                <w:rFonts w:hint="eastAsia" w:cs="Times New Roman"/>
                <w:b/>
                <w:bCs/>
                <w:color w:val="auto"/>
                <w:kern w:val="2"/>
                <w:sz w:val="21"/>
                <w:szCs w:val="21"/>
                <w:highlight w:val="none"/>
                <w:u w:val="none" w:color="auto"/>
                <w:lang w:val="en-US" w:eastAsia="zh-CN" w:bidi="ar-SA"/>
              </w:rPr>
              <w:t>20</w:t>
            </w:r>
            <w:r>
              <w:rPr>
                <w:rFonts w:hint="eastAsia" w:eastAsia="宋体" w:cs="Times New Roman"/>
                <w:b/>
                <w:bCs/>
                <w:color w:val="auto"/>
                <w:kern w:val="2"/>
                <w:sz w:val="21"/>
                <w:szCs w:val="21"/>
                <w:highlight w:val="none"/>
                <w:u w:val="none" w:color="auto"/>
                <w:lang w:val="en-US" w:eastAsia="zh-CN" w:bidi="ar-SA"/>
              </w:rPr>
              <w:t xml:space="preserve"> </w:t>
            </w:r>
            <w:r>
              <w:rPr>
                <w:rFonts w:hint="eastAsia" w:ascii="Times New Roman" w:hAnsi="Times New Roman" w:eastAsia="宋体" w:cs="Times New Roman"/>
                <w:b/>
                <w:bCs/>
                <w:color w:val="auto"/>
                <w:kern w:val="2"/>
                <w:sz w:val="21"/>
                <w:szCs w:val="21"/>
                <w:highlight w:val="none"/>
                <w:u w:val="none" w:color="auto"/>
                <w:lang w:val="en-US" w:eastAsia="zh-CN" w:bidi="ar-SA"/>
              </w:rPr>
              <w:t>固体废物暂存场所设置</w:t>
            </w:r>
            <w:r>
              <w:rPr>
                <w:rFonts w:hint="eastAsia" w:eastAsia="宋体" w:cs="Times New Roman"/>
                <w:b/>
                <w:bCs/>
                <w:color w:val="auto"/>
                <w:kern w:val="2"/>
                <w:sz w:val="21"/>
                <w:szCs w:val="21"/>
                <w:highlight w:val="none"/>
                <w:u w:val="none" w:color="auto"/>
                <w:lang w:val="en-US" w:eastAsia="zh-CN" w:bidi="ar-SA"/>
              </w:rPr>
              <w:t>情况</w:t>
            </w:r>
          </w:p>
          <w:tbl>
            <w:tblPr>
              <w:tblStyle w:val="28"/>
              <w:tblW w:w="84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307"/>
              <w:gridCol w:w="1780"/>
              <w:gridCol w:w="1947"/>
              <w:gridCol w:w="1103"/>
              <w:gridCol w:w="1227"/>
              <w:gridCol w:w="1131"/>
            </w:tblGrid>
            <w:tr w14:paraId="4A3D7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769" w:type="pct"/>
                  <w:shd w:val="clear" w:color="auto" w:fill="auto"/>
                  <w:vAlign w:val="center"/>
                </w:tcPr>
                <w:p w14:paraId="4952D854">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固体废物贮存场所</w:t>
                  </w:r>
                </w:p>
              </w:tc>
              <w:tc>
                <w:tcPr>
                  <w:tcW w:w="1047" w:type="pct"/>
                  <w:shd w:val="clear" w:color="auto" w:fill="auto"/>
                  <w:vAlign w:val="center"/>
                </w:tcPr>
                <w:p w14:paraId="5C7BAA12">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基本情况</w:t>
                  </w:r>
                </w:p>
              </w:tc>
              <w:tc>
                <w:tcPr>
                  <w:tcW w:w="1145" w:type="pct"/>
                  <w:shd w:val="clear" w:color="auto" w:fill="auto"/>
                  <w:vAlign w:val="center"/>
                </w:tcPr>
                <w:p w14:paraId="7872511B">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贮存废物名称</w:t>
                  </w:r>
                </w:p>
              </w:tc>
              <w:tc>
                <w:tcPr>
                  <w:tcW w:w="649" w:type="pct"/>
                  <w:shd w:val="clear" w:color="auto" w:fill="auto"/>
                  <w:vAlign w:val="center"/>
                </w:tcPr>
                <w:p w14:paraId="02A9DB4C">
                  <w:pPr>
                    <w:pStyle w:val="37"/>
                    <w:keepNext w:val="0"/>
                    <w:keepLines w:val="0"/>
                    <w:suppressLineNumbers w:val="0"/>
                    <w:bidi w:val="0"/>
                    <w:spacing w:before="0" w:beforeAutospacing="0" w:after="0" w:afterAutospacing="0"/>
                    <w:ind w:left="0" w:right="0"/>
                    <w:rPr>
                      <w:rFonts w:hint="default"/>
                      <w:b/>
                      <w:bCs/>
                      <w:color w:val="auto"/>
                      <w:highlight w:val="none"/>
                      <w:u w:val="none" w:color="auto"/>
                      <w:lang w:val="en-US"/>
                    </w:rPr>
                  </w:pPr>
                  <w:r>
                    <w:rPr>
                      <w:rFonts w:hint="eastAsia"/>
                      <w:b/>
                      <w:bCs/>
                      <w:color w:val="auto"/>
                      <w:highlight w:val="none"/>
                      <w:u w:val="none" w:color="auto"/>
                      <w:lang w:val="en-US" w:eastAsia="zh-CN"/>
                    </w:rPr>
                    <w:t>产生量t</w:t>
                  </w:r>
                </w:p>
              </w:tc>
              <w:tc>
                <w:tcPr>
                  <w:tcW w:w="722" w:type="pct"/>
                  <w:shd w:val="clear" w:color="auto" w:fill="auto"/>
                  <w:vAlign w:val="center"/>
                </w:tcPr>
                <w:p w14:paraId="7FE91458">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贮存方式</w:t>
                  </w:r>
                </w:p>
              </w:tc>
              <w:tc>
                <w:tcPr>
                  <w:tcW w:w="665" w:type="pct"/>
                  <w:shd w:val="clear" w:color="auto" w:fill="auto"/>
                  <w:vAlign w:val="center"/>
                </w:tcPr>
                <w:p w14:paraId="267CD444">
                  <w:pPr>
                    <w:pStyle w:val="37"/>
                    <w:keepNext w:val="0"/>
                    <w:keepLines w:val="0"/>
                    <w:suppressLineNumbers w:val="0"/>
                    <w:bidi w:val="0"/>
                    <w:spacing w:before="0" w:beforeAutospacing="0" w:after="0" w:afterAutospacing="0"/>
                    <w:ind w:left="0" w:right="0"/>
                    <w:rPr>
                      <w:rFonts w:hint="eastAsia"/>
                      <w:b/>
                      <w:bCs/>
                      <w:color w:val="auto"/>
                      <w:highlight w:val="none"/>
                      <w:u w:val="none" w:color="auto"/>
                    </w:rPr>
                  </w:pPr>
                  <w:r>
                    <w:rPr>
                      <w:rFonts w:hint="eastAsia"/>
                      <w:b/>
                      <w:bCs/>
                      <w:color w:val="auto"/>
                      <w:highlight w:val="none"/>
                      <w:u w:val="none" w:color="auto"/>
                      <w:lang w:val="en-US" w:eastAsia="zh-CN"/>
                    </w:rPr>
                    <w:t>贮存周期</w:t>
                  </w:r>
                </w:p>
              </w:tc>
            </w:tr>
            <w:tr w14:paraId="57871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769" w:type="pct"/>
                  <w:vMerge w:val="restart"/>
                  <w:shd w:val="clear" w:color="auto" w:fill="auto"/>
                  <w:vAlign w:val="center"/>
                </w:tcPr>
                <w:p w14:paraId="68F72E10">
                  <w:pPr>
                    <w:pStyle w:val="37"/>
                    <w:keepNext w:val="0"/>
                    <w:keepLines w:val="0"/>
                    <w:suppressLineNumbers w:val="0"/>
                    <w:bidi w:val="0"/>
                    <w:spacing w:before="0" w:beforeAutospacing="0" w:after="0" w:afterAutospacing="0"/>
                    <w:ind w:left="0" w:right="0"/>
                    <w:rPr>
                      <w:rFonts w:hint="eastAsia"/>
                      <w:color w:val="auto"/>
                      <w:highlight w:val="none"/>
                      <w:u w:val="none" w:color="auto"/>
                    </w:rPr>
                  </w:pPr>
                  <w:r>
                    <w:rPr>
                      <w:rFonts w:hint="eastAsia"/>
                      <w:color w:val="auto"/>
                      <w:highlight w:val="none"/>
                      <w:u w:val="none" w:color="auto"/>
                      <w:lang w:val="en-US" w:eastAsia="zh-CN"/>
                    </w:rPr>
                    <w:t>一般固体废物暂存区</w:t>
                  </w:r>
                </w:p>
              </w:tc>
              <w:tc>
                <w:tcPr>
                  <w:tcW w:w="1047" w:type="pct"/>
                  <w:vMerge w:val="restart"/>
                  <w:shd w:val="clear" w:color="auto" w:fill="auto"/>
                  <w:vAlign w:val="center"/>
                </w:tcPr>
                <w:p w14:paraId="4D84D25C">
                  <w:pPr>
                    <w:pStyle w:val="37"/>
                    <w:keepNext w:val="0"/>
                    <w:keepLines w:val="0"/>
                    <w:suppressLineNumbers w:val="0"/>
                    <w:bidi w:val="0"/>
                    <w:spacing w:before="0" w:beforeAutospacing="0" w:after="0" w:afterAutospacing="0"/>
                    <w:ind w:left="0" w:right="0"/>
                    <w:rPr>
                      <w:rFonts w:hint="eastAsia"/>
                      <w:color w:val="auto"/>
                      <w:highlight w:val="none"/>
                      <w:u w:val="none" w:color="auto"/>
                    </w:rPr>
                  </w:pPr>
                  <w:r>
                    <w:rPr>
                      <w:rFonts w:hint="eastAsia"/>
                      <w:color w:val="auto"/>
                      <w:highlight w:val="none"/>
                      <w:u w:val="none" w:color="auto"/>
                      <w:lang w:val="en-US" w:eastAsia="zh-CN"/>
                    </w:rPr>
                    <w:t>占地约20</w:t>
                  </w:r>
                  <w:r>
                    <w:rPr>
                      <w:rFonts w:hint="default"/>
                      <w:color w:val="auto"/>
                      <w:highlight w:val="none"/>
                      <w:u w:val="none" w:color="auto"/>
                      <w:lang w:val="en-US" w:eastAsia="zh-CN"/>
                    </w:rPr>
                    <w:t>m</w:t>
                  </w:r>
                  <w:r>
                    <w:rPr>
                      <w:rFonts w:hint="default"/>
                      <w:color w:val="auto"/>
                      <w:highlight w:val="none"/>
                      <w:u w:val="none" w:color="auto"/>
                      <w:vertAlign w:val="superscript"/>
                      <w:lang w:val="en-US" w:eastAsia="zh-CN"/>
                    </w:rPr>
                    <w:t>2</w:t>
                  </w:r>
                  <w:r>
                    <w:rPr>
                      <w:rFonts w:hint="eastAsia"/>
                      <w:color w:val="auto"/>
                      <w:highlight w:val="none"/>
                      <w:u w:val="none" w:color="auto"/>
                      <w:lang w:val="en-US" w:eastAsia="zh-CN"/>
                    </w:rPr>
                    <w:t>，贮存能力约20</w:t>
                  </w:r>
                  <w:r>
                    <w:rPr>
                      <w:rFonts w:hint="default"/>
                      <w:color w:val="auto"/>
                      <w:highlight w:val="none"/>
                      <w:u w:val="none" w:color="auto"/>
                      <w:lang w:val="en-US" w:eastAsia="zh-CN"/>
                    </w:rPr>
                    <w:t>t/a</w:t>
                  </w:r>
                </w:p>
              </w:tc>
              <w:tc>
                <w:tcPr>
                  <w:tcW w:w="1145" w:type="pct"/>
                  <w:shd w:val="clear" w:color="auto" w:fill="auto"/>
                  <w:vAlign w:val="center"/>
                </w:tcPr>
                <w:p w14:paraId="2C960A1C">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废包装物</w:t>
                  </w:r>
                </w:p>
              </w:tc>
              <w:tc>
                <w:tcPr>
                  <w:tcW w:w="649" w:type="pct"/>
                  <w:shd w:val="clear" w:color="auto" w:fill="auto"/>
                  <w:vAlign w:val="center"/>
                </w:tcPr>
                <w:p w14:paraId="6C5B9E39">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0.5</w:t>
                  </w:r>
                </w:p>
              </w:tc>
              <w:tc>
                <w:tcPr>
                  <w:tcW w:w="722" w:type="pct"/>
                  <w:shd w:val="clear" w:color="auto" w:fill="auto"/>
                  <w:vAlign w:val="center"/>
                </w:tcPr>
                <w:p w14:paraId="5A73E7E3">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袋装</w:t>
                  </w:r>
                </w:p>
              </w:tc>
              <w:tc>
                <w:tcPr>
                  <w:tcW w:w="665" w:type="pct"/>
                  <w:shd w:val="clear" w:color="auto" w:fill="auto"/>
                  <w:vAlign w:val="center"/>
                </w:tcPr>
                <w:p w14:paraId="5522169E">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一年</w:t>
                  </w:r>
                </w:p>
              </w:tc>
            </w:tr>
            <w:tr w14:paraId="28CAA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769" w:type="pct"/>
                  <w:vMerge w:val="continue"/>
                  <w:shd w:val="clear" w:color="auto" w:fill="auto"/>
                  <w:vAlign w:val="center"/>
                </w:tcPr>
                <w:p w14:paraId="06A406E2">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047" w:type="pct"/>
                  <w:vMerge w:val="continue"/>
                  <w:shd w:val="clear" w:color="auto" w:fill="auto"/>
                  <w:vAlign w:val="center"/>
                </w:tcPr>
                <w:p w14:paraId="43397039">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145" w:type="pct"/>
                  <w:shd w:val="clear" w:color="auto" w:fill="auto"/>
                  <w:vAlign w:val="center"/>
                </w:tcPr>
                <w:p w14:paraId="2B8DCD32">
                  <w:pPr>
                    <w:pStyle w:val="37"/>
                    <w:keepNext w:val="0"/>
                    <w:keepLines w:val="0"/>
                    <w:suppressLineNumbers w:val="0"/>
                    <w:bidi w:val="0"/>
                    <w:spacing w:before="0" w:beforeAutospacing="0" w:after="0" w:afterAutospacing="0"/>
                    <w:ind w:left="0" w:leftChars="0" w:right="0" w:rightChars="0"/>
                    <w:rPr>
                      <w:rFonts w:hint="default"/>
                      <w:color w:val="auto"/>
                      <w:highlight w:val="none"/>
                      <w:u w:val="none" w:color="auto"/>
                      <w:lang w:val="en-US" w:eastAsia="zh-CN"/>
                    </w:rPr>
                  </w:pPr>
                  <w:r>
                    <w:rPr>
                      <w:rFonts w:hint="eastAsia"/>
                      <w:color w:val="auto"/>
                      <w:highlight w:val="none"/>
                      <w:u w:val="none" w:color="auto"/>
                      <w:lang w:val="en-US" w:eastAsia="zh-CN"/>
                    </w:rPr>
                    <w:t>生物质锅炉收尘灰</w:t>
                  </w:r>
                </w:p>
              </w:tc>
              <w:tc>
                <w:tcPr>
                  <w:tcW w:w="649" w:type="pct"/>
                  <w:shd w:val="clear" w:color="auto" w:fill="auto"/>
                  <w:vAlign w:val="center"/>
                </w:tcPr>
                <w:p w14:paraId="214326B5">
                  <w:pPr>
                    <w:pStyle w:val="37"/>
                    <w:keepNext w:val="0"/>
                    <w:keepLines w:val="0"/>
                    <w:suppressLineNumbers w:val="0"/>
                    <w:bidi w:val="0"/>
                    <w:spacing w:before="0" w:beforeAutospacing="0" w:after="0" w:afterAutospacing="0"/>
                    <w:ind w:left="0" w:leftChars="0" w:right="0" w:rightChars="0"/>
                    <w:rPr>
                      <w:rFonts w:hint="default"/>
                      <w:color w:val="auto"/>
                      <w:highlight w:val="none"/>
                      <w:u w:val="none" w:color="auto"/>
                      <w:lang w:val="en-US" w:eastAsia="zh-CN"/>
                    </w:rPr>
                  </w:pPr>
                  <w:r>
                    <w:rPr>
                      <w:rFonts w:hint="eastAsia"/>
                      <w:color w:val="auto"/>
                      <w:highlight w:val="none"/>
                      <w:u w:val="none" w:color="auto"/>
                      <w:lang w:val="en-US" w:eastAsia="zh-CN"/>
                    </w:rPr>
                    <w:t>0.064</w:t>
                  </w:r>
                </w:p>
              </w:tc>
              <w:tc>
                <w:tcPr>
                  <w:tcW w:w="722" w:type="pct"/>
                  <w:shd w:val="clear" w:color="auto" w:fill="auto"/>
                  <w:vAlign w:val="center"/>
                </w:tcPr>
                <w:p w14:paraId="18EC197A">
                  <w:pPr>
                    <w:pStyle w:val="37"/>
                    <w:keepNext w:val="0"/>
                    <w:keepLines w:val="0"/>
                    <w:suppressLineNumbers w:val="0"/>
                    <w:bidi w:val="0"/>
                    <w:spacing w:before="0" w:beforeAutospacing="0" w:after="0" w:afterAutospacing="0"/>
                    <w:ind w:left="0" w:leftChars="0" w:right="0" w:rightChars="0"/>
                    <w:rPr>
                      <w:rFonts w:hint="eastAsia"/>
                      <w:color w:val="auto"/>
                      <w:highlight w:val="none"/>
                      <w:u w:val="none" w:color="auto"/>
                      <w:lang w:val="en-US" w:eastAsia="zh-CN"/>
                    </w:rPr>
                  </w:pPr>
                  <w:r>
                    <w:rPr>
                      <w:rFonts w:hint="eastAsia"/>
                      <w:color w:val="auto"/>
                      <w:highlight w:val="none"/>
                      <w:u w:val="none" w:color="auto"/>
                      <w:lang w:val="en-US" w:eastAsia="zh-CN"/>
                    </w:rPr>
                    <w:t>袋装</w:t>
                  </w:r>
                </w:p>
              </w:tc>
              <w:tc>
                <w:tcPr>
                  <w:tcW w:w="665" w:type="pct"/>
                  <w:shd w:val="clear" w:color="auto" w:fill="auto"/>
                  <w:vAlign w:val="center"/>
                </w:tcPr>
                <w:p w14:paraId="46B04AA9">
                  <w:pPr>
                    <w:pStyle w:val="37"/>
                    <w:keepNext w:val="0"/>
                    <w:keepLines w:val="0"/>
                    <w:suppressLineNumbers w:val="0"/>
                    <w:bidi w:val="0"/>
                    <w:spacing w:before="0" w:beforeAutospacing="0" w:after="0" w:afterAutospacing="0"/>
                    <w:ind w:left="0" w:leftChars="0" w:right="0" w:rightChars="0"/>
                    <w:rPr>
                      <w:rFonts w:hint="eastAsia"/>
                      <w:color w:val="auto"/>
                      <w:highlight w:val="none"/>
                      <w:u w:val="none" w:color="auto"/>
                      <w:lang w:val="en-US" w:eastAsia="zh-CN"/>
                    </w:rPr>
                  </w:pPr>
                  <w:r>
                    <w:rPr>
                      <w:rFonts w:hint="eastAsia"/>
                      <w:color w:val="auto"/>
                      <w:highlight w:val="none"/>
                      <w:u w:val="none" w:color="auto"/>
                      <w:lang w:val="en-US" w:eastAsia="zh-CN"/>
                    </w:rPr>
                    <w:t>一年</w:t>
                  </w:r>
                </w:p>
              </w:tc>
            </w:tr>
            <w:tr w14:paraId="6FB5D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769" w:type="pct"/>
                  <w:vMerge w:val="continue"/>
                  <w:shd w:val="clear" w:color="auto" w:fill="auto"/>
                  <w:vAlign w:val="center"/>
                </w:tcPr>
                <w:p w14:paraId="104A32C6">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047" w:type="pct"/>
                  <w:vMerge w:val="continue"/>
                  <w:shd w:val="clear" w:color="auto" w:fill="auto"/>
                  <w:vAlign w:val="center"/>
                </w:tcPr>
                <w:p w14:paraId="5E0E5F12">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145" w:type="pct"/>
                  <w:shd w:val="clear" w:color="auto" w:fill="auto"/>
                  <w:vAlign w:val="center"/>
                </w:tcPr>
                <w:p w14:paraId="7A258131">
                  <w:pPr>
                    <w:pStyle w:val="37"/>
                    <w:keepNext w:val="0"/>
                    <w:keepLines w:val="0"/>
                    <w:suppressLineNumbers w:val="0"/>
                    <w:bidi w:val="0"/>
                    <w:spacing w:before="0" w:beforeAutospacing="0" w:after="0" w:afterAutospacing="0"/>
                    <w:ind w:left="0" w:leftChars="0" w:right="0" w:rightChars="0"/>
                    <w:rPr>
                      <w:rFonts w:hint="default"/>
                      <w:color w:val="auto"/>
                      <w:highlight w:val="none"/>
                      <w:u w:val="none" w:color="auto"/>
                      <w:lang w:val="en-US" w:eastAsia="zh-CN"/>
                    </w:rPr>
                  </w:pPr>
                  <w:r>
                    <w:rPr>
                      <w:rFonts w:hint="eastAsia"/>
                      <w:color w:val="auto"/>
                      <w:highlight w:val="none"/>
                      <w:u w:val="none" w:color="auto"/>
                      <w:lang w:val="en-US" w:eastAsia="zh-CN"/>
                    </w:rPr>
                    <w:t>生物质锅炉炉渣</w:t>
                  </w:r>
                </w:p>
              </w:tc>
              <w:tc>
                <w:tcPr>
                  <w:tcW w:w="649" w:type="pct"/>
                  <w:shd w:val="clear" w:color="auto" w:fill="auto"/>
                  <w:vAlign w:val="center"/>
                </w:tcPr>
                <w:p w14:paraId="45551C9D">
                  <w:pPr>
                    <w:pStyle w:val="37"/>
                    <w:keepNext w:val="0"/>
                    <w:keepLines w:val="0"/>
                    <w:suppressLineNumbers w:val="0"/>
                    <w:bidi w:val="0"/>
                    <w:spacing w:before="0" w:beforeAutospacing="0" w:after="0" w:afterAutospacing="0"/>
                    <w:ind w:left="0" w:leftChars="0" w:right="0" w:rightChars="0"/>
                    <w:rPr>
                      <w:rFonts w:hint="default"/>
                      <w:color w:val="auto"/>
                      <w:highlight w:val="none"/>
                      <w:u w:val="none" w:color="auto"/>
                      <w:lang w:val="en-US" w:eastAsia="zh-CN"/>
                    </w:rPr>
                  </w:pPr>
                  <w:r>
                    <w:rPr>
                      <w:rFonts w:hint="eastAsia"/>
                      <w:color w:val="auto"/>
                      <w:highlight w:val="none"/>
                      <w:u w:val="none" w:color="auto"/>
                      <w:lang w:val="en-US" w:eastAsia="zh-CN"/>
                    </w:rPr>
                    <w:t>6.11</w:t>
                  </w:r>
                </w:p>
              </w:tc>
              <w:tc>
                <w:tcPr>
                  <w:tcW w:w="722" w:type="pct"/>
                  <w:shd w:val="clear" w:color="auto" w:fill="auto"/>
                  <w:vAlign w:val="center"/>
                </w:tcPr>
                <w:p w14:paraId="098C6CFF">
                  <w:pPr>
                    <w:pStyle w:val="37"/>
                    <w:keepNext w:val="0"/>
                    <w:keepLines w:val="0"/>
                    <w:suppressLineNumbers w:val="0"/>
                    <w:bidi w:val="0"/>
                    <w:spacing w:before="0" w:beforeAutospacing="0" w:after="0" w:afterAutospacing="0"/>
                    <w:ind w:left="0" w:leftChars="0" w:right="0" w:rightChars="0"/>
                    <w:rPr>
                      <w:rFonts w:hint="eastAsia"/>
                      <w:color w:val="auto"/>
                      <w:highlight w:val="none"/>
                      <w:u w:val="none" w:color="auto"/>
                      <w:lang w:val="en-US" w:eastAsia="zh-CN"/>
                    </w:rPr>
                  </w:pPr>
                  <w:r>
                    <w:rPr>
                      <w:rFonts w:hint="eastAsia"/>
                      <w:color w:val="auto"/>
                      <w:highlight w:val="none"/>
                      <w:u w:val="none" w:color="auto"/>
                      <w:lang w:val="en-US" w:eastAsia="zh-CN"/>
                    </w:rPr>
                    <w:t>袋装</w:t>
                  </w:r>
                </w:p>
              </w:tc>
              <w:tc>
                <w:tcPr>
                  <w:tcW w:w="665" w:type="pct"/>
                  <w:shd w:val="clear" w:color="auto" w:fill="auto"/>
                  <w:vAlign w:val="center"/>
                </w:tcPr>
                <w:p w14:paraId="593CC3A8">
                  <w:pPr>
                    <w:pStyle w:val="37"/>
                    <w:keepNext w:val="0"/>
                    <w:keepLines w:val="0"/>
                    <w:suppressLineNumbers w:val="0"/>
                    <w:bidi w:val="0"/>
                    <w:spacing w:before="0" w:beforeAutospacing="0" w:after="0" w:afterAutospacing="0"/>
                    <w:ind w:left="0" w:leftChars="0" w:right="0" w:rightChars="0"/>
                    <w:rPr>
                      <w:rFonts w:hint="eastAsia"/>
                      <w:color w:val="auto"/>
                      <w:highlight w:val="none"/>
                      <w:u w:val="none" w:color="auto"/>
                      <w:lang w:val="en-US" w:eastAsia="zh-CN"/>
                    </w:rPr>
                  </w:pPr>
                  <w:r>
                    <w:rPr>
                      <w:rFonts w:hint="eastAsia"/>
                      <w:color w:val="auto"/>
                      <w:highlight w:val="none"/>
                      <w:u w:val="none" w:color="auto"/>
                      <w:lang w:val="en-US" w:eastAsia="zh-CN"/>
                    </w:rPr>
                    <w:t>一年</w:t>
                  </w:r>
                </w:p>
              </w:tc>
            </w:tr>
            <w:tr w14:paraId="6F694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769" w:type="pct"/>
                  <w:vMerge w:val="restart"/>
                  <w:shd w:val="clear" w:color="auto" w:fill="auto"/>
                  <w:vAlign w:val="center"/>
                </w:tcPr>
                <w:p w14:paraId="0C33136A">
                  <w:pPr>
                    <w:pStyle w:val="37"/>
                    <w:keepNext w:val="0"/>
                    <w:keepLines w:val="0"/>
                    <w:suppressLineNumbers w:val="0"/>
                    <w:bidi w:val="0"/>
                    <w:spacing w:before="0" w:beforeAutospacing="0" w:after="0" w:afterAutospacing="0"/>
                    <w:ind w:left="0" w:right="0"/>
                    <w:rPr>
                      <w:rFonts w:hint="eastAsia"/>
                      <w:color w:val="auto"/>
                      <w:highlight w:val="none"/>
                      <w:u w:val="none" w:color="auto"/>
                    </w:rPr>
                  </w:pPr>
                  <w:r>
                    <w:rPr>
                      <w:rFonts w:hint="eastAsia"/>
                      <w:color w:val="auto"/>
                      <w:highlight w:val="none"/>
                      <w:u w:val="none" w:color="auto"/>
                      <w:lang w:val="en-US" w:eastAsia="zh-CN"/>
                    </w:rPr>
                    <w:t>危险废物暂存间</w:t>
                  </w:r>
                </w:p>
              </w:tc>
              <w:tc>
                <w:tcPr>
                  <w:tcW w:w="1047" w:type="pct"/>
                  <w:vMerge w:val="restart"/>
                  <w:shd w:val="clear" w:color="auto" w:fill="auto"/>
                  <w:vAlign w:val="center"/>
                </w:tcPr>
                <w:p w14:paraId="49C63399">
                  <w:pPr>
                    <w:pStyle w:val="37"/>
                    <w:keepNext w:val="0"/>
                    <w:keepLines w:val="0"/>
                    <w:suppressLineNumbers w:val="0"/>
                    <w:bidi w:val="0"/>
                    <w:spacing w:before="0" w:beforeAutospacing="0" w:after="0" w:afterAutospacing="0"/>
                    <w:ind w:left="0" w:right="0"/>
                    <w:rPr>
                      <w:rFonts w:hint="eastAsia"/>
                      <w:color w:val="auto"/>
                      <w:highlight w:val="none"/>
                      <w:u w:val="none" w:color="auto"/>
                    </w:rPr>
                  </w:pPr>
                  <w:r>
                    <w:rPr>
                      <w:rFonts w:hint="eastAsia"/>
                      <w:color w:val="auto"/>
                      <w:highlight w:val="none"/>
                      <w:u w:val="none" w:color="auto"/>
                      <w:lang w:val="en-US" w:eastAsia="zh-CN"/>
                    </w:rPr>
                    <w:t>占地约10m</w:t>
                  </w:r>
                  <w:r>
                    <w:rPr>
                      <w:rFonts w:hint="eastAsia"/>
                      <w:color w:val="auto"/>
                      <w:highlight w:val="none"/>
                      <w:u w:val="none" w:color="auto"/>
                      <w:vertAlign w:val="superscript"/>
                      <w:lang w:val="en-US" w:eastAsia="zh-CN"/>
                    </w:rPr>
                    <w:t>2</w:t>
                  </w:r>
                  <w:r>
                    <w:rPr>
                      <w:rFonts w:hint="eastAsia"/>
                      <w:color w:val="auto"/>
                      <w:highlight w:val="none"/>
                      <w:u w:val="none" w:color="auto"/>
                      <w:lang w:val="en-US" w:eastAsia="zh-CN"/>
                    </w:rPr>
                    <w:t>，贮存能力约10t/a</w:t>
                  </w:r>
                </w:p>
              </w:tc>
              <w:tc>
                <w:tcPr>
                  <w:tcW w:w="1145" w:type="pct"/>
                  <w:shd w:val="clear" w:color="auto" w:fill="auto"/>
                  <w:vAlign w:val="center"/>
                </w:tcPr>
                <w:p w14:paraId="317BC0FB">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废机油</w:t>
                  </w:r>
                </w:p>
              </w:tc>
              <w:tc>
                <w:tcPr>
                  <w:tcW w:w="649" w:type="pct"/>
                  <w:shd w:val="clear" w:color="auto" w:fill="auto"/>
                  <w:vAlign w:val="center"/>
                </w:tcPr>
                <w:p w14:paraId="67688ECF">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0.01</w:t>
                  </w:r>
                </w:p>
              </w:tc>
              <w:tc>
                <w:tcPr>
                  <w:tcW w:w="722" w:type="pct"/>
                  <w:shd w:val="clear" w:color="auto" w:fill="auto"/>
                  <w:vAlign w:val="center"/>
                </w:tcPr>
                <w:p w14:paraId="5C58F286">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桶装、托盘</w:t>
                  </w:r>
                </w:p>
              </w:tc>
              <w:tc>
                <w:tcPr>
                  <w:tcW w:w="665" w:type="pct"/>
                  <w:shd w:val="clear" w:color="auto" w:fill="auto"/>
                  <w:vAlign w:val="center"/>
                </w:tcPr>
                <w:p w14:paraId="59A6B7C2">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一年</w:t>
                  </w:r>
                </w:p>
              </w:tc>
            </w:tr>
            <w:tr w14:paraId="0C39E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769" w:type="pct"/>
                  <w:vMerge w:val="continue"/>
                  <w:shd w:val="clear" w:color="auto" w:fill="auto"/>
                  <w:vAlign w:val="center"/>
                </w:tcPr>
                <w:p w14:paraId="666575F8">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047" w:type="pct"/>
                  <w:vMerge w:val="continue"/>
                  <w:shd w:val="clear" w:color="auto" w:fill="auto"/>
                  <w:vAlign w:val="center"/>
                </w:tcPr>
                <w:p w14:paraId="5172ECF6">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145" w:type="pct"/>
                  <w:shd w:val="clear" w:color="auto" w:fill="auto"/>
                  <w:vAlign w:val="center"/>
                </w:tcPr>
                <w:p w14:paraId="5D6011AB">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废油桶</w:t>
                  </w:r>
                </w:p>
              </w:tc>
              <w:tc>
                <w:tcPr>
                  <w:tcW w:w="649" w:type="pct"/>
                  <w:shd w:val="clear" w:color="auto" w:fill="auto"/>
                  <w:vAlign w:val="center"/>
                </w:tcPr>
                <w:p w14:paraId="09D39A61">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0.02</w:t>
                  </w:r>
                </w:p>
              </w:tc>
              <w:tc>
                <w:tcPr>
                  <w:tcW w:w="722" w:type="pct"/>
                  <w:shd w:val="clear" w:color="auto" w:fill="auto"/>
                  <w:vAlign w:val="center"/>
                </w:tcPr>
                <w:p w14:paraId="1353B777">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托盘</w:t>
                  </w:r>
                </w:p>
              </w:tc>
              <w:tc>
                <w:tcPr>
                  <w:tcW w:w="665" w:type="pct"/>
                  <w:shd w:val="clear" w:color="auto" w:fill="auto"/>
                  <w:vAlign w:val="center"/>
                </w:tcPr>
                <w:p w14:paraId="2298BCAD">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一年</w:t>
                  </w:r>
                </w:p>
              </w:tc>
            </w:tr>
            <w:tr w14:paraId="4676D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769" w:type="pct"/>
                  <w:vMerge w:val="continue"/>
                  <w:shd w:val="clear" w:color="auto" w:fill="auto"/>
                  <w:vAlign w:val="center"/>
                </w:tcPr>
                <w:p w14:paraId="1338554E">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047" w:type="pct"/>
                  <w:vMerge w:val="continue"/>
                  <w:shd w:val="clear" w:color="auto" w:fill="auto"/>
                  <w:vAlign w:val="center"/>
                </w:tcPr>
                <w:p w14:paraId="1214C9A5">
                  <w:pPr>
                    <w:pStyle w:val="37"/>
                    <w:keepNext w:val="0"/>
                    <w:keepLines w:val="0"/>
                    <w:suppressLineNumbers w:val="0"/>
                    <w:bidi w:val="0"/>
                    <w:spacing w:before="0" w:beforeAutospacing="0" w:after="0" w:afterAutospacing="0"/>
                    <w:ind w:left="0" w:right="0"/>
                    <w:rPr>
                      <w:rFonts w:hint="eastAsia"/>
                      <w:color w:val="auto"/>
                      <w:highlight w:val="none"/>
                      <w:u w:val="none" w:color="auto"/>
                      <w:lang w:val="en-US" w:eastAsia="zh-CN"/>
                    </w:rPr>
                  </w:pPr>
                </w:p>
              </w:tc>
              <w:tc>
                <w:tcPr>
                  <w:tcW w:w="1145" w:type="pct"/>
                  <w:shd w:val="clear" w:color="auto" w:fill="auto"/>
                  <w:vAlign w:val="center"/>
                </w:tcPr>
                <w:p w14:paraId="38B464D0">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含油抹布及手套</w:t>
                  </w:r>
                </w:p>
              </w:tc>
              <w:tc>
                <w:tcPr>
                  <w:tcW w:w="649" w:type="pct"/>
                  <w:shd w:val="clear" w:color="auto" w:fill="auto"/>
                  <w:vAlign w:val="center"/>
                </w:tcPr>
                <w:p w14:paraId="3D29D74B">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0.01</w:t>
                  </w:r>
                </w:p>
              </w:tc>
              <w:tc>
                <w:tcPr>
                  <w:tcW w:w="722" w:type="pct"/>
                  <w:shd w:val="clear" w:color="auto" w:fill="auto"/>
                  <w:vAlign w:val="center"/>
                </w:tcPr>
                <w:p w14:paraId="36632C74">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桶装</w:t>
                  </w:r>
                  <w:r>
                    <w:rPr>
                      <w:rFonts w:hint="default"/>
                      <w:color w:val="auto"/>
                      <w:highlight w:val="none"/>
                      <w:u w:val="none" w:color="auto"/>
                      <w:lang w:val="en-US" w:eastAsia="zh-CN"/>
                    </w:rPr>
                    <w:t>/</w:t>
                  </w:r>
                  <w:r>
                    <w:rPr>
                      <w:rFonts w:hint="eastAsia"/>
                      <w:color w:val="auto"/>
                      <w:highlight w:val="none"/>
                      <w:u w:val="none" w:color="auto"/>
                      <w:lang w:val="en-US" w:eastAsia="zh-CN"/>
                    </w:rPr>
                    <w:t>袋装</w:t>
                  </w:r>
                </w:p>
              </w:tc>
              <w:tc>
                <w:tcPr>
                  <w:tcW w:w="665" w:type="pct"/>
                  <w:shd w:val="clear" w:color="auto" w:fill="auto"/>
                  <w:vAlign w:val="center"/>
                </w:tcPr>
                <w:p w14:paraId="36CE74BF">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一年</w:t>
                  </w:r>
                </w:p>
              </w:tc>
            </w:tr>
          </w:tbl>
          <w:p w14:paraId="79047497">
            <w:pPr>
              <w:pStyle w:val="18"/>
              <w:keepNext w:val="0"/>
              <w:keepLines w:val="0"/>
              <w:suppressLineNumbers w:val="0"/>
              <w:spacing w:before="0" w:beforeAutospacing="0" w:after="0" w:afterAutospacing="0" w:line="240" w:lineRule="auto"/>
              <w:ind w:left="0" w:leftChars="0" w:right="0" w:firstLine="0" w:firstLineChars="0"/>
              <w:jc w:val="both"/>
              <w:rPr>
                <w:rFonts w:hint="default" w:eastAsia="宋体" w:cs="Times New Roman"/>
                <w:b/>
                <w:bCs/>
                <w:color w:val="auto"/>
                <w:kern w:val="2"/>
                <w:sz w:val="21"/>
                <w:szCs w:val="21"/>
                <w:highlight w:val="none"/>
                <w:u w:val="none" w:color="auto"/>
                <w:lang w:val="en-US" w:eastAsia="zh-CN" w:bidi="ar-SA"/>
              </w:rPr>
            </w:pPr>
            <w:r>
              <w:rPr>
                <w:rFonts w:hint="eastAsia" w:cs="Times New Roman"/>
                <w:b/>
                <w:bCs/>
                <w:color w:val="auto"/>
                <w:kern w:val="2"/>
                <w:sz w:val="21"/>
                <w:szCs w:val="21"/>
                <w:highlight w:val="none"/>
                <w:u w:val="none" w:color="auto"/>
                <w:lang w:val="en-US" w:eastAsia="zh-CN" w:bidi="ar-SA"/>
              </w:rPr>
              <w:t>注：其他一般固废（栅渣、污泥、废活性炭、废滤芯、废过滤膜）即清即运，不在厂内暂存。</w:t>
            </w:r>
          </w:p>
          <w:p w14:paraId="026A7DB1">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ind w:left="0" w:right="0" w:firstLine="480" w:firstLineChars="200"/>
              <w:jc w:val="both"/>
              <w:textAlignment w:val="auto"/>
              <w:rPr>
                <w:rFonts w:hint="eastAsia" w:cs="Times New Roman"/>
                <w:color w:val="auto"/>
                <w:sz w:val="24"/>
                <w:highlight w:val="none"/>
                <w:u w:val="none" w:color="auto"/>
                <w:lang w:val="en-US" w:eastAsia="zh-CN"/>
              </w:rPr>
            </w:pPr>
          </w:p>
          <w:p w14:paraId="49211BA0">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ind w:left="0" w:right="0" w:firstLine="480" w:firstLineChars="200"/>
              <w:jc w:val="both"/>
              <w:textAlignment w:val="auto"/>
              <w:rPr>
                <w:rFonts w:hint="default" w:ascii="Times New Roman" w:hAnsi="Times New Roman" w:eastAsia="宋体" w:cs="Times New Roman"/>
                <w:b/>
                <w:color w:val="auto"/>
                <w:sz w:val="22"/>
                <w:highlight w:val="yellow"/>
                <w:u w:val="none" w:color="auto"/>
              </w:rPr>
            </w:pPr>
            <w:r>
              <w:rPr>
                <w:rFonts w:hint="eastAsia" w:cs="Times New Roman"/>
                <w:color w:val="auto"/>
                <w:sz w:val="24"/>
                <w:highlight w:val="none"/>
                <w:u w:val="none" w:color="auto"/>
                <w:lang w:val="en-US" w:eastAsia="zh-CN"/>
              </w:rPr>
              <w:t>根据《危险废物贮存污染控制标准（GB 18597—2023）》：贮存易产生粉尘、VOCs、酸雾、有毒有害大气污染物和刺激性气味气体的危险废物贮存库，应设置气体收集装置和气体净化设施。本项目危险废物暂存间内贮存的危险废物主要为设备维保产生的废机油、废油桶、含油抹布及手套等，且产生量极少，不属于上述需设置气体收集装置、气体净化设施的情形。</w:t>
            </w:r>
          </w:p>
          <w:bookmarkEnd w:id="34"/>
          <w:p w14:paraId="7684F359">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eastAsia="zh-CN"/>
              </w:rPr>
              <w:t>（</w:t>
            </w:r>
            <w:r>
              <w:rPr>
                <w:rFonts w:hint="eastAsia" w:cs="Times New Roman"/>
                <w:color w:val="auto"/>
                <w:sz w:val="24"/>
                <w:highlight w:val="none"/>
                <w:lang w:val="en-US" w:eastAsia="zh-CN"/>
              </w:rPr>
              <w:t>3</w:t>
            </w:r>
            <w:r>
              <w:rPr>
                <w:rFonts w:hint="eastAsia" w:cs="Times New Roman"/>
                <w:color w:val="auto"/>
                <w:sz w:val="24"/>
                <w:highlight w:val="none"/>
                <w:lang w:eastAsia="zh-CN"/>
              </w:rPr>
              <w:t>）</w:t>
            </w:r>
            <w:r>
              <w:rPr>
                <w:rFonts w:hint="eastAsia" w:cs="Times New Roman"/>
                <w:color w:val="auto"/>
                <w:sz w:val="24"/>
                <w:highlight w:val="none"/>
                <w:lang w:val="en-US" w:eastAsia="zh-CN"/>
              </w:rPr>
              <w:t>固体废物管理</w:t>
            </w:r>
          </w:p>
          <w:p w14:paraId="4BA5311F">
            <w:pPr>
              <w:keepNext w:val="0"/>
              <w:keepLines w:val="0"/>
              <w:suppressLineNumbers w:val="0"/>
              <w:spacing w:before="0" w:beforeAutospacing="0" w:after="0" w:afterAutospacing="0" w:line="360" w:lineRule="auto"/>
              <w:ind w:left="0" w:right="0" w:firstLine="480" w:firstLineChars="200"/>
              <w:rPr>
                <w:rFonts w:hint="eastAsia" w:cs="Times New Roman"/>
                <w:color w:val="auto"/>
                <w:sz w:val="24"/>
                <w:highlight w:val="none"/>
                <w:u w:val="none" w:color="auto"/>
                <w:lang w:val="en-US" w:eastAsia="zh-CN"/>
              </w:rPr>
            </w:pPr>
            <w:r>
              <w:rPr>
                <w:rFonts w:hint="eastAsia" w:cs="Times New Roman"/>
                <w:color w:val="auto"/>
                <w:sz w:val="24"/>
                <w:highlight w:val="none"/>
                <w:u w:val="none" w:color="auto"/>
                <w:lang w:val="en-US" w:eastAsia="zh-CN"/>
              </w:rPr>
              <w:t>1、一般工业固体废物管理</w:t>
            </w:r>
          </w:p>
          <w:p w14:paraId="7B4CADDB">
            <w:pPr>
              <w:pStyle w:val="18"/>
              <w:keepNext w:val="0"/>
              <w:keepLines w:val="0"/>
              <w:suppressLineNumbers w:val="0"/>
              <w:spacing w:before="0" w:beforeAutospacing="0" w:after="0" w:afterAutospacing="0" w:line="360" w:lineRule="auto"/>
              <w:ind w:left="0" w:leftChars="0" w:right="0" w:firstLine="480" w:firstLineChars="200"/>
              <w:rPr>
                <w:rFonts w:hint="default" w:ascii="Times New Roman" w:hAnsi="Times New Roman" w:eastAsia="宋体" w:cs="Times New Roman"/>
                <w:color w:val="auto"/>
                <w:sz w:val="24"/>
                <w:highlight w:val="none"/>
                <w:u w:val="none" w:color="auto"/>
              </w:rPr>
            </w:pPr>
            <w:r>
              <w:rPr>
                <w:rFonts w:hint="default" w:ascii="Times New Roman" w:hAnsi="Times New Roman" w:eastAsia="宋体" w:cs="Times New Roman"/>
                <w:color w:val="auto"/>
                <w:sz w:val="24"/>
                <w:highlight w:val="none"/>
                <w:u w:val="none" w:color="auto"/>
              </w:rPr>
              <w:t>项目一般固体废物分类收集，分类暂存，不得随处堆放，</w:t>
            </w:r>
            <w:r>
              <w:rPr>
                <w:rFonts w:hint="eastAsia" w:ascii="Times New Roman" w:hAnsi="Times New Roman" w:eastAsia="宋体" w:cs="Times New Roman"/>
                <w:color w:val="auto"/>
                <w:sz w:val="24"/>
                <w:highlight w:val="none"/>
                <w:u w:val="none" w:color="auto"/>
                <w:lang w:val="en-US" w:eastAsia="zh-CN"/>
              </w:rPr>
              <w:t>一般固废</w:t>
            </w:r>
            <w:r>
              <w:rPr>
                <w:rFonts w:hint="default" w:ascii="Times New Roman" w:hAnsi="Times New Roman" w:eastAsia="宋体" w:cs="Times New Roman"/>
                <w:color w:val="auto"/>
                <w:sz w:val="24"/>
                <w:highlight w:val="none"/>
                <w:u w:val="none" w:color="auto"/>
              </w:rPr>
              <w:t>暂存区防雨、防风、防渗漏，固废临时贮存场应满足如下要求：</w:t>
            </w:r>
          </w:p>
          <w:p w14:paraId="5D4BCF14">
            <w:pPr>
              <w:pStyle w:val="18"/>
              <w:keepNext w:val="0"/>
              <w:keepLines w:val="0"/>
              <w:suppressLineNumbers w:val="0"/>
              <w:spacing w:before="0" w:beforeAutospacing="0" w:after="0" w:afterAutospacing="0" w:line="360" w:lineRule="auto"/>
              <w:ind w:left="0" w:leftChars="0" w:right="0" w:firstLine="480" w:firstLineChars="200"/>
              <w:rPr>
                <w:rFonts w:hint="default" w:ascii="Times New Roman" w:hAnsi="Times New Roman" w:eastAsia="宋体" w:cs="Times New Roman"/>
                <w:color w:val="auto"/>
                <w:sz w:val="24"/>
                <w:highlight w:val="none"/>
                <w:u w:val="none" w:color="auto"/>
              </w:rPr>
            </w:pPr>
            <w:r>
              <w:rPr>
                <w:rFonts w:hint="default" w:ascii="Times New Roman" w:hAnsi="Times New Roman" w:eastAsia="宋体" w:cs="Times New Roman"/>
                <w:color w:val="auto"/>
                <w:sz w:val="24"/>
                <w:highlight w:val="none"/>
                <w:u w:val="none" w:color="auto"/>
              </w:rPr>
              <w:t>①地面应采取硬化措施并满足承载力要求，必要时采取相应措施防止地基下沉。</w:t>
            </w:r>
          </w:p>
          <w:p w14:paraId="42E48B66">
            <w:pPr>
              <w:pStyle w:val="18"/>
              <w:keepNext w:val="0"/>
              <w:keepLines w:val="0"/>
              <w:suppressLineNumbers w:val="0"/>
              <w:spacing w:before="0" w:beforeAutospacing="0" w:after="0" w:afterAutospacing="0" w:line="360" w:lineRule="auto"/>
              <w:ind w:left="0" w:leftChars="0" w:right="0" w:firstLine="480" w:firstLineChars="200"/>
              <w:rPr>
                <w:rFonts w:hint="default" w:ascii="Times New Roman" w:hAnsi="Times New Roman" w:eastAsia="宋体" w:cs="Times New Roman"/>
                <w:color w:val="auto"/>
                <w:sz w:val="24"/>
                <w:highlight w:val="none"/>
                <w:u w:val="none" w:color="auto"/>
              </w:rPr>
            </w:pPr>
            <w:r>
              <w:rPr>
                <w:rFonts w:hint="default" w:ascii="Times New Roman" w:hAnsi="Times New Roman" w:eastAsia="宋体" w:cs="Times New Roman"/>
                <w:color w:val="auto"/>
                <w:sz w:val="24"/>
                <w:highlight w:val="none"/>
                <w:u w:val="none" w:color="auto"/>
              </w:rPr>
              <w:t>②要求设置必要的防风、防雨、防晒措施。</w:t>
            </w:r>
          </w:p>
          <w:p w14:paraId="36D7DC5A">
            <w:pPr>
              <w:pStyle w:val="18"/>
              <w:keepNext w:val="0"/>
              <w:keepLines w:val="0"/>
              <w:suppressLineNumbers w:val="0"/>
              <w:spacing w:before="0" w:beforeAutospacing="0" w:after="0" w:afterAutospacing="0" w:line="360" w:lineRule="auto"/>
              <w:ind w:left="0" w:leftChars="0" w:right="0" w:firstLine="480" w:firstLineChars="200"/>
              <w:rPr>
                <w:rFonts w:hint="default" w:ascii="Times New Roman" w:hAnsi="Times New Roman" w:eastAsia="宋体" w:cs="Times New Roman"/>
                <w:color w:val="auto"/>
                <w:sz w:val="24"/>
                <w:highlight w:val="none"/>
                <w:u w:val="none" w:color="auto"/>
              </w:rPr>
            </w:pPr>
            <w:r>
              <w:rPr>
                <w:rFonts w:hint="default" w:ascii="Times New Roman" w:hAnsi="Times New Roman" w:eastAsia="宋体" w:cs="Times New Roman"/>
                <w:color w:val="auto"/>
                <w:sz w:val="24"/>
                <w:highlight w:val="none"/>
                <w:u w:val="none" w:color="auto"/>
              </w:rPr>
              <w:t>③按《环境保护图形标识—固体废物贮存（处置）场》（GB15562.2</w:t>
            </w:r>
            <w:r>
              <w:rPr>
                <w:rFonts w:hint="eastAsia" w:ascii="Times New Roman" w:hAnsi="Times New Roman" w:eastAsia="宋体" w:cs="Times New Roman"/>
                <w:color w:val="auto"/>
                <w:sz w:val="24"/>
                <w:highlight w:val="none"/>
                <w:u w:val="none" w:color="auto"/>
                <w:lang w:val="en-US" w:eastAsia="zh-CN"/>
              </w:rPr>
              <w:t>-1995</w:t>
            </w:r>
            <w:r>
              <w:rPr>
                <w:rFonts w:hint="default" w:ascii="Times New Roman" w:hAnsi="Times New Roman" w:eastAsia="宋体" w:cs="Times New Roman"/>
                <w:color w:val="auto"/>
                <w:sz w:val="24"/>
                <w:highlight w:val="none"/>
                <w:u w:val="none" w:color="auto"/>
              </w:rPr>
              <w:t>）</w:t>
            </w:r>
            <w:r>
              <w:rPr>
                <w:rFonts w:hint="eastAsia" w:cs="Times New Roman"/>
                <w:color w:val="auto"/>
                <w:sz w:val="24"/>
                <w:highlight w:val="none"/>
                <w:u w:val="none" w:color="auto"/>
                <w:lang w:val="en-US" w:eastAsia="zh-CN"/>
              </w:rPr>
              <w:t>及2023年修改单</w:t>
            </w:r>
            <w:r>
              <w:rPr>
                <w:rFonts w:hint="default" w:ascii="Times New Roman" w:hAnsi="Times New Roman" w:eastAsia="宋体" w:cs="Times New Roman"/>
                <w:color w:val="auto"/>
                <w:sz w:val="24"/>
                <w:highlight w:val="none"/>
                <w:u w:val="none" w:color="auto"/>
              </w:rPr>
              <w:t>要求设置环境保护图形标志。</w:t>
            </w:r>
          </w:p>
          <w:p w14:paraId="28386456">
            <w:pPr>
              <w:keepNext w:val="0"/>
              <w:keepLines w:val="0"/>
              <w:suppressLineNumbers w:val="0"/>
              <w:spacing w:before="0" w:beforeAutospacing="0" w:after="0" w:afterAutospacing="0" w:line="360" w:lineRule="auto"/>
              <w:ind w:left="0" w:right="0" w:firstLine="480" w:firstLineChars="200"/>
              <w:rPr>
                <w:rFonts w:hint="eastAsia" w:cs="Times New Roman"/>
                <w:color w:val="auto"/>
                <w:sz w:val="24"/>
                <w:highlight w:val="none"/>
                <w:u w:val="none" w:color="auto"/>
                <w:lang w:val="en-US" w:eastAsia="zh-CN"/>
              </w:rPr>
            </w:pPr>
            <w:r>
              <w:rPr>
                <w:rFonts w:hint="eastAsia" w:cs="Times New Roman"/>
                <w:color w:val="auto"/>
                <w:sz w:val="24"/>
                <w:highlight w:val="none"/>
                <w:u w:val="none" w:color="auto"/>
                <w:lang w:val="en-US" w:eastAsia="zh-CN"/>
              </w:rPr>
              <w:t>2、危险废物管理</w:t>
            </w:r>
          </w:p>
          <w:p w14:paraId="2AA38ECA">
            <w:pPr>
              <w:pStyle w:val="18"/>
              <w:keepNext w:val="0"/>
              <w:keepLines w:val="0"/>
              <w:numPr>
                <w:ilvl w:val="0"/>
                <w:numId w:val="0"/>
              </w:numPr>
              <w:suppressLineNumbers w:val="0"/>
              <w:tabs>
                <w:tab w:val="left" w:pos="420"/>
              </w:tabs>
              <w:spacing w:before="0" w:beforeAutospacing="0" w:after="0" w:afterAutospacing="0" w:line="360" w:lineRule="auto"/>
              <w:ind w:right="0" w:firstLine="480" w:firstLineChars="20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危险废物应</w:t>
            </w:r>
            <w:r>
              <w:rPr>
                <w:rFonts w:hint="eastAsia" w:cs="Times New Roman"/>
                <w:color w:val="auto"/>
                <w:sz w:val="24"/>
                <w:highlight w:val="none"/>
                <w:u w:val="none" w:color="auto"/>
                <w:lang w:val="en-US" w:eastAsia="zh-CN"/>
              </w:rPr>
              <w:t>定期交由有</w:t>
            </w:r>
            <w:r>
              <w:rPr>
                <w:rFonts w:hint="default" w:ascii="Times New Roman" w:hAnsi="Times New Roman" w:eastAsia="宋体" w:cs="Times New Roman"/>
                <w:color w:val="auto"/>
                <w:sz w:val="24"/>
                <w:highlight w:val="none"/>
                <w:u w:val="none" w:color="auto"/>
                <w:lang w:val="en-US" w:eastAsia="zh-CN"/>
              </w:rPr>
              <w:t>资质单位处理，不宜存放过长时间，确需暂存的，应做到以下几点：</w:t>
            </w:r>
          </w:p>
          <w:p w14:paraId="351F6174">
            <w:pPr>
              <w:pStyle w:val="18"/>
              <w:keepNext w:val="0"/>
              <w:keepLines w:val="0"/>
              <w:numPr>
                <w:ilvl w:val="0"/>
                <w:numId w:val="0"/>
              </w:numPr>
              <w:suppressLineNumbers w:val="0"/>
              <w:tabs>
                <w:tab w:val="left" w:pos="420"/>
              </w:tabs>
              <w:spacing w:before="0" w:beforeAutospacing="0" w:after="0" w:afterAutospacing="0" w:line="360" w:lineRule="auto"/>
              <w:ind w:right="0" w:firstLine="480" w:firstLineChars="20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①贮存场所应符合《危险废物贮存污染控制标准》（GB18597-2023）</w:t>
            </w:r>
            <w:r>
              <w:rPr>
                <w:rFonts w:hint="eastAsia" w:ascii="Times New Roman" w:hAnsi="Times New Roman" w:eastAsia="宋体" w:cs="Times New Roman"/>
                <w:color w:val="auto"/>
                <w:sz w:val="24"/>
                <w:highlight w:val="none"/>
                <w:u w:val="none" w:color="auto"/>
                <w:lang w:val="en-US" w:eastAsia="zh-CN"/>
              </w:rPr>
              <w:t>要求</w:t>
            </w:r>
            <w:r>
              <w:rPr>
                <w:rFonts w:hint="default" w:ascii="Times New Roman" w:hAnsi="Times New Roman" w:eastAsia="宋体" w:cs="Times New Roman"/>
                <w:color w:val="auto"/>
                <w:sz w:val="24"/>
                <w:highlight w:val="none"/>
                <w:u w:val="none" w:color="auto"/>
                <w:lang w:val="en-US" w:eastAsia="zh-CN"/>
              </w:rPr>
              <w:t xml:space="preserve">，有符合要求的专用标志。 </w:t>
            </w:r>
          </w:p>
          <w:p w14:paraId="2BAC5BE1">
            <w:pPr>
              <w:pStyle w:val="18"/>
              <w:keepNext w:val="0"/>
              <w:keepLines w:val="0"/>
              <w:numPr>
                <w:ilvl w:val="0"/>
                <w:numId w:val="0"/>
              </w:numPr>
              <w:suppressLineNumbers w:val="0"/>
              <w:tabs>
                <w:tab w:val="left" w:pos="420"/>
              </w:tabs>
              <w:spacing w:before="0" w:beforeAutospacing="0" w:after="0" w:afterAutospacing="0" w:line="360" w:lineRule="auto"/>
              <w:ind w:right="0" w:firstLine="480" w:firstLineChars="20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②贮存设施应根据危险废物的类别、数量、形态、物理化学性质和污染防治等要求设置必要的贮存分区，避免不相容的危险废物接触、混合。</w:t>
            </w:r>
          </w:p>
          <w:p w14:paraId="4BCF8E68">
            <w:pPr>
              <w:pStyle w:val="18"/>
              <w:keepNext w:val="0"/>
              <w:keepLines w:val="0"/>
              <w:numPr>
                <w:ilvl w:val="0"/>
                <w:numId w:val="0"/>
              </w:numPr>
              <w:suppressLineNumbers w:val="0"/>
              <w:tabs>
                <w:tab w:val="left" w:pos="420"/>
              </w:tabs>
              <w:spacing w:before="0" w:beforeAutospacing="0" w:after="0" w:afterAutospacing="0" w:line="360" w:lineRule="auto"/>
              <w:ind w:right="0" w:firstLine="480" w:firstLineChars="20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③危险废物贮存过程产生的液态废物和固态废物应分类收集，按其环境管理要求妥善处理。</w:t>
            </w:r>
          </w:p>
          <w:p w14:paraId="16D07B0D">
            <w:pPr>
              <w:pStyle w:val="18"/>
              <w:keepNext w:val="0"/>
              <w:keepLines w:val="0"/>
              <w:numPr>
                <w:ilvl w:val="0"/>
                <w:numId w:val="0"/>
              </w:numPr>
              <w:suppressLineNumbers w:val="0"/>
              <w:tabs>
                <w:tab w:val="left" w:pos="420"/>
              </w:tabs>
              <w:spacing w:before="0" w:beforeAutospacing="0" w:after="0" w:afterAutospacing="0" w:line="360" w:lineRule="auto"/>
              <w:ind w:right="0" w:firstLine="480" w:firstLineChars="20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④贮存设施或贮存分区内地面、墙面裙脚、堵截泄漏的围堰、接触危险废物的隔板和墙体等应采用坚固的材料建造，表面无裂缝。贮存区考虑相应的集排水和防渗设施。</w:t>
            </w:r>
          </w:p>
          <w:p w14:paraId="440015F0">
            <w:pPr>
              <w:pStyle w:val="18"/>
              <w:keepNext w:val="0"/>
              <w:keepLines w:val="0"/>
              <w:numPr>
                <w:ilvl w:val="0"/>
                <w:numId w:val="0"/>
              </w:numPr>
              <w:suppressLineNumbers w:val="0"/>
              <w:tabs>
                <w:tab w:val="left" w:pos="420"/>
              </w:tabs>
              <w:spacing w:before="0" w:beforeAutospacing="0" w:after="0" w:afterAutospacing="0" w:line="360" w:lineRule="auto"/>
              <w:ind w:right="0" w:firstLine="480" w:firstLineChars="20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⑤贮存设施或场所、容器和包装物应按HJ1276要求设置危险废物贮存设施或场所标志、危险废物贮存分区标志和危险废物标签等危险废物识别标志。贮存区符合消防要求。</w:t>
            </w:r>
          </w:p>
          <w:p w14:paraId="412038AE">
            <w:pPr>
              <w:pStyle w:val="18"/>
              <w:keepNext w:val="0"/>
              <w:keepLines w:val="0"/>
              <w:numPr>
                <w:ilvl w:val="0"/>
                <w:numId w:val="0"/>
              </w:numPr>
              <w:suppressLineNumbers w:val="0"/>
              <w:tabs>
                <w:tab w:val="left" w:pos="420"/>
              </w:tabs>
              <w:spacing w:before="0" w:beforeAutospacing="0" w:after="0" w:afterAutospacing="0" w:line="360" w:lineRule="auto"/>
              <w:ind w:right="0" w:firstLine="480" w:firstLineChars="200"/>
              <w:rPr>
                <w:rFonts w:hint="default"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⑥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rFonts w:hint="default" w:ascii="Times New Roman" w:hAnsi="Times New Roman" w:eastAsia="宋体" w:cs="Times New Roman"/>
                <w:color w:val="auto"/>
                <w:sz w:val="24"/>
                <w:highlight w:val="none"/>
                <w:u w:val="none" w:color="auto"/>
                <w:vertAlign w:val="superscript"/>
                <w:lang w:val="en-US" w:eastAsia="zh-CN"/>
              </w:rPr>
              <w:t>-7</w:t>
            </w:r>
            <w:r>
              <w:rPr>
                <w:rFonts w:hint="default" w:ascii="Times New Roman" w:hAnsi="Times New Roman" w:eastAsia="宋体" w:cs="Times New Roman"/>
                <w:color w:val="auto"/>
                <w:sz w:val="24"/>
                <w:highlight w:val="none"/>
                <w:u w:val="none" w:color="auto"/>
                <w:lang w:val="en-US" w:eastAsia="zh-CN"/>
              </w:rPr>
              <w:t>cm/s），或至少2 mm厚高密度聚乙烯膜等人工防渗材料（渗透系数不大于10</w:t>
            </w:r>
            <w:r>
              <w:rPr>
                <w:rFonts w:hint="default" w:ascii="Times New Roman" w:hAnsi="Times New Roman" w:eastAsia="宋体" w:cs="Times New Roman"/>
                <w:color w:val="auto"/>
                <w:sz w:val="24"/>
                <w:highlight w:val="none"/>
                <w:u w:val="none" w:color="auto"/>
                <w:vertAlign w:val="superscript"/>
                <w:lang w:val="en-US" w:eastAsia="zh-CN"/>
              </w:rPr>
              <w:t>-10</w:t>
            </w:r>
            <w:r>
              <w:rPr>
                <w:rFonts w:hint="default" w:ascii="Times New Roman" w:hAnsi="Times New Roman" w:eastAsia="宋体" w:cs="Times New Roman"/>
                <w:color w:val="auto"/>
                <w:sz w:val="24"/>
                <w:highlight w:val="none"/>
                <w:u w:val="none" w:color="auto"/>
                <w:lang w:val="en-US" w:eastAsia="zh-CN"/>
              </w:rPr>
              <w:t>cm/s），或其他防渗性能等效的材料。</w:t>
            </w:r>
          </w:p>
          <w:p w14:paraId="24AA8D8A">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w:t>
            </w:r>
            <w:r>
              <w:rPr>
                <w:rFonts w:hint="eastAsia" w:cs="Times New Roman"/>
                <w:color w:val="auto"/>
                <w:sz w:val="24"/>
                <w:highlight w:val="none"/>
                <w:lang w:val="en-US" w:eastAsia="zh-CN"/>
              </w:rPr>
              <w:t>4</w:t>
            </w:r>
            <w:r>
              <w:rPr>
                <w:rFonts w:hint="default" w:ascii="Times New Roman" w:hAnsi="Times New Roman" w:eastAsia="宋体" w:cs="Times New Roman"/>
                <w:color w:val="auto"/>
                <w:sz w:val="24"/>
                <w:highlight w:val="none"/>
              </w:rPr>
              <w:t>）固体废物环境影响分析</w:t>
            </w:r>
          </w:p>
          <w:p w14:paraId="3953BE6B">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u w:val="none" w:color="auto"/>
              </w:rPr>
            </w:pPr>
            <w:r>
              <w:rPr>
                <w:rFonts w:hint="default" w:ascii="Times New Roman" w:hAnsi="Times New Roman" w:eastAsia="宋体" w:cs="Times New Roman"/>
                <w:color w:val="auto"/>
                <w:sz w:val="24"/>
                <w:highlight w:val="none"/>
                <w:u w:val="none" w:color="auto"/>
              </w:rPr>
              <w:t>经过采取以上措施后，项目</w:t>
            </w:r>
            <w:r>
              <w:rPr>
                <w:rFonts w:hint="eastAsia" w:cs="Times New Roman"/>
                <w:color w:val="auto"/>
                <w:sz w:val="24"/>
                <w:highlight w:val="none"/>
                <w:u w:val="none" w:color="auto"/>
                <w:lang w:val="en-US" w:eastAsia="zh-CN"/>
              </w:rPr>
              <w:t>运营期固体废物均能得到及时妥善处置，对环境影响较小</w:t>
            </w:r>
            <w:r>
              <w:rPr>
                <w:rFonts w:hint="default" w:ascii="Times New Roman" w:hAnsi="Times New Roman" w:eastAsia="宋体" w:cs="Times New Roman"/>
                <w:color w:val="auto"/>
                <w:sz w:val="24"/>
                <w:highlight w:val="none"/>
                <w:u w:val="none" w:color="auto"/>
              </w:rPr>
              <w:t>。</w:t>
            </w:r>
          </w:p>
          <w:p w14:paraId="06C03A0C">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5、地下水、土壤环境影响分析</w:t>
            </w:r>
          </w:p>
          <w:p w14:paraId="12A6CF56">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0"/>
                <w:highlight w:val="none"/>
              </w:rPr>
            </w:pPr>
            <w:r>
              <w:rPr>
                <w:rFonts w:hint="default" w:ascii="Times New Roman" w:hAnsi="Times New Roman" w:eastAsia="宋体" w:cs="Times New Roman"/>
                <w:color w:val="auto"/>
                <w:sz w:val="24"/>
                <w:szCs w:val="20"/>
                <w:highlight w:val="none"/>
              </w:rPr>
              <w:t>（1）污染源及途径</w:t>
            </w:r>
          </w:p>
          <w:p w14:paraId="43E04DE8">
            <w:pPr>
              <w:keepNext w:val="0"/>
              <w:keepLines w:val="0"/>
              <w:suppressLineNumbers w:val="0"/>
              <w:snapToGrid w:val="0"/>
              <w:spacing w:before="0" w:beforeAutospacing="0" w:after="0" w:afterAutospacing="0" w:line="348" w:lineRule="auto"/>
              <w:ind w:left="-15" w:right="0" w:firstLine="48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根据工程分析和项目特点，本项目涉及的污染源分析见下表：</w:t>
            </w:r>
          </w:p>
          <w:p w14:paraId="196F1550">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color w:val="auto"/>
                <w:sz w:val="21"/>
                <w:szCs w:val="21"/>
                <w:highlight w:val="none"/>
              </w:rPr>
            </w:pPr>
          </w:p>
          <w:p w14:paraId="04268D35">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color w:val="auto"/>
                <w:sz w:val="21"/>
                <w:szCs w:val="21"/>
                <w:highlight w:val="none"/>
              </w:rPr>
            </w:pPr>
          </w:p>
          <w:p w14:paraId="17B6E011">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color w:val="auto"/>
                <w:sz w:val="21"/>
                <w:szCs w:val="21"/>
                <w:highlight w:val="none"/>
              </w:rPr>
            </w:pPr>
          </w:p>
          <w:p w14:paraId="1779C9B9">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sz w:val="21"/>
                <w:szCs w:val="21"/>
                <w:highlight w:val="none"/>
              </w:rPr>
              <w:t>表4-</w:t>
            </w:r>
            <w:r>
              <w:rPr>
                <w:rFonts w:hint="eastAsia" w:cs="Times New Roman"/>
                <w:b/>
                <w:color w:val="auto"/>
                <w:sz w:val="21"/>
                <w:szCs w:val="21"/>
                <w:highlight w:val="none"/>
                <w:lang w:val="en-US" w:eastAsia="zh-CN"/>
              </w:rPr>
              <w:t>21</w:t>
            </w:r>
            <w:r>
              <w:rPr>
                <w:rFonts w:hint="default" w:ascii="Times New Roman" w:hAnsi="Times New Roman" w:eastAsia="宋体" w:cs="Times New Roman"/>
                <w:b/>
                <w:color w:val="auto"/>
                <w:sz w:val="21"/>
                <w:szCs w:val="21"/>
                <w:highlight w:val="none"/>
              </w:rPr>
              <w:t xml:space="preserve">   项目地下水污染源和污染途经分析情况表</w:t>
            </w:r>
          </w:p>
          <w:tbl>
            <w:tblPr>
              <w:tblStyle w:val="28"/>
              <w:tblW w:w="4999"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409"/>
              <w:gridCol w:w="3038"/>
              <w:gridCol w:w="1316"/>
              <w:gridCol w:w="2734"/>
            </w:tblGrid>
            <w:tr w14:paraId="6BEC882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29" w:type="pct"/>
                  <w:vAlign w:val="center"/>
                </w:tcPr>
                <w:p w14:paraId="6D7906F1">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污染源</w:t>
                  </w:r>
                </w:p>
              </w:tc>
              <w:tc>
                <w:tcPr>
                  <w:tcW w:w="1787" w:type="pct"/>
                  <w:vAlign w:val="center"/>
                </w:tcPr>
                <w:p w14:paraId="3F9DA368">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主要污染物</w:t>
                  </w:r>
                </w:p>
              </w:tc>
              <w:tc>
                <w:tcPr>
                  <w:tcW w:w="774" w:type="pct"/>
                  <w:vAlign w:val="center"/>
                </w:tcPr>
                <w:p w14:paraId="5DAC67B4">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污染物类型</w:t>
                  </w:r>
                </w:p>
              </w:tc>
              <w:tc>
                <w:tcPr>
                  <w:tcW w:w="1608" w:type="pct"/>
                  <w:vAlign w:val="center"/>
                </w:tcPr>
                <w:p w14:paraId="6FE0E5F8">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可能污染途经</w:t>
                  </w:r>
                </w:p>
              </w:tc>
            </w:tr>
            <w:tr w14:paraId="0A431EF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29" w:type="pct"/>
                  <w:vAlign w:val="center"/>
                </w:tcPr>
                <w:p w14:paraId="34BA57F6">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污水处理站</w:t>
                  </w:r>
                </w:p>
              </w:tc>
              <w:tc>
                <w:tcPr>
                  <w:tcW w:w="1787" w:type="pct"/>
                  <w:vAlign w:val="center"/>
                </w:tcPr>
                <w:p w14:paraId="6938444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综合废水（COD、BOD</w:t>
                  </w:r>
                  <w:r>
                    <w:rPr>
                      <w:rFonts w:hint="default" w:ascii="Times New Roman" w:hAnsi="Times New Roman" w:eastAsia="宋体" w:cs="Times New Roman"/>
                      <w:color w:val="auto"/>
                      <w:kern w:val="0"/>
                      <w:sz w:val="21"/>
                      <w:szCs w:val="21"/>
                      <w:highlight w:val="none"/>
                      <w:vertAlign w:val="subscript"/>
                    </w:rPr>
                    <w:t>5</w:t>
                  </w:r>
                  <w:r>
                    <w:rPr>
                      <w:rFonts w:hint="default" w:ascii="Times New Roman" w:hAnsi="Times New Roman" w:eastAsia="宋体" w:cs="Times New Roman"/>
                      <w:color w:val="auto"/>
                      <w:kern w:val="0"/>
                      <w:sz w:val="21"/>
                      <w:szCs w:val="21"/>
                      <w:highlight w:val="none"/>
                    </w:rPr>
                    <w:t>、氨氮</w:t>
                  </w:r>
                  <w:r>
                    <w:rPr>
                      <w:rFonts w:hint="eastAsia" w:cs="Times New Roman"/>
                      <w:color w:val="auto"/>
                      <w:kern w:val="0"/>
                      <w:sz w:val="21"/>
                      <w:szCs w:val="21"/>
                      <w:highlight w:val="none"/>
                      <w:lang w:eastAsia="zh-CN"/>
                    </w:rPr>
                    <w:t>、</w:t>
                  </w:r>
                  <w:r>
                    <w:rPr>
                      <w:rFonts w:hint="eastAsia" w:cs="Times New Roman"/>
                      <w:color w:val="auto"/>
                      <w:kern w:val="0"/>
                      <w:sz w:val="21"/>
                      <w:szCs w:val="21"/>
                      <w:highlight w:val="none"/>
                      <w:lang w:val="en-US" w:eastAsia="zh-CN"/>
                    </w:rPr>
                    <w:t>硫酸盐、SS</w:t>
                  </w:r>
                  <w:r>
                    <w:rPr>
                      <w:rFonts w:hint="default" w:ascii="Times New Roman" w:hAnsi="Times New Roman" w:eastAsia="宋体" w:cs="Times New Roman"/>
                      <w:color w:val="auto"/>
                      <w:kern w:val="0"/>
                      <w:sz w:val="21"/>
                      <w:szCs w:val="21"/>
                      <w:highlight w:val="none"/>
                    </w:rPr>
                    <w:t>等）</w:t>
                  </w:r>
                </w:p>
              </w:tc>
              <w:tc>
                <w:tcPr>
                  <w:tcW w:w="774" w:type="pct"/>
                  <w:vAlign w:val="center"/>
                </w:tcPr>
                <w:p w14:paraId="4ECC8978">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有机污染物</w:t>
                  </w:r>
                </w:p>
              </w:tc>
              <w:tc>
                <w:tcPr>
                  <w:tcW w:w="1608" w:type="pct"/>
                  <w:vAlign w:val="center"/>
                </w:tcPr>
                <w:p w14:paraId="6FFCF5E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eastAsia" w:cs="Times New Roman"/>
                      <w:color w:val="auto"/>
                      <w:kern w:val="0"/>
                      <w:sz w:val="21"/>
                      <w:szCs w:val="21"/>
                      <w:highlight w:val="none"/>
                      <w:lang w:val="en-US" w:eastAsia="zh-CN"/>
                    </w:rPr>
                    <w:t>污水处理站溢流、渗漏、</w:t>
                  </w:r>
                  <w:r>
                    <w:rPr>
                      <w:rFonts w:hint="default" w:ascii="Times New Roman" w:hAnsi="Times New Roman" w:eastAsia="宋体" w:cs="Times New Roman"/>
                      <w:color w:val="auto"/>
                      <w:kern w:val="0"/>
                      <w:sz w:val="21"/>
                      <w:szCs w:val="21"/>
                      <w:highlight w:val="none"/>
                    </w:rPr>
                    <w:t>泄漏</w:t>
                  </w:r>
                  <w:r>
                    <w:rPr>
                      <w:rFonts w:hint="eastAsia" w:cs="Times New Roman"/>
                      <w:color w:val="auto"/>
                      <w:kern w:val="0"/>
                      <w:sz w:val="21"/>
                      <w:szCs w:val="21"/>
                      <w:highlight w:val="none"/>
                      <w:lang w:val="en-US" w:eastAsia="zh-CN"/>
                    </w:rPr>
                    <w:t>等</w:t>
                  </w:r>
                  <w:r>
                    <w:rPr>
                      <w:rFonts w:hint="default" w:ascii="Times New Roman" w:hAnsi="Times New Roman" w:eastAsia="宋体" w:cs="Times New Roman"/>
                      <w:color w:val="auto"/>
                      <w:kern w:val="0"/>
                      <w:sz w:val="21"/>
                      <w:szCs w:val="21"/>
                      <w:highlight w:val="none"/>
                    </w:rPr>
                    <w:t>对地下水和土壤影响</w:t>
                  </w:r>
                </w:p>
              </w:tc>
            </w:tr>
          </w:tbl>
          <w:p w14:paraId="1D2B6561">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0"/>
                <w:highlight w:val="none"/>
              </w:rPr>
            </w:pPr>
            <w:r>
              <w:rPr>
                <w:rFonts w:hint="default" w:ascii="Times New Roman" w:hAnsi="Times New Roman" w:eastAsia="宋体" w:cs="Times New Roman"/>
                <w:color w:val="auto"/>
                <w:sz w:val="24"/>
                <w:highlight w:val="none"/>
              </w:rPr>
              <w:t>（2）分区防控</w:t>
            </w:r>
            <w:r>
              <w:rPr>
                <w:rFonts w:hint="default" w:ascii="Times New Roman" w:hAnsi="Times New Roman" w:eastAsia="宋体" w:cs="Times New Roman"/>
                <w:color w:val="auto"/>
                <w:sz w:val="24"/>
                <w:szCs w:val="20"/>
                <w:highlight w:val="none"/>
              </w:rPr>
              <w:t>防渗措施</w:t>
            </w:r>
          </w:p>
          <w:p w14:paraId="0C7C8F37">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0"/>
                <w:highlight w:val="none"/>
              </w:rPr>
            </w:pPr>
            <w:r>
              <w:rPr>
                <w:rFonts w:hint="default" w:ascii="Times New Roman" w:hAnsi="Times New Roman" w:eastAsia="宋体" w:cs="Times New Roman"/>
                <w:color w:val="auto"/>
                <w:sz w:val="24"/>
                <w:szCs w:val="20"/>
                <w:highlight w:val="none"/>
              </w:rPr>
              <w:t>按照污染物可能对地下水和土壤造成的影响，将厂区划分重点防渗区、一般防渗区和简单防渗区，根据本项目建设内容，具体防渗划分情况见下表：</w:t>
            </w:r>
          </w:p>
          <w:p w14:paraId="405EABAF">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sz w:val="21"/>
                <w:szCs w:val="21"/>
                <w:highlight w:val="none"/>
              </w:rPr>
              <w:t>表4-</w:t>
            </w:r>
            <w:r>
              <w:rPr>
                <w:rFonts w:hint="eastAsia" w:ascii="Times New Roman" w:hAnsi="Times New Roman" w:eastAsia="宋体" w:cs="Times New Roman"/>
                <w:b/>
                <w:color w:val="auto"/>
                <w:sz w:val="21"/>
                <w:szCs w:val="21"/>
                <w:highlight w:val="none"/>
                <w:lang w:val="en-US" w:eastAsia="zh-CN"/>
              </w:rPr>
              <w:t>2</w:t>
            </w:r>
            <w:r>
              <w:rPr>
                <w:rFonts w:hint="eastAsia" w:cs="Times New Roman"/>
                <w:b/>
                <w:color w:val="auto"/>
                <w:sz w:val="21"/>
                <w:szCs w:val="21"/>
                <w:highlight w:val="none"/>
                <w:lang w:val="en-US" w:eastAsia="zh-CN"/>
              </w:rPr>
              <w:t>2</w:t>
            </w:r>
            <w:r>
              <w:rPr>
                <w:rFonts w:hint="default" w:ascii="Times New Roman" w:hAnsi="Times New Roman" w:eastAsia="宋体" w:cs="Times New Roman"/>
                <w:b/>
                <w:color w:val="auto"/>
                <w:sz w:val="21"/>
                <w:szCs w:val="21"/>
                <w:highlight w:val="none"/>
              </w:rPr>
              <w:t xml:space="preserve">   项目厂区划分及防渗等级一览表</w:t>
            </w:r>
          </w:p>
          <w:tbl>
            <w:tblPr>
              <w:tblStyle w:val="28"/>
              <w:tblW w:w="4996"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535"/>
              <w:gridCol w:w="2688"/>
              <w:gridCol w:w="4269"/>
            </w:tblGrid>
            <w:tr w14:paraId="7D2C847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04" w:type="pct"/>
                  <w:vAlign w:val="center"/>
                </w:tcPr>
                <w:p w14:paraId="7857CAD0">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防治分区</w:t>
                  </w:r>
                </w:p>
              </w:tc>
              <w:tc>
                <w:tcPr>
                  <w:tcW w:w="1582" w:type="pct"/>
                  <w:vAlign w:val="center"/>
                </w:tcPr>
                <w:p w14:paraId="08E54CA1">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工作区</w:t>
                  </w:r>
                </w:p>
              </w:tc>
              <w:tc>
                <w:tcPr>
                  <w:tcW w:w="2513" w:type="pct"/>
                  <w:vAlign w:val="center"/>
                </w:tcPr>
                <w:p w14:paraId="28A9F656">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防渗技术要求</w:t>
                  </w:r>
                </w:p>
              </w:tc>
            </w:tr>
            <w:tr w14:paraId="0D85FC9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04" w:type="pct"/>
                  <w:vAlign w:val="center"/>
                </w:tcPr>
                <w:p w14:paraId="6B91C63E">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重点防渗区</w:t>
                  </w:r>
                </w:p>
              </w:tc>
              <w:tc>
                <w:tcPr>
                  <w:tcW w:w="1582" w:type="pct"/>
                  <w:vAlign w:val="center"/>
                </w:tcPr>
                <w:p w14:paraId="1D3D5746">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污水处理站、危废暂存间、事故应急池</w:t>
                  </w:r>
                </w:p>
              </w:tc>
              <w:tc>
                <w:tcPr>
                  <w:tcW w:w="2513" w:type="pct"/>
                  <w:vAlign w:val="center"/>
                </w:tcPr>
                <w:p w14:paraId="1AC91360">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防渗要求：等效黏土防渗层Mb≥1.5m，K≤1×10</w:t>
                  </w:r>
                  <w:r>
                    <w:rPr>
                      <w:rFonts w:hint="default" w:ascii="Times New Roman" w:hAnsi="Times New Roman" w:eastAsia="宋体" w:cs="Times New Roman"/>
                      <w:color w:val="auto"/>
                      <w:sz w:val="21"/>
                      <w:szCs w:val="21"/>
                      <w:highlight w:val="none"/>
                      <w:vertAlign w:val="superscript"/>
                    </w:rPr>
                    <w:t>-7</w:t>
                  </w:r>
                  <w:r>
                    <w:rPr>
                      <w:rFonts w:hint="default" w:ascii="Times New Roman" w:hAnsi="Times New Roman" w:eastAsia="宋体" w:cs="Times New Roman"/>
                      <w:color w:val="auto"/>
                      <w:sz w:val="21"/>
                      <w:szCs w:val="21"/>
                      <w:highlight w:val="none"/>
                    </w:rPr>
                    <w:t>cm/s</w:t>
                  </w:r>
                </w:p>
              </w:tc>
            </w:tr>
            <w:tr w14:paraId="48AEAAE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04" w:type="pct"/>
                  <w:vMerge w:val="restart"/>
                  <w:vAlign w:val="center"/>
                </w:tcPr>
                <w:p w14:paraId="1BCA4E0B">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一般</w:t>
                  </w:r>
                </w:p>
                <w:p w14:paraId="0F43CF66">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防渗区</w:t>
                  </w:r>
                </w:p>
              </w:tc>
              <w:tc>
                <w:tcPr>
                  <w:tcW w:w="1582" w:type="pct"/>
                  <w:vAlign w:val="center"/>
                </w:tcPr>
                <w:p w14:paraId="121C11D1">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生产车间、仓库等</w:t>
                  </w:r>
                </w:p>
              </w:tc>
              <w:tc>
                <w:tcPr>
                  <w:tcW w:w="2513" w:type="pct"/>
                  <w:vMerge w:val="restart"/>
                  <w:vAlign w:val="center"/>
                </w:tcPr>
                <w:p w14:paraId="5763A9AC">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一般防渗</w:t>
                  </w:r>
                  <w:r>
                    <w:rPr>
                      <w:rFonts w:hint="default" w:ascii="Times New Roman" w:hAnsi="Times New Roman" w:eastAsia="宋体" w:cs="Times New Roman"/>
                      <w:color w:val="auto"/>
                      <w:sz w:val="21"/>
                      <w:szCs w:val="21"/>
                      <w:highlight w:val="none"/>
                    </w:rPr>
                    <w:t xml:space="preserve"> </w:t>
                  </w:r>
                </w:p>
              </w:tc>
            </w:tr>
            <w:tr w14:paraId="452612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04" w:type="pct"/>
                  <w:vMerge w:val="continue"/>
                  <w:vAlign w:val="center"/>
                </w:tcPr>
                <w:p w14:paraId="55AC0358">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p>
              </w:tc>
              <w:tc>
                <w:tcPr>
                  <w:tcW w:w="1582" w:type="pct"/>
                  <w:vAlign w:val="center"/>
                </w:tcPr>
                <w:p w14:paraId="26CBECB0">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一般工业固体废物暂存处</w:t>
                  </w:r>
                </w:p>
              </w:tc>
              <w:tc>
                <w:tcPr>
                  <w:tcW w:w="2513" w:type="pct"/>
                  <w:vMerge w:val="continue"/>
                  <w:vAlign w:val="center"/>
                </w:tcPr>
                <w:p w14:paraId="1F3646F5">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p>
              </w:tc>
            </w:tr>
            <w:tr w14:paraId="7EF5D96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04" w:type="pct"/>
                  <w:vAlign w:val="center"/>
                </w:tcPr>
                <w:p w14:paraId="58CAE71A">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简单防渗区</w:t>
                  </w:r>
                </w:p>
              </w:tc>
              <w:tc>
                <w:tcPr>
                  <w:tcW w:w="1582" w:type="pct"/>
                  <w:vAlign w:val="center"/>
                </w:tcPr>
                <w:p w14:paraId="1174C468">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办公</w:t>
                  </w:r>
                  <w:r>
                    <w:rPr>
                      <w:rFonts w:hint="eastAsia" w:cs="Times New Roman"/>
                      <w:color w:val="auto"/>
                      <w:sz w:val="21"/>
                      <w:szCs w:val="21"/>
                      <w:highlight w:val="none"/>
                      <w:lang w:val="en-US" w:eastAsia="zh-CN"/>
                    </w:rPr>
                    <w:t>楼</w:t>
                  </w:r>
                </w:p>
              </w:tc>
              <w:tc>
                <w:tcPr>
                  <w:tcW w:w="2513" w:type="pct"/>
                  <w:vAlign w:val="center"/>
                </w:tcPr>
                <w:p w14:paraId="24B3151E">
                  <w:pPr>
                    <w:pStyle w:val="11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一般地面硬化</w:t>
                  </w:r>
                </w:p>
              </w:tc>
            </w:tr>
          </w:tbl>
          <w:p w14:paraId="52FBD65A">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其他防控要求：</w:t>
            </w:r>
          </w:p>
          <w:p w14:paraId="66EBF423">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fldChar w:fldCharType="begin"/>
            </w:r>
            <w:r>
              <w:rPr>
                <w:rFonts w:hint="default" w:ascii="Times New Roman" w:hAnsi="Times New Roman" w:eastAsia="宋体" w:cs="Times New Roman"/>
                <w:color w:val="auto"/>
                <w:sz w:val="24"/>
                <w:highlight w:val="none"/>
              </w:rPr>
              <w:instrText xml:space="preserve"> = 1 \* alphabetic </w:instrText>
            </w:r>
            <w:r>
              <w:rPr>
                <w:rFonts w:hint="default" w:ascii="Times New Roman" w:hAnsi="Times New Roman" w:eastAsia="宋体" w:cs="Times New Roman"/>
                <w:color w:val="auto"/>
                <w:sz w:val="24"/>
                <w:highlight w:val="none"/>
              </w:rPr>
              <w:fldChar w:fldCharType="separate"/>
            </w:r>
            <w:r>
              <w:rPr>
                <w:rFonts w:hint="default" w:ascii="Times New Roman" w:hAnsi="Times New Roman" w:eastAsia="宋体" w:cs="Times New Roman"/>
                <w:color w:val="auto"/>
                <w:sz w:val="24"/>
                <w:highlight w:val="none"/>
              </w:rPr>
              <w:t>a</w:t>
            </w:r>
            <w:r>
              <w:rPr>
                <w:rFonts w:hint="default" w:ascii="Times New Roman" w:hAnsi="Times New Roman" w:eastAsia="宋体" w:cs="Times New Roman"/>
                <w:color w:val="auto"/>
                <w:sz w:val="24"/>
                <w:highlight w:val="none"/>
              </w:rPr>
              <w:fldChar w:fldCharType="end"/>
            </w:r>
            <w:r>
              <w:rPr>
                <w:rFonts w:hint="default" w:ascii="Times New Roman" w:hAnsi="Times New Roman" w:eastAsia="宋体" w:cs="Times New Roman"/>
                <w:color w:val="auto"/>
                <w:sz w:val="24"/>
                <w:highlight w:val="none"/>
              </w:rPr>
              <w:t>、选用优质设备和管件，并加强日常管理和维修维护工作，防止和减少跑、冒、滴、漏现象的发生。</w:t>
            </w:r>
          </w:p>
          <w:p w14:paraId="5D2824B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b、对废水收集处理系统的收集池等构筑物采取防腐、防渗措施，防止渗水污染地下水。</w:t>
            </w:r>
          </w:p>
          <w:p w14:paraId="2E2261FD">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c、在厂区内设置排水系统并做好相应的防渗措施。同时在厂区内严格管理，禁止进行分散的地面漫流冲洗。</w:t>
            </w:r>
          </w:p>
          <w:p w14:paraId="015AE299">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kern w:val="0"/>
                <w:sz w:val="24"/>
                <w:highlight w:val="none"/>
              </w:rPr>
            </w:pPr>
            <w:r>
              <w:rPr>
                <w:rFonts w:hint="default" w:ascii="Times New Roman" w:hAnsi="Times New Roman" w:eastAsia="宋体" w:cs="Times New Roman"/>
                <w:color w:val="auto"/>
                <w:kern w:val="0"/>
                <w:sz w:val="24"/>
                <w:highlight w:val="none"/>
              </w:rPr>
              <w:t>（3）跟踪监测要求</w:t>
            </w:r>
          </w:p>
          <w:p w14:paraId="49404F04">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highlight w:val="yellow"/>
              </w:rPr>
            </w:pPr>
            <w:r>
              <w:rPr>
                <w:rFonts w:hint="default" w:ascii="Times New Roman" w:hAnsi="Times New Roman" w:eastAsia="宋体" w:cs="Times New Roman"/>
                <w:color w:val="auto"/>
                <w:kern w:val="0"/>
                <w:sz w:val="24"/>
                <w:highlight w:val="none"/>
              </w:rPr>
              <w:t>本项目对可能产生地下水和土壤影响的各项途径均进行有效预防，在确保各项防渗措施得以落实，并加强维护和</w:t>
            </w:r>
            <w:r>
              <w:rPr>
                <w:rFonts w:hint="default" w:ascii="Times New Roman" w:hAnsi="Times New Roman" w:eastAsia="宋体" w:cs="Times New Roman"/>
                <w:color w:val="auto"/>
                <w:sz w:val="24"/>
                <w:highlight w:val="none"/>
              </w:rPr>
              <w:t>厂区</w:t>
            </w:r>
            <w:r>
              <w:rPr>
                <w:rFonts w:hint="default" w:ascii="Times New Roman" w:hAnsi="Times New Roman" w:eastAsia="宋体" w:cs="Times New Roman"/>
                <w:color w:val="auto"/>
                <w:kern w:val="0"/>
                <w:sz w:val="24"/>
                <w:highlight w:val="none"/>
              </w:rPr>
              <w:t>环境管理的前提下，可有效控制项目产生的污染物下渗现象，避免污染地下水和土壤。根据HJ610-2016和HJ964-2018，本项目可不设置地下水和土壤跟踪监控点。</w:t>
            </w:r>
          </w:p>
          <w:p w14:paraId="6FE1D3B5">
            <w:pPr>
              <w:pStyle w:val="12"/>
              <w:keepNext w:val="0"/>
              <w:keepLines w:val="0"/>
              <w:suppressLineNumbers w:val="0"/>
              <w:kinsoku/>
              <w:overflowPunct w:val="0"/>
              <w:topLinePunct/>
              <w:autoSpaceDN/>
              <w:spacing w:beforeAutospacing="0" w:after="0" w:afterAutospacing="0" w:line="360" w:lineRule="auto"/>
              <w:ind w:left="0" w:leftChars="0" w:firstLine="0" w:firstLineChars="0"/>
              <w:textAlignment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6 、电磁辐射环境影响分析</w:t>
            </w:r>
          </w:p>
          <w:p w14:paraId="5091DBDF">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eastAsia" w:cs="Times New Roman"/>
                <w:color w:val="auto"/>
                <w:sz w:val="24"/>
                <w:highlight w:val="none"/>
                <w:lang w:val="en-US" w:eastAsia="zh-CN"/>
              </w:rPr>
              <w:t>本项目不涉及电磁辐射</w:t>
            </w:r>
            <w:r>
              <w:rPr>
                <w:rFonts w:hint="default" w:ascii="Times New Roman" w:hAnsi="Times New Roman" w:eastAsia="宋体" w:cs="Times New Roman"/>
                <w:color w:val="auto"/>
                <w:sz w:val="24"/>
                <w:highlight w:val="none"/>
              </w:rPr>
              <w:t>。因此，本评价不对电磁辐射环境影响进行分析。</w:t>
            </w:r>
          </w:p>
          <w:p w14:paraId="125DCC28">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7</w:t>
            </w:r>
            <w:r>
              <w:rPr>
                <w:rFonts w:hint="default" w:ascii="Times New Roman" w:hAnsi="Times New Roman" w:eastAsia="宋体" w:cs="Times New Roman"/>
                <w:b/>
                <w:bCs/>
                <w:color w:val="auto"/>
                <w:sz w:val="24"/>
                <w:highlight w:val="none"/>
              </w:rPr>
              <w:t>、环境风险影响分析</w:t>
            </w:r>
          </w:p>
          <w:p w14:paraId="55BD1A6C">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（1）环境风险识别</w:t>
            </w:r>
          </w:p>
          <w:p w14:paraId="01D9AD6A">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yellow"/>
              </w:rPr>
            </w:pPr>
            <w:r>
              <w:rPr>
                <w:rFonts w:hint="default" w:ascii="Times New Roman" w:hAnsi="Times New Roman" w:eastAsia="宋体" w:cs="Times New Roman"/>
                <w:color w:val="auto"/>
                <w:sz w:val="24"/>
                <w:highlight w:val="none"/>
              </w:rPr>
              <w:t>根据《建设项目环境风险评价技术导则》（HJ169-2018），结合项目原辅材料、工程分析和工艺特点可知，本项目危险物质和风险源情况分析如下：</w:t>
            </w:r>
          </w:p>
          <w:p w14:paraId="2BB6D13D">
            <w:pPr>
              <w:keepNext w:val="0"/>
              <w:keepLines w:val="0"/>
              <w:pageBreakBefore w:val="0"/>
              <w:widowControl w:val="0"/>
              <w:suppressLineNumbers w:val="0"/>
              <w:tabs>
                <w:tab w:val="left" w:pos="420"/>
                <w:tab w:val="left" w:pos="630"/>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表4-</w:t>
            </w:r>
            <w:r>
              <w:rPr>
                <w:rFonts w:hint="default" w:ascii="Times New Roman" w:hAnsi="Times New Roman" w:cs="Times New Roman"/>
                <w:b/>
                <w:color w:val="auto"/>
                <w:sz w:val="21"/>
                <w:szCs w:val="21"/>
                <w:highlight w:val="none"/>
                <w:lang w:val="en-US" w:eastAsia="zh-CN"/>
              </w:rPr>
              <w:t>2</w:t>
            </w:r>
            <w:r>
              <w:rPr>
                <w:rFonts w:hint="eastAsia" w:cs="Times New Roman"/>
                <w:b/>
                <w:color w:val="auto"/>
                <w:sz w:val="21"/>
                <w:szCs w:val="21"/>
                <w:highlight w:val="none"/>
                <w:lang w:val="en-US" w:eastAsia="zh-CN"/>
              </w:rPr>
              <w:t>3</w:t>
            </w:r>
            <w:r>
              <w:rPr>
                <w:rFonts w:hint="default" w:ascii="Times New Roman" w:hAnsi="Times New Roman" w:eastAsia="宋体" w:cs="Times New Roman"/>
                <w:b/>
                <w:color w:val="auto"/>
                <w:sz w:val="21"/>
                <w:szCs w:val="21"/>
                <w:highlight w:val="none"/>
              </w:rPr>
              <w:t xml:space="preserve">   项目危险物质和风险源分析一览表</w:t>
            </w:r>
          </w:p>
          <w:tbl>
            <w:tblPr>
              <w:tblStyle w:val="28"/>
              <w:tblW w:w="4995"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664"/>
              <w:gridCol w:w="834"/>
              <w:gridCol w:w="812"/>
              <w:gridCol w:w="976"/>
              <w:gridCol w:w="1302"/>
              <w:gridCol w:w="1127"/>
              <w:gridCol w:w="1511"/>
              <w:gridCol w:w="1265"/>
            </w:tblGrid>
            <w:tr w14:paraId="07426E1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1" w:type="pct"/>
                  <w:vAlign w:val="center"/>
                </w:tcPr>
                <w:p w14:paraId="7C38CC14">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项目</w:t>
                  </w:r>
                </w:p>
              </w:tc>
              <w:tc>
                <w:tcPr>
                  <w:tcW w:w="491" w:type="pct"/>
                  <w:vAlign w:val="center"/>
                </w:tcPr>
                <w:p w14:paraId="0F8A6175">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有毒有害物质</w:t>
                  </w:r>
                </w:p>
              </w:tc>
              <w:tc>
                <w:tcPr>
                  <w:tcW w:w="478" w:type="pct"/>
                  <w:vAlign w:val="center"/>
                </w:tcPr>
                <w:p w14:paraId="2817782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易燃易爆物质</w:t>
                  </w:r>
                </w:p>
              </w:tc>
              <w:tc>
                <w:tcPr>
                  <w:tcW w:w="574" w:type="pct"/>
                  <w:vAlign w:val="center"/>
                </w:tcPr>
                <w:p w14:paraId="1055B8ED">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风险源</w:t>
                  </w:r>
                </w:p>
              </w:tc>
              <w:tc>
                <w:tcPr>
                  <w:tcW w:w="766" w:type="pct"/>
                  <w:vAlign w:val="center"/>
                </w:tcPr>
                <w:p w14:paraId="43D1634B">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lang w:val="en-US" w:eastAsia="zh-CN"/>
                    </w:rPr>
                  </w:pPr>
                  <w:r>
                    <w:rPr>
                      <w:rFonts w:hint="eastAsia" w:cs="Times New Roman"/>
                      <w:b/>
                      <w:bCs/>
                      <w:color w:val="auto"/>
                      <w:kern w:val="0"/>
                      <w:sz w:val="21"/>
                      <w:szCs w:val="21"/>
                      <w:highlight w:val="none"/>
                      <w:lang w:val="en-US" w:eastAsia="zh-CN"/>
                    </w:rPr>
                    <w:t>最大暂存量或在线量</w:t>
                  </w:r>
                </w:p>
              </w:tc>
              <w:tc>
                <w:tcPr>
                  <w:tcW w:w="663" w:type="pct"/>
                  <w:vAlign w:val="center"/>
                </w:tcPr>
                <w:p w14:paraId="2914373D">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lang w:val="en-US" w:eastAsia="zh-CN"/>
                    </w:rPr>
                  </w:pPr>
                  <w:r>
                    <w:rPr>
                      <w:rFonts w:hint="eastAsia" w:cs="Times New Roman"/>
                      <w:b/>
                      <w:bCs/>
                      <w:color w:val="auto"/>
                      <w:kern w:val="0"/>
                      <w:sz w:val="21"/>
                      <w:szCs w:val="21"/>
                      <w:highlight w:val="none"/>
                      <w:lang w:val="en-US" w:eastAsia="zh-CN"/>
                    </w:rPr>
                    <w:t>临界量t</w:t>
                  </w:r>
                </w:p>
              </w:tc>
              <w:tc>
                <w:tcPr>
                  <w:tcW w:w="889" w:type="pct"/>
                  <w:vAlign w:val="center"/>
                </w:tcPr>
                <w:p w14:paraId="4A1F16C2">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b/>
                      <w:bCs/>
                      <w:color w:val="auto"/>
                      <w:kern w:val="0"/>
                      <w:sz w:val="21"/>
                      <w:szCs w:val="21"/>
                      <w:highlight w:val="none"/>
                      <w:lang w:val="en-US" w:eastAsia="zh-CN"/>
                    </w:rPr>
                  </w:pPr>
                  <w:r>
                    <w:rPr>
                      <w:rFonts w:hint="eastAsia" w:cs="Times New Roman"/>
                      <w:b/>
                      <w:bCs/>
                      <w:color w:val="auto"/>
                      <w:kern w:val="0"/>
                      <w:sz w:val="21"/>
                      <w:szCs w:val="21"/>
                      <w:highlight w:val="none"/>
                      <w:lang w:val="en-US" w:eastAsia="zh-CN"/>
                    </w:rPr>
                    <w:t>危险物质数量与临界量比值</w:t>
                  </w:r>
                </w:p>
              </w:tc>
              <w:tc>
                <w:tcPr>
                  <w:tcW w:w="744" w:type="pct"/>
                  <w:vAlign w:val="center"/>
                </w:tcPr>
                <w:p w14:paraId="5D1D6D06">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可能影响途经</w:t>
                  </w:r>
                </w:p>
              </w:tc>
            </w:tr>
            <w:tr w14:paraId="00F9A2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1" w:type="pct"/>
                  <w:vMerge w:val="restart"/>
                  <w:vAlign w:val="center"/>
                </w:tcPr>
                <w:p w14:paraId="03A5FBF8">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原辅材料</w:t>
                  </w:r>
                </w:p>
              </w:tc>
              <w:tc>
                <w:tcPr>
                  <w:tcW w:w="491" w:type="pct"/>
                  <w:vAlign w:val="center"/>
                </w:tcPr>
                <w:p w14:paraId="0F8D3AC4">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eastAsia="zh-CN"/>
                    </w:rPr>
                  </w:pPr>
                  <w:r>
                    <w:rPr>
                      <w:rFonts w:hint="eastAsia" w:cs="Times New Roman"/>
                      <w:color w:val="auto"/>
                      <w:kern w:val="0"/>
                      <w:sz w:val="21"/>
                      <w:szCs w:val="21"/>
                      <w:highlight w:val="none"/>
                      <w:lang w:val="en-US" w:eastAsia="zh-CN"/>
                    </w:rPr>
                    <w:t>液氨（制冷剂）</w:t>
                  </w:r>
                </w:p>
              </w:tc>
              <w:tc>
                <w:tcPr>
                  <w:tcW w:w="478" w:type="pct"/>
                  <w:vAlign w:val="center"/>
                </w:tcPr>
                <w:p w14:paraId="3CF3CDD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eastAsia="zh-CN"/>
                    </w:rPr>
                  </w:pPr>
                  <w:r>
                    <w:rPr>
                      <w:rFonts w:hint="eastAsia" w:cs="Times New Roman"/>
                      <w:color w:val="auto"/>
                      <w:kern w:val="0"/>
                      <w:sz w:val="21"/>
                      <w:szCs w:val="21"/>
                      <w:highlight w:val="none"/>
                      <w:lang w:val="en-US" w:eastAsia="zh-CN"/>
                    </w:rPr>
                    <w:t>/</w:t>
                  </w:r>
                </w:p>
              </w:tc>
              <w:tc>
                <w:tcPr>
                  <w:tcW w:w="574" w:type="pct"/>
                  <w:vAlign w:val="center"/>
                </w:tcPr>
                <w:p w14:paraId="274C9BE9">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eastAsia="zh-CN"/>
                    </w:rPr>
                  </w:pPr>
                  <w:r>
                    <w:rPr>
                      <w:rFonts w:hint="eastAsia" w:cs="Times New Roman"/>
                      <w:color w:val="auto"/>
                      <w:kern w:val="0"/>
                      <w:sz w:val="21"/>
                      <w:szCs w:val="21"/>
                      <w:highlight w:val="none"/>
                      <w:lang w:val="en-US" w:eastAsia="zh-CN"/>
                    </w:rPr>
                    <w:t>液氨</w:t>
                  </w:r>
                </w:p>
              </w:tc>
              <w:tc>
                <w:tcPr>
                  <w:tcW w:w="766" w:type="pct"/>
                  <w:vAlign w:val="center"/>
                </w:tcPr>
                <w:p w14:paraId="66EA3D7F">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0.04t（在线量）</w:t>
                  </w:r>
                </w:p>
              </w:tc>
              <w:tc>
                <w:tcPr>
                  <w:tcW w:w="663" w:type="pct"/>
                  <w:vAlign w:val="center"/>
                </w:tcPr>
                <w:p w14:paraId="65F95A9F">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10</w:t>
                  </w:r>
                </w:p>
              </w:tc>
              <w:tc>
                <w:tcPr>
                  <w:tcW w:w="889" w:type="pct"/>
                  <w:vAlign w:val="center"/>
                </w:tcPr>
                <w:p w14:paraId="5A876BB9">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0.004</w:t>
                  </w:r>
                </w:p>
              </w:tc>
              <w:tc>
                <w:tcPr>
                  <w:tcW w:w="744" w:type="pct"/>
                  <w:vAlign w:val="center"/>
                </w:tcPr>
                <w:p w14:paraId="4FE7CA34">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eastAsia="zh-CN"/>
                    </w:rPr>
                  </w:pPr>
                  <w:r>
                    <w:rPr>
                      <w:rFonts w:hint="eastAsia" w:cs="Times New Roman"/>
                      <w:color w:val="auto"/>
                      <w:kern w:val="0"/>
                      <w:sz w:val="21"/>
                      <w:szCs w:val="21"/>
                      <w:highlight w:val="none"/>
                      <w:lang w:val="en-US" w:eastAsia="zh-CN"/>
                    </w:rPr>
                    <w:t>泄漏</w:t>
                  </w:r>
                </w:p>
              </w:tc>
            </w:tr>
            <w:tr w14:paraId="187E75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1" w:type="pct"/>
                  <w:vMerge w:val="continue"/>
                  <w:vAlign w:val="center"/>
                </w:tcPr>
                <w:p w14:paraId="302D94E7">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p>
              </w:tc>
              <w:tc>
                <w:tcPr>
                  <w:tcW w:w="491" w:type="pct"/>
                  <w:vAlign w:val="center"/>
                </w:tcPr>
                <w:p w14:paraId="6723426A">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片碱（水处理剂）</w:t>
                  </w:r>
                </w:p>
              </w:tc>
              <w:tc>
                <w:tcPr>
                  <w:tcW w:w="478" w:type="pct"/>
                  <w:vAlign w:val="center"/>
                </w:tcPr>
                <w:p w14:paraId="396ECA6B">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w:t>
                  </w:r>
                </w:p>
              </w:tc>
              <w:tc>
                <w:tcPr>
                  <w:tcW w:w="574" w:type="pct"/>
                  <w:vAlign w:val="center"/>
                </w:tcPr>
                <w:p w14:paraId="7FB9DDC9">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氢氧化钠</w:t>
                  </w:r>
                </w:p>
              </w:tc>
              <w:tc>
                <w:tcPr>
                  <w:tcW w:w="766" w:type="pct"/>
                  <w:vAlign w:val="center"/>
                </w:tcPr>
                <w:p w14:paraId="5D6D036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1t</w:t>
                  </w:r>
                </w:p>
              </w:tc>
              <w:tc>
                <w:tcPr>
                  <w:tcW w:w="663" w:type="pct"/>
                  <w:vAlign w:val="center"/>
                </w:tcPr>
                <w:p w14:paraId="742939D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50</w:t>
                  </w:r>
                </w:p>
              </w:tc>
              <w:tc>
                <w:tcPr>
                  <w:tcW w:w="889" w:type="pct"/>
                  <w:vAlign w:val="center"/>
                </w:tcPr>
                <w:p w14:paraId="1CFEC631">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0.02</w:t>
                  </w:r>
                </w:p>
              </w:tc>
              <w:tc>
                <w:tcPr>
                  <w:tcW w:w="744" w:type="pct"/>
                  <w:vAlign w:val="center"/>
                </w:tcPr>
                <w:p w14:paraId="17524FB3">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泄漏</w:t>
                  </w:r>
                </w:p>
              </w:tc>
            </w:tr>
            <w:tr w14:paraId="0BD42A1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1" w:type="pct"/>
                  <w:vAlign w:val="center"/>
                </w:tcPr>
                <w:p w14:paraId="109BE847">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固体废物</w:t>
                  </w:r>
                </w:p>
              </w:tc>
              <w:tc>
                <w:tcPr>
                  <w:tcW w:w="491" w:type="pct"/>
                  <w:vAlign w:val="center"/>
                </w:tcPr>
                <w:p w14:paraId="66A0FB4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eastAsia="zh-CN"/>
                    </w:rPr>
                  </w:pPr>
                  <w:r>
                    <w:rPr>
                      <w:rFonts w:hint="eastAsia" w:cs="Times New Roman"/>
                      <w:color w:val="auto"/>
                      <w:kern w:val="0"/>
                      <w:sz w:val="21"/>
                      <w:szCs w:val="21"/>
                      <w:highlight w:val="none"/>
                      <w:lang w:val="en-US" w:eastAsia="zh-CN"/>
                    </w:rPr>
                    <w:t>废机油</w:t>
                  </w:r>
                </w:p>
              </w:tc>
              <w:tc>
                <w:tcPr>
                  <w:tcW w:w="478" w:type="pct"/>
                  <w:vAlign w:val="center"/>
                </w:tcPr>
                <w:p w14:paraId="208892DE">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废机油</w:t>
                  </w:r>
                </w:p>
              </w:tc>
              <w:tc>
                <w:tcPr>
                  <w:tcW w:w="574" w:type="pct"/>
                  <w:vAlign w:val="center"/>
                </w:tcPr>
                <w:p w14:paraId="63CE3EE1">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eastAsia" w:cs="Times New Roman"/>
                      <w:color w:val="auto"/>
                      <w:kern w:val="0"/>
                      <w:sz w:val="21"/>
                      <w:szCs w:val="21"/>
                      <w:highlight w:val="none"/>
                      <w:lang w:val="en-US" w:eastAsia="zh-CN"/>
                    </w:rPr>
                    <w:t>废机油</w:t>
                  </w:r>
                </w:p>
              </w:tc>
              <w:tc>
                <w:tcPr>
                  <w:tcW w:w="766" w:type="pct"/>
                  <w:vAlign w:val="center"/>
                </w:tcPr>
                <w:p w14:paraId="49EC0B48">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0.01t</w:t>
                  </w:r>
                </w:p>
              </w:tc>
              <w:tc>
                <w:tcPr>
                  <w:tcW w:w="663" w:type="pct"/>
                  <w:vAlign w:val="center"/>
                </w:tcPr>
                <w:p w14:paraId="3325ECEA">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50</w:t>
                  </w:r>
                </w:p>
              </w:tc>
              <w:tc>
                <w:tcPr>
                  <w:tcW w:w="889" w:type="pct"/>
                  <w:vAlign w:val="center"/>
                </w:tcPr>
                <w:p w14:paraId="44F6301A">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0.002</w:t>
                  </w:r>
                </w:p>
              </w:tc>
              <w:tc>
                <w:tcPr>
                  <w:tcW w:w="744" w:type="pct"/>
                  <w:vAlign w:val="center"/>
                </w:tcPr>
                <w:p w14:paraId="0C90C9BE">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泄漏</w:t>
                  </w:r>
                </w:p>
              </w:tc>
            </w:tr>
            <w:tr w14:paraId="07D74E1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1" w:type="pct"/>
                  <w:vAlign w:val="center"/>
                </w:tcPr>
                <w:p w14:paraId="77CCFF4B">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其他</w:t>
                  </w:r>
                </w:p>
              </w:tc>
              <w:tc>
                <w:tcPr>
                  <w:tcW w:w="491" w:type="pct"/>
                  <w:vAlign w:val="center"/>
                </w:tcPr>
                <w:p w14:paraId="4DE12A08">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w:t>
                  </w:r>
                </w:p>
              </w:tc>
              <w:tc>
                <w:tcPr>
                  <w:tcW w:w="478" w:type="pct"/>
                  <w:vAlign w:val="center"/>
                </w:tcPr>
                <w:p w14:paraId="7461A6CD">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生物质燃料</w:t>
                  </w:r>
                </w:p>
              </w:tc>
              <w:tc>
                <w:tcPr>
                  <w:tcW w:w="574" w:type="pct"/>
                  <w:vAlign w:val="center"/>
                </w:tcPr>
                <w:p w14:paraId="29E3DFE2">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火灾事故</w:t>
                  </w:r>
                </w:p>
              </w:tc>
              <w:tc>
                <w:tcPr>
                  <w:tcW w:w="766" w:type="pct"/>
                  <w:vAlign w:val="center"/>
                </w:tcPr>
                <w:p w14:paraId="178BB40B">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w:t>
                  </w:r>
                </w:p>
              </w:tc>
              <w:tc>
                <w:tcPr>
                  <w:tcW w:w="663" w:type="pct"/>
                  <w:vAlign w:val="center"/>
                </w:tcPr>
                <w:p w14:paraId="6C1DD57E">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w:t>
                  </w:r>
                </w:p>
              </w:tc>
              <w:tc>
                <w:tcPr>
                  <w:tcW w:w="889" w:type="pct"/>
                  <w:vAlign w:val="center"/>
                </w:tcPr>
                <w:p w14:paraId="070F4ECB">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w:t>
                  </w:r>
                </w:p>
              </w:tc>
              <w:tc>
                <w:tcPr>
                  <w:tcW w:w="744" w:type="pct"/>
                  <w:vAlign w:val="center"/>
                </w:tcPr>
                <w:p w14:paraId="6A8AE6BB">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燃烧废气对环境空气影响</w:t>
                  </w:r>
                </w:p>
              </w:tc>
            </w:tr>
          </w:tbl>
          <w:p w14:paraId="16964F68">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rPr>
              <w:t>根据上表分析，</w:t>
            </w:r>
            <w:r>
              <w:rPr>
                <w:rFonts w:hint="default" w:ascii="Times New Roman" w:hAnsi="Times New Roman" w:eastAsia="宋体" w:cs="Times New Roman"/>
                <w:color w:val="auto"/>
                <w:sz w:val="24"/>
                <w:highlight w:val="none"/>
                <w:lang w:val="en-US" w:eastAsia="zh-CN"/>
              </w:rPr>
              <w:t>危险物质数量与临界量比值</w:t>
            </w:r>
            <w:r>
              <w:rPr>
                <w:rFonts w:hint="eastAsia" w:cs="Times New Roman"/>
                <w:color w:val="auto"/>
                <w:sz w:val="24"/>
                <w:highlight w:val="none"/>
                <w:lang w:val="en-US" w:eastAsia="zh-CN"/>
              </w:rPr>
              <w:t>Q=0.026</w:t>
            </w:r>
            <w:r>
              <w:rPr>
                <w:rFonts w:hint="default" w:ascii="Times New Roman" w:hAnsi="Times New Roman" w:eastAsia="宋体" w:cs="Times New Roman"/>
                <w:color w:val="auto"/>
                <w:sz w:val="24"/>
                <w:highlight w:val="none"/>
              </w:rPr>
              <w:t>＜1，综合判定本项目环境风险综合潜势为Ⅰ</w:t>
            </w:r>
            <w:r>
              <w:rPr>
                <w:rFonts w:hint="eastAsia" w:cs="Times New Roman"/>
                <w:color w:val="auto"/>
                <w:sz w:val="24"/>
                <w:highlight w:val="none"/>
                <w:lang w:eastAsia="zh-CN"/>
              </w:rPr>
              <w:t>，</w:t>
            </w:r>
            <w:r>
              <w:rPr>
                <w:rFonts w:hint="eastAsia" w:cs="Times New Roman"/>
                <w:color w:val="auto"/>
                <w:sz w:val="24"/>
                <w:highlight w:val="none"/>
                <w:lang w:val="en-US" w:eastAsia="zh-CN"/>
              </w:rPr>
              <w:t>开展简单分析。</w:t>
            </w:r>
          </w:p>
          <w:p w14:paraId="000A6D74">
            <w:pPr>
              <w:pStyle w:val="7"/>
              <w:spacing w:line="360" w:lineRule="auto"/>
              <w:ind w:firstLine="480"/>
              <w:rPr>
                <w:rFonts w:hint="default" w:ascii="Times New Roman" w:hAnsi="Times New Roman" w:eastAsia="宋体" w:cs="Times New Roman"/>
                <w:b w:val="0"/>
                <w:bCs w:val="0"/>
                <w:color w:val="auto"/>
                <w:sz w:val="24"/>
                <w:highlight w:val="none"/>
                <w:u w:val="none" w:color="auto"/>
              </w:rPr>
            </w:pPr>
            <w:r>
              <w:rPr>
                <w:rFonts w:hint="eastAsia" w:cs="Times New Roman"/>
                <w:b w:val="0"/>
                <w:bCs w:val="0"/>
                <w:color w:val="auto"/>
                <w:sz w:val="24"/>
                <w:highlight w:val="none"/>
                <w:u w:val="none" w:color="auto"/>
                <w:lang w:val="en-US" w:eastAsia="zh-CN"/>
              </w:rPr>
              <w:t>（2）风险</w:t>
            </w:r>
            <w:r>
              <w:rPr>
                <w:rFonts w:hint="default" w:ascii="Times New Roman" w:hAnsi="Times New Roman" w:eastAsia="宋体" w:cs="Times New Roman"/>
                <w:b w:val="0"/>
                <w:bCs w:val="0"/>
                <w:color w:val="auto"/>
                <w:sz w:val="24"/>
                <w:highlight w:val="none"/>
                <w:u w:val="none" w:color="auto"/>
              </w:rPr>
              <w:t>事故后果分析</w:t>
            </w:r>
          </w:p>
          <w:p w14:paraId="01EF28AB">
            <w:pPr>
              <w:keepNext w:val="0"/>
              <w:keepLines w:val="0"/>
              <w:suppressLineNumbers w:val="0"/>
              <w:tabs>
                <w:tab w:val="left" w:pos="720"/>
              </w:tabs>
              <w:spacing w:before="0" w:beforeAutospacing="0" w:after="0" w:afterAutospacing="0" w:line="360" w:lineRule="auto"/>
              <w:ind w:left="0" w:right="0" w:firstLine="480" w:firstLineChars="200"/>
              <w:rPr>
                <w:rFonts w:hint="eastAsia" w:cs="Times New Roman"/>
                <w:b w:val="0"/>
                <w:bCs w:val="0"/>
                <w:color w:val="auto"/>
                <w:sz w:val="24"/>
                <w:highlight w:val="none"/>
                <w:u w:val="none" w:color="auto"/>
                <w:lang w:val="en-US" w:eastAsia="zh-CN"/>
              </w:rPr>
            </w:pPr>
            <w:r>
              <w:rPr>
                <w:rFonts w:hint="eastAsia" w:ascii="宋体" w:hAnsi="宋体" w:eastAsia="宋体" w:cs="宋体"/>
                <w:b w:val="0"/>
                <w:bCs w:val="0"/>
                <w:color w:val="auto"/>
                <w:sz w:val="24"/>
                <w:highlight w:val="none"/>
                <w:u w:val="none" w:color="auto"/>
                <w:lang w:eastAsia="zh-CN"/>
              </w:rPr>
              <w:t>①</w:t>
            </w:r>
            <w:r>
              <w:rPr>
                <w:rFonts w:hint="eastAsia" w:cs="Times New Roman"/>
                <w:b w:val="0"/>
                <w:bCs w:val="0"/>
                <w:color w:val="auto"/>
                <w:sz w:val="24"/>
                <w:highlight w:val="none"/>
                <w:u w:val="none" w:color="auto"/>
                <w:lang w:val="en-US" w:eastAsia="zh-CN"/>
              </w:rPr>
              <w:t>火灾次生环境风险事故后果</w:t>
            </w:r>
          </w:p>
          <w:p w14:paraId="606C49FD">
            <w:pPr>
              <w:keepNext w:val="0"/>
              <w:keepLines w:val="0"/>
              <w:suppressLineNumbers w:val="0"/>
              <w:tabs>
                <w:tab w:val="left" w:pos="720"/>
              </w:tabs>
              <w:spacing w:before="0" w:beforeAutospacing="0" w:after="0" w:afterAutospacing="0" w:line="360" w:lineRule="auto"/>
              <w:ind w:left="0" w:right="0" w:firstLine="480" w:firstLineChars="200"/>
              <w:rPr>
                <w:rFonts w:hint="eastAsia"/>
                <w:u w:val="none"/>
                <w:lang w:val="en-US" w:eastAsia="zh-CN"/>
              </w:rPr>
            </w:pPr>
            <w:r>
              <w:rPr>
                <w:rFonts w:hint="eastAsia" w:cs="Times New Roman"/>
                <w:b w:val="0"/>
                <w:bCs w:val="0"/>
                <w:color w:val="auto"/>
                <w:sz w:val="24"/>
                <w:highlight w:val="none"/>
                <w:u w:val="none" w:color="auto"/>
                <w:lang w:val="en-US" w:eastAsia="zh-CN"/>
              </w:rPr>
              <w:t>本项目生物质锅炉燃料属于可燃物质。若发生火灾，火灾会通过热辐射影响周围环境。同时火灾会伴随释放大量的烟尘、一氧化碳和二氧化碳等大气污染物，对大气环境造成较大的污染。其外还会产生消防废水。</w:t>
            </w:r>
            <w:r>
              <w:rPr>
                <w:rFonts w:hint="eastAsia"/>
                <w:highlight w:val="none"/>
              </w:rPr>
              <w:t>依据《消防给水及消火栓系统技术规范》的有关规定</w:t>
            </w:r>
            <w:r>
              <w:rPr>
                <w:rFonts w:hint="eastAsia"/>
                <w:highlight w:val="none"/>
                <w:lang w:eastAsia="zh-CN"/>
              </w:rPr>
              <w:t>，</w:t>
            </w:r>
            <w:r>
              <w:rPr>
                <w:rFonts w:hint="eastAsia"/>
                <w:highlight w:val="none"/>
                <w:lang w:val="en-US" w:eastAsia="zh-CN"/>
              </w:rPr>
              <w:t>本项目厂区同一时间火灾次数为1次，室外消火栓用水量15L/s，室内消火栓用水量10L/s，则消防总水量约25L/s，火灾延续时间按2h计，</w:t>
            </w:r>
            <w:r>
              <w:rPr>
                <w:rFonts w:hint="eastAsia"/>
                <w:highlight w:val="none"/>
              </w:rPr>
              <w:t>本项目火灾消防用水量为</w:t>
            </w:r>
            <w:r>
              <w:rPr>
                <w:rFonts w:hint="eastAsia"/>
                <w:highlight w:val="none"/>
                <w:lang w:val="en-US" w:eastAsia="zh-CN"/>
              </w:rPr>
              <w:t>180</w:t>
            </w:r>
            <w:r>
              <w:rPr>
                <w:rFonts w:hint="eastAsia"/>
                <w:highlight w:val="none"/>
              </w:rPr>
              <w:t>m</w:t>
            </w:r>
            <w:r>
              <w:rPr>
                <w:rFonts w:hint="eastAsia"/>
                <w:highlight w:val="none"/>
                <w:vertAlign w:val="superscript"/>
              </w:rPr>
              <w:t>3</w:t>
            </w:r>
            <w:r>
              <w:rPr>
                <w:rFonts w:hint="eastAsia"/>
                <w:highlight w:val="none"/>
              </w:rPr>
              <w:t>/次。</w:t>
            </w:r>
            <w:r>
              <w:rPr>
                <w:rFonts w:hint="eastAsia"/>
                <w:u w:val="none"/>
                <w:lang w:val="en-US" w:eastAsia="zh-CN"/>
              </w:rPr>
              <w:t>本项目厂界设有实体围墙（约0.5m），污水处理站设有1个事故应急池（约260m</w:t>
            </w:r>
            <w:r>
              <w:rPr>
                <w:rFonts w:hint="eastAsia"/>
                <w:u w:val="none"/>
                <w:vertAlign w:val="superscript"/>
                <w:lang w:val="en-US" w:eastAsia="zh-CN"/>
              </w:rPr>
              <w:t>3</w:t>
            </w:r>
            <w:r>
              <w:rPr>
                <w:rFonts w:hint="eastAsia"/>
                <w:u w:val="none"/>
                <w:lang w:val="en-US" w:eastAsia="zh-CN"/>
              </w:rPr>
              <w:t>）</w:t>
            </w:r>
            <w:r>
              <w:rPr>
                <w:rFonts w:hint="default"/>
                <w:u w:val="none"/>
              </w:rPr>
              <w:t>，</w:t>
            </w:r>
            <w:r>
              <w:rPr>
                <w:rFonts w:hint="eastAsia"/>
                <w:u w:val="none"/>
                <w:lang w:val="en-US" w:eastAsia="zh-CN"/>
              </w:rPr>
              <w:t>若发生火灾，将厂内各雨水排放口堵截，并将南北方向2个大门处用沙袋进行堵截，可通过污水管网将消防废水引入事故应急池内（事故池容积可满足要求）。</w:t>
            </w:r>
          </w:p>
          <w:p w14:paraId="2B859CF2">
            <w:pPr>
              <w:keepNext w:val="0"/>
              <w:keepLines w:val="0"/>
              <w:suppressLineNumbers w:val="0"/>
              <w:tabs>
                <w:tab w:val="left" w:pos="720"/>
              </w:tabs>
              <w:spacing w:before="0" w:beforeAutospacing="0" w:after="0" w:afterAutospacing="0" w:line="360" w:lineRule="auto"/>
              <w:ind w:left="0" w:right="0" w:firstLine="480" w:firstLineChars="200"/>
              <w:rPr>
                <w:rFonts w:hint="eastAsia" w:cs="Times New Roman"/>
                <w:b w:val="0"/>
                <w:bCs w:val="0"/>
                <w:color w:val="auto"/>
                <w:sz w:val="24"/>
                <w:highlight w:val="none"/>
                <w:u w:val="none" w:color="auto"/>
                <w:lang w:val="en-US" w:eastAsia="zh-CN"/>
              </w:rPr>
            </w:pPr>
            <w:r>
              <w:rPr>
                <w:rFonts w:hint="eastAsia" w:ascii="宋体" w:hAnsi="宋体" w:eastAsia="宋体" w:cs="宋体"/>
                <w:b w:val="0"/>
                <w:bCs w:val="0"/>
                <w:color w:val="auto"/>
                <w:sz w:val="24"/>
                <w:highlight w:val="none"/>
                <w:u w:val="none" w:color="auto"/>
                <w:lang w:val="en-US" w:eastAsia="zh-CN"/>
              </w:rPr>
              <w:t>②</w:t>
            </w:r>
            <w:r>
              <w:rPr>
                <w:rFonts w:hint="eastAsia" w:cs="Times New Roman"/>
                <w:b w:val="0"/>
                <w:bCs w:val="0"/>
                <w:color w:val="auto"/>
                <w:sz w:val="24"/>
                <w:highlight w:val="none"/>
                <w:u w:val="none" w:color="auto"/>
                <w:lang w:val="en-US" w:eastAsia="zh-CN"/>
              </w:rPr>
              <w:t>危险物质泄漏环境风险事故后果</w:t>
            </w:r>
          </w:p>
          <w:p w14:paraId="55016B91">
            <w:pPr>
              <w:keepNext w:val="0"/>
              <w:keepLines w:val="0"/>
              <w:suppressLineNumbers w:val="0"/>
              <w:tabs>
                <w:tab w:val="left" w:pos="720"/>
              </w:tabs>
              <w:spacing w:before="0" w:beforeAutospacing="0" w:after="0" w:afterAutospacing="0" w:line="360" w:lineRule="auto"/>
              <w:ind w:left="0" w:right="0" w:firstLine="480" w:firstLineChars="200"/>
              <w:rPr>
                <w:rFonts w:hint="default" w:cs="Times New Roman"/>
                <w:b w:val="0"/>
                <w:bCs w:val="0"/>
                <w:color w:val="auto"/>
                <w:sz w:val="24"/>
                <w:highlight w:val="none"/>
                <w:u w:val="none" w:color="auto"/>
                <w:lang w:val="en-US" w:eastAsia="zh-CN"/>
              </w:rPr>
            </w:pPr>
            <w:r>
              <w:rPr>
                <w:rFonts w:hint="eastAsia" w:cs="Times New Roman"/>
                <w:b w:val="0"/>
                <w:bCs w:val="0"/>
                <w:color w:val="auto"/>
                <w:sz w:val="24"/>
                <w:highlight w:val="none"/>
                <w:u w:val="none" w:color="auto"/>
                <w:lang w:val="en-US" w:eastAsia="zh-CN"/>
              </w:rPr>
              <w:t>本项目制冷剂液氨仅存在于制冷设备中，泄漏的可能性很小；生产过程中产生的危险废物废机油也只有在设备故障维修时才会产生，且产生量极少，暂存于危废间后定期交由有资质单位处置，发生泄漏的可能性也很少。污水处理使用的药剂片碱暂存于污水处理站旁的站房内，若发生泄漏，可及时清扫处理，泄漏至厂外的可能性极少。因此，本项目危险物质泄漏环境风险事故后果较小，环境风险可控。</w:t>
            </w:r>
          </w:p>
          <w:p w14:paraId="182098E5">
            <w:pPr>
              <w:pStyle w:val="7"/>
              <w:spacing w:line="360" w:lineRule="auto"/>
              <w:ind w:firstLine="480"/>
              <w:rPr>
                <w:rFonts w:hint="default" w:ascii="Times New Roman" w:hAnsi="Times New Roman" w:eastAsia="宋体" w:cs="Times New Roman"/>
                <w:b w:val="0"/>
                <w:bCs w:val="0"/>
                <w:color w:val="auto"/>
                <w:sz w:val="24"/>
                <w:highlight w:val="none"/>
                <w:u w:val="none" w:color="auto"/>
              </w:rPr>
            </w:pPr>
            <w:r>
              <w:rPr>
                <w:rFonts w:hint="eastAsia" w:cs="Times New Roman"/>
                <w:b w:val="0"/>
                <w:bCs w:val="0"/>
                <w:color w:val="auto"/>
                <w:sz w:val="24"/>
                <w:highlight w:val="none"/>
                <w:u w:val="none" w:color="auto"/>
                <w:lang w:val="en-US" w:eastAsia="zh-CN"/>
              </w:rPr>
              <w:t>（3）</w:t>
            </w:r>
            <w:r>
              <w:rPr>
                <w:rFonts w:hint="default" w:ascii="Times New Roman" w:hAnsi="Times New Roman" w:eastAsia="宋体" w:cs="Times New Roman"/>
                <w:b w:val="0"/>
                <w:bCs w:val="0"/>
                <w:color w:val="auto"/>
                <w:sz w:val="24"/>
                <w:highlight w:val="none"/>
                <w:u w:val="none" w:color="auto"/>
              </w:rPr>
              <w:t>环境风险防范措施</w:t>
            </w:r>
          </w:p>
          <w:p w14:paraId="72E20C1C">
            <w:pPr>
              <w:pStyle w:val="7"/>
              <w:spacing w:line="360" w:lineRule="auto"/>
              <w:ind w:firstLine="480"/>
              <w:rPr>
                <w:rFonts w:hint="default" w:ascii="Times New Roman" w:hAnsi="Times New Roman" w:eastAsia="宋体" w:cs="Times New Roman"/>
                <w:b w:val="0"/>
                <w:bCs w:val="0"/>
                <w:color w:val="auto"/>
                <w:sz w:val="24"/>
                <w:highlight w:val="none"/>
                <w:u w:val="none" w:color="auto"/>
              </w:rPr>
            </w:pPr>
            <w:r>
              <w:rPr>
                <w:rFonts w:hint="default" w:ascii="Times New Roman" w:hAnsi="Times New Roman" w:eastAsia="宋体" w:cs="Times New Roman"/>
                <w:b w:val="0"/>
                <w:bCs w:val="0"/>
                <w:color w:val="auto"/>
                <w:sz w:val="24"/>
                <w:highlight w:val="none"/>
                <w:u w:val="none" w:color="auto"/>
              </w:rPr>
              <w:t>本着预防为主、切实降低环境风险的原则，本报告建议建设单位按照相关要求，做好风险防范和减缓措施，主要措施有：</w:t>
            </w:r>
          </w:p>
          <w:p w14:paraId="4C9DB8CC">
            <w:pPr>
              <w:pStyle w:val="7"/>
              <w:numPr>
                <w:ilvl w:val="0"/>
                <w:numId w:val="0"/>
              </w:numPr>
              <w:spacing w:line="360" w:lineRule="auto"/>
              <w:ind w:left="0" w:leftChars="0" w:right="0" w:rightChars="0" w:firstLine="480" w:firstLineChars="200"/>
              <w:rPr>
                <w:rFonts w:hint="eastAsia" w:cs="Times New Roman"/>
                <w:b w:val="0"/>
                <w:bCs w:val="0"/>
                <w:color w:val="auto"/>
                <w:sz w:val="24"/>
                <w:highlight w:val="none"/>
                <w:u w:val="none" w:color="auto"/>
                <w:lang w:val="en-US" w:eastAsia="zh-CN"/>
              </w:rPr>
            </w:pPr>
            <w:r>
              <w:rPr>
                <w:rFonts w:hint="eastAsia" w:ascii="Times New Roman" w:hAnsi="Times New Roman" w:eastAsia="宋体" w:cs="Times New Roman"/>
                <w:b w:val="0"/>
                <w:bCs w:val="0"/>
                <w:color w:val="auto"/>
                <w:kern w:val="2"/>
                <w:sz w:val="24"/>
                <w:szCs w:val="21"/>
                <w:u w:color="auto"/>
                <w:lang w:val="en-US" w:eastAsia="zh-CN" w:bidi="ar"/>
              </w:rPr>
              <w:t>1）</w:t>
            </w:r>
            <w:r>
              <w:rPr>
                <w:rFonts w:hint="eastAsia" w:cs="Times New Roman"/>
                <w:b w:val="0"/>
                <w:bCs w:val="0"/>
                <w:color w:val="auto"/>
                <w:sz w:val="24"/>
                <w:highlight w:val="none"/>
                <w:u w:val="none" w:color="auto"/>
                <w:lang w:val="en-US" w:eastAsia="zh-CN"/>
              </w:rPr>
              <w:t>火灾风险防范措施</w:t>
            </w:r>
          </w:p>
          <w:p w14:paraId="1D4ED6C6">
            <w:pPr>
              <w:pStyle w:val="7"/>
              <w:numPr>
                <w:ilvl w:val="0"/>
                <w:numId w:val="0"/>
              </w:numPr>
              <w:spacing w:line="360" w:lineRule="auto"/>
              <w:ind w:right="0" w:rightChars="0" w:firstLine="480" w:firstLineChars="200"/>
              <w:rPr>
                <w:rFonts w:hint="eastAsia" w:cs="Times New Roman"/>
                <w:b w:val="0"/>
                <w:bCs w:val="0"/>
                <w:color w:val="auto"/>
                <w:sz w:val="24"/>
                <w:highlight w:val="none"/>
                <w:u w:val="none" w:color="auto"/>
                <w:lang w:val="en-US" w:eastAsia="zh-CN"/>
              </w:rPr>
            </w:pPr>
            <w:r>
              <w:rPr>
                <w:rFonts w:hint="eastAsia" w:cs="Times New Roman"/>
                <w:b w:val="0"/>
                <w:bCs w:val="0"/>
                <w:color w:val="auto"/>
                <w:sz w:val="24"/>
                <w:highlight w:val="none"/>
                <w:u w:val="none" w:color="auto"/>
                <w:lang w:val="en-US" w:eastAsia="zh-CN"/>
              </w:rPr>
              <w:t>①加强火源监管；明火控制，包括火柴、烟头、打火机等，原料、成品仓库、锅炉房等应设置明显防火标志，确保无明火靠近；</w:t>
            </w:r>
          </w:p>
          <w:p w14:paraId="132B996D">
            <w:pPr>
              <w:pStyle w:val="7"/>
              <w:numPr>
                <w:ilvl w:val="0"/>
                <w:numId w:val="0"/>
              </w:numPr>
              <w:spacing w:line="360" w:lineRule="auto"/>
              <w:ind w:right="0" w:rightChars="0" w:firstLine="480" w:firstLineChars="200"/>
              <w:rPr>
                <w:rFonts w:hint="eastAsia" w:cs="Times New Roman"/>
                <w:b w:val="0"/>
                <w:bCs w:val="0"/>
                <w:color w:val="auto"/>
                <w:sz w:val="24"/>
                <w:highlight w:val="none"/>
                <w:u w:val="none" w:color="auto"/>
                <w:lang w:val="en-US" w:eastAsia="zh-CN"/>
              </w:rPr>
            </w:pPr>
            <w:r>
              <w:rPr>
                <w:rFonts w:hint="eastAsia" w:cs="Times New Roman"/>
                <w:b w:val="0"/>
                <w:bCs w:val="0"/>
                <w:color w:val="auto"/>
                <w:sz w:val="24"/>
                <w:highlight w:val="none"/>
                <w:u w:val="none" w:color="auto"/>
                <w:lang w:val="en-US" w:eastAsia="zh-CN"/>
              </w:rPr>
              <w:t>②制定完善的消防安全管理制度，落实消防安全责任，加强消防管理，如日常的防火巡查等；</w:t>
            </w:r>
          </w:p>
          <w:p w14:paraId="77C0D66B">
            <w:pPr>
              <w:pStyle w:val="7"/>
              <w:numPr>
                <w:ilvl w:val="0"/>
                <w:numId w:val="0"/>
              </w:numPr>
              <w:spacing w:line="360" w:lineRule="auto"/>
              <w:ind w:right="0" w:rightChars="0" w:firstLine="480" w:firstLineChars="200"/>
              <w:rPr>
                <w:rFonts w:hint="eastAsia" w:cs="Times New Roman"/>
                <w:b w:val="0"/>
                <w:bCs w:val="0"/>
                <w:color w:val="auto"/>
                <w:sz w:val="24"/>
                <w:highlight w:val="none"/>
                <w:u w:val="none" w:color="auto"/>
                <w:lang w:val="en-US" w:eastAsia="zh-CN"/>
              </w:rPr>
            </w:pPr>
            <w:r>
              <w:rPr>
                <w:rFonts w:hint="eastAsia" w:cs="Times New Roman"/>
                <w:b w:val="0"/>
                <w:bCs w:val="0"/>
                <w:color w:val="auto"/>
                <w:sz w:val="24"/>
                <w:highlight w:val="none"/>
                <w:u w:val="none" w:color="auto"/>
                <w:lang w:val="en-US" w:eastAsia="zh-CN"/>
              </w:rPr>
              <w:t>③生产车间配备完善的消防、急救器材，如灭火器、消防栓等。按消防管理部门要求做好火灾等事故的防范和应急措施。</w:t>
            </w:r>
          </w:p>
          <w:p w14:paraId="4C4B9853">
            <w:pPr>
              <w:pStyle w:val="7"/>
              <w:numPr>
                <w:ilvl w:val="0"/>
                <w:numId w:val="0"/>
              </w:numPr>
              <w:spacing w:line="360" w:lineRule="auto"/>
              <w:ind w:leftChars="200" w:right="0" w:rightChars="0"/>
              <w:rPr>
                <w:rFonts w:hint="eastAsia" w:cs="Times New Roman"/>
                <w:b w:val="0"/>
                <w:bCs w:val="0"/>
                <w:color w:val="auto"/>
                <w:sz w:val="24"/>
                <w:highlight w:val="none"/>
                <w:u w:val="none" w:color="auto"/>
                <w:lang w:val="en-US" w:eastAsia="zh-CN"/>
              </w:rPr>
            </w:pPr>
            <w:r>
              <w:rPr>
                <w:rFonts w:hint="eastAsia" w:cs="Times New Roman"/>
                <w:b w:val="0"/>
                <w:bCs w:val="0"/>
                <w:color w:val="auto"/>
                <w:sz w:val="24"/>
                <w:highlight w:val="none"/>
                <w:u w:val="none" w:color="auto"/>
                <w:lang w:val="en-US" w:eastAsia="zh-CN"/>
              </w:rPr>
              <w:t>④加强消防知识教育培训和演练，提高员工安全意识及事故应急能力；</w:t>
            </w:r>
          </w:p>
          <w:p w14:paraId="6BF8E2FC">
            <w:pPr>
              <w:pStyle w:val="7"/>
              <w:spacing w:line="360" w:lineRule="auto"/>
              <w:ind w:firstLine="480"/>
              <w:rPr>
                <w:rFonts w:hint="eastAsia" w:cs="Times New Roman"/>
                <w:b w:val="0"/>
                <w:bCs w:val="0"/>
                <w:color w:val="auto"/>
                <w:sz w:val="24"/>
                <w:highlight w:val="none"/>
                <w:u w:val="none" w:color="auto"/>
                <w:lang w:val="en-US" w:eastAsia="zh-CN"/>
              </w:rPr>
            </w:pPr>
            <w:r>
              <w:rPr>
                <w:rFonts w:hint="eastAsia" w:cs="Times New Roman"/>
                <w:b w:val="0"/>
                <w:bCs w:val="0"/>
                <w:color w:val="auto"/>
                <w:sz w:val="24"/>
                <w:highlight w:val="none"/>
                <w:u w:val="none" w:color="auto"/>
                <w:lang w:val="en-US" w:eastAsia="zh-CN"/>
              </w:rPr>
              <w:t>2</w:t>
            </w:r>
            <w:r>
              <w:rPr>
                <w:rFonts w:hint="eastAsia" w:cs="Times New Roman"/>
                <w:b w:val="0"/>
                <w:bCs w:val="0"/>
                <w:color w:val="auto"/>
                <w:sz w:val="24"/>
                <w:highlight w:val="none"/>
                <w:u w:val="none" w:color="auto"/>
                <w:lang w:eastAsia="zh-CN"/>
              </w:rPr>
              <w:t>）</w:t>
            </w:r>
            <w:r>
              <w:rPr>
                <w:rFonts w:hint="eastAsia" w:cs="Times New Roman"/>
                <w:b w:val="0"/>
                <w:bCs w:val="0"/>
                <w:color w:val="auto"/>
                <w:sz w:val="24"/>
                <w:highlight w:val="none"/>
                <w:u w:val="none" w:color="auto"/>
                <w:lang w:val="en-US" w:eastAsia="zh-CN"/>
              </w:rPr>
              <w:t>危险废物泄漏防范措施</w:t>
            </w:r>
          </w:p>
          <w:p w14:paraId="0EC5AEFE">
            <w:pPr>
              <w:keepNext w:val="0"/>
              <w:keepLines w:val="0"/>
              <w:suppressLineNumbers w:val="0"/>
              <w:spacing w:before="0" w:beforeLines="0" w:beforeAutospacing="0" w:after="0" w:afterLines="0" w:afterAutospacing="0"/>
              <w:ind w:left="0" w:right="0" w:firstLine="480" w:firstLineChars="200"/>
              <w:jc w:val="left"/>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加强对</w:t>
            </w:r>
            <w:r>
              <w:rPr>
                <w:rFonts w:hint="eastAsia" w:ascii="宋体" w:hAnsi="宋体" w:eastAsia="宋体"/>
                <w:color w:val="auto"/>
                <w:sz w:val="24"/>
                <w:szCs w:val="24"/>
                <w:highlight w:val="none"/>
                <w:lang w:val="en-US" w:eastAsia="zh-CN"/>
              </w:rPr>
              <w:t>危废</w:t>
            </w:r>
            <w:r>
              <w:rPr>
                <w:rFonts w:hint="eastAsia" w:ascii="宋体" w:hAnsi="宋体" w:eastAsia="宋体"/>
                <w:color w:val="auto"/>
                <w:sz w:val="24"/>
                <w:szCs w:val="24"/>
                <w:highlight w:val="none"/>
              </w:rPr>
              <w:t>储存、使用的安全管理和检查，避免物料出现泄漏。根据《危险废物贮存污染控制标准》（</w:t>
            </w:r>
            <w:r>
              <w:rPr>
                <w:rFonts w:hint="eastAsia" w:ascii="TimesNewRomanPSMT" w:hAnsi="TimesNewRomanPSMT" w:eastAsia="TimesNewRomanPSMT"/>
                <w:color w:val="auto"/>
                <w:sz w:val="24"/>
                <w:szCs w:val="24"/>
                <w:highlight w:val="none"/>
              </w:rPr>
              <w:t>GB18597-2023</w:t>
            </w:r>
            <w:r>
              <w:rPr>
                <w:rFonts w:hint="eastAsia" w:ascii="宋体" w:hAnsi="宋体" w:eastAsia="宋体"/>
                <w:color w:val="auto"/>
                <w:sz w:val="24"/>
                <w:szCs w:val="24"/>
                <w:highlight w:val="none"/>
              </w:rPr>
              <w:t>）的要求，地板需做好防渗，防渗层为至少</w:t>
            </w:r>
            <w:r>
              <w:rPr>
                <w:rFonts w:hint="eastAsia" w:ascii="TimesNewRomanPSMT" w:hAnsi="TimesNewRomanPSMT" w:eastAsia="TimesNewRomanPSMT"/>
                <w:color w:val="auto"/>
                <w:sz w:val="24"/>
                <w:szCs w:val="24"/>
                <w:highlight w:val="none"/>
              </w:rPr>
              <w:t>1m</w:t>
            </w:r>
            <w:r>
              <w:rPr>
                <w:rFonts w:hint="eastAsia" w:ascii="宋体" w:hAnsi="宋体" w:eastAsia="宋体"/>
                <w:color w:val="auto"/>
                <w:sz w:val="24"/>
                <w:szCs w:val="24"/>
                <w:highlight w:val="none"/>
              </w:rPr>
              <w:t>厚黏土层（渗透系数不大于</w:t>
            </w:r>
            <w:r>
              <w:rPr>
                <w:rFonts w:hint="eastAsia" w:ascii="TimesNewRomanPSMT" w:hAnsi="TimesNewRomanPSMT" w:eastAsia="TimesNewRomanPSMT"/>
                <w:color w:val="auto"/>
                <w:sz w:val="24"/>
                <w:szCs w:val="24"/>
                <w:highlight w:val="none"/>
              </w:rPr>
              <w:t>10</w:t>
            </w:r>
            <w:r>
              <w:rPr>
                <w:rFonts w:hint="eastAsia" w:ascii="TimesNewRomanPSMT" w:hAnsi="TimesNewRomanPSMT" w:eastAsia="宋体"/>
                <w:color w:val="auto"/>
                <w:sz w:val="24"/>
                <w:szCs w:val="24"/>
                <w:highlight w:val="none"/>
                <w:vertAlign w:val="superscript"/>
                <w:lang w:val="en-US" w:eastAsia="zh-CN"/>
              </w:rPr>
              <w:t>-7</w:t>
            </w:r>
            <w:r>
              <w:rPr>
                <w:rFonts w:hint="eastAsia" w:ascii="TimesNewRomanPSMT" w:hAnsi="TimesNewRomanPSMT" w:eastAsia="TimesNewRomanPSMT"/>
                <w:color w:val="auto"/>
                <w:sz w:val="24"/>
                <w:szCs w:val="24"/>
                <w:highlight w:val="none"/>
              </w:rPr>
              <w:t>cm/s</w:t>
            </w:r>
            <w:r>
              <w:rPr>
                <w:rFonts w:hint="eastAsia" w:ascii="宋体" w:hAnsi="宋体" w:eastAsia="宋体"/>
                <w:color w:val="auto"/>
                <w:sz w:val="24"/>
                <w:szCs w:val="24"/>
                <w:highlight w:val="none"/>
              </w:rPr>
              <w:t>），或至少</w:t>
            </w:r>
            <w:r>
              <w:rPr>
                <w:rFonts w:hint="eastAsia" w:ascii="TimesNewRomanPSMT" w:hAnsi="TimesNewRomanPSMT" w:eastAsia="TimesNewRomanPSMT"/>
                <w:color w:val="auto"/>
                <w:sz w:val="24"/>
                <w:szCs w:val="24"/>
                <w:highlight w:val="none"/>
              </w:rPr>
              <w:t>2mm</w:t>
            </w:r>
            <w:r>
              <w:rPr>
                <w:rFonts w:hint="eastAsia" w:ascii="宋体" w:hAnsi="宋体" w:eastAsia="宋体"/>
                <w:color w:val="auto"/>
                <w:sz w:val="24"/>
                <w:szCs w:val="24"/>
                <w:highlight w:val="none"/>
              </w:rPr>
              <w:t>厚高密度聚乙烯膜等人工防渗材料（渗透系数不大于</w:t>
            </w:r>
            <w:r>
              <w:rPr>
                <w:rFonts w:hint="eastAsia" w:ascii="TimesNewRomanPSMT" w:hAnsi="TimesNewRomanPSMT" w:eastAsia="TimesNewRomanPSMT"/>
                <w:color w:val="auto"/>
                <w:sz w:val="24"/>
                <w:szCs w:val="24"/>
                <w:highlight w:val="none"/>
              </w:rPr>
              <w:t>10</w:t>
            </w:r>
            <w:r>
              <w:rPr>
                <w:rFonts w:hint="eastAsia" w:ascii="TimesNewRomanPSMT" w:hAnsi="TimesNewRomanPSMT" w:eastAsia="宋体"/>
                <w:color w:val="auto"/>
                <w:sz w:val="24"/>
                <w:szCs w:val="24"/>
                <w:highlight w:val="none"/>
                <w:vertAlign w:val="superscript"/>
                <w:lang w:val="en-US" w:eastAsia="zh-CN"/>
              </w:rPr>
              <w:t>-10</w:t>
            </w:r>
            <w:r>
              <w:rPr>
                <w:rFonts w:hint="eastAsia" w:ascii="TimesNewRomanPSMT" w:hAnsi="TimesNewRomanPSMT" w:eastAsia="TimesNewRomanPSMT"/>
                <w:color w:val="auto"/>
                <w:sz w:val="24"/>
                <w:szCs w:val="24"/>
                <w:highlight w:val="none"/>
              </w:rPr>
              <w:t>cm/s</w:t>
            </w:r>
            <w:r>
              <w:rPr>
                <w:rFonts w:hint="eastAsia" w:ascii="宋体" w:hAnsi="宋体" w:eastAsia="宋体"/>
                <w:color w:val="auto"/>
                <w:sz w:val="24"/>
                <w:szCs w:val="24"/>
                <w:highlight w:val="none"/>
              </w:rPr>
              <w:t>），或其他防渗性能等效的材料，防止危险废物泄漏到土壤和水体中。</w:t>
            </w:r>
          </w:p>
          <w:p w14:paraId="560E8D31">
            <w:pPr>
              <w:keepNext w:val="0"/>
              <w:keepLines w:val="0"/>
              <w:suppressLineNumbers w:val="0"/>
              <w:spacing w:before="0" w:beforeLines="0" w:beforeAutospacing="0" w:after="0" w:afterLines="0" w:afterAutospacing="0"/>
              <w:ind w:left="0" w:right="0" w:firstLine="480" w:firstLineChars="200"/>
              <w:jc w:val="left"/>
              <w:rPr>
                <w:rFonts w:hint="default" w:ascii="Times New Roman" w:hAnsi="Times New Roman" w:eastAsia="宋体" w:cs="Times New Roman"/>
                <w:b w:val="0"/>
                <w:bCs w:val="0"/>
                <w:color w:val="auto"/>
                <w:sz w:val="24"/>
                <w:highlight w:val="none"/>
                <w:u w:val="none" w:color="auto"/>
              </w:rPr>
            </w:pPr>
            <w:r>
              <w:rPr>
                <w:rFonts w:hint="default" w:ascii="Times New Roman" w:hAnsi="Times New Roman" w:eastAsia="宋体" w:cs="Times New Roman"/>
                <w:b w:val="0"/>
                <w:bCs w:val="0"/>
                <w:color w:val="auto"/>
                <w:sz w:val="24"/>
                <w:highlight w:val="none"/>
                <w:u w:val="none" w:color="auto"/>
              </w:rPr>
              <w:t>建设单位在有效落实上述各项风险防范措施情况下，本项目的环境风险可以控制在最低范围，环境风险程度可以接受。</w:t>
            </w:r>
          </w:p>
          <w:p w14:paraId="1604AD8A">
            <w:pPr>
              <w:pStyle w:val="7"/>
              <w:spacing w:line="360" w:lineRule="auto"/>
              <w:ind w:firstLine="480"/>
              <w:rPr>
                <w:rFonts w:hint="default" w:ascii="Times New Roman" w:hAnsi="Times New Roman" w:eastAsia="宋体" w:cs="Times New Roman"/>
                <w:b/>
                <w:bCs/>
                <w:color w:val="auto"/>
                <w:sz w:val="24"/>
                <w:highlight w:val="none"/>
                <w:u w:val="none" w:color="auto"/>
                <w:lang w:val="en-US" w:eastAsia="zh-CN"/>
              </w:rPr>
            </w:pPr>
            <w:r>
              <w:rPr>
                <w:rFonts w:hint="eastAsia" w:cs="Times New Roman"/>
                <w:b w:val="0"/>
                <w:bCs w:val="0"/>
                <w:color w:val="auto"/>
                <w:sz w:val="24"/>
                <w:highlight w:val="none"/>
                <w:u w:val="none" w:color="auto"/>
                <w:lang w:val="en-US" w:eastAsia="zh-CN"/>
              </w:rPr>
              <w:t>（4）</w:t>
            </w:r>
            <w:r>
              <w:rPr>
                <w:rFonts w:hint="default" w:ascii="Times New Roman" w:hAnsi="Times New Roman" w:eastAsia="宋体" w:cs="Times New Roman"/>
                <w:b w:val="0"/>
                <w:bCs w:val="0"/>
                <w:color w:val="auto"/>
                <w:sz w:val="24"/>
                <w:highlight w:val="none"/>
                <w:u w:val="none" w:color="auto"/>
                <w:lang w:val="en-US" w:eastAsia="zh-CN"/>
              </w:rPr>
              <w:t>风险事故应急预案</w:t>
            </w:r>
          </w:p>
          <w:p w14:paraId="130BED64">
            <w:pPr>
              <w:pStyle w:val="7"/>
              <w:spacing w:line="360" w:lineRule="auto"/>
              <w:ind w:firstLine="48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为了能在事故发生时，迅速准确、有条不紊地处理和控制事故，把损失和危害减少到最低程度，本评价提出了以下风险事故应急预案：</w:t>
            </w:r>
          </w:p>
          <w:p w14:paraId="12DB162D">
            <w:pPr>
              <w:pStyle w:val="7"/>
              <w:spacing w:line="360" w:lineRule="auto"/>
              <w:ind w:firstLine="48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①最早发现事故的报警责任人，应立即按事故处理程序报警。</w:t>
            </w:r>
          </w:p>
          <w:p w14:paraId="24D31E36">
            <w:pPr>
              <w:pStyle w:val="7"/>
              <w:spacing w:line="360" w:lineRule="auto"/>
              <w:ind w:firstLine="48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②值班领导及指挥部成员接到</w:t>
            </w:r>
            <w:r>
              <w:rPr>
                <w:rFonts w:hint="eastAsia" w:ascii="Times New Roman" w:hAnsi="Times New Roman" w:eastAsia="宋体" w:cs="Times New Roman"/>
                <w:color w:val="auto"/>
                <w:sz w:val="24"/>
                <w:highlight w:val="none"/>
                <w:u w:val="none" w:color="auto"/>
                <w:lang w:val="en-US" w:eastAsia="zh-CN"/>
              </w:rPr>
              <w:t>报告</w:t>
            </w:r>
            <w:r>
              <w:rPr>
                <w:rFonts w:hint="default" w:ascii="Times New Roman" w:hAnsi="Times New Roman" w:eastAsia="宋体" w:cs="Times New Roman"/>
                <w:color w:val="auto"/>
                <w:sz w:val="24"/>
                <w:highlight w:val="none"/>
                <w:u w:val="none" w:color="auto"/>
                <w:lang w:val="en-US" w:eastAsia="zh-CN"/>
              </w:rPr>
              <w:t>后，应立即赶赴现场，指挥有关人员迅速查明事故发生的原因。</w:t>
            </w:r>
          </w:p>
          <w:p w14:paraId="7B3A2980">
            <w:pPr>
              <w:pStyle w:val="7"/>
              <w:spacing w:line="360" w:lineRule="auto"/>
              <w:ind w:firstLine="48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③根据事故状况及危害程度做出相应的应急（救护、治安、警戒、疏散、抢修）决定。</w:t>
            </w:r>
          </w:p>
          <w:p w14:paraId="3C676D9E">
            <w:pPr>
              <w:pStyle w:val="7"/>
              <w:spacing w:line="360" w:lineRule="auto"/>
              <w:ind w:firstLine="48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④根据事故程度，如短时间内事故设施无法修复，应向领导汇报，申请暂时停止生产，待事故处理完毕后再行生产。</w:t>
            </w:r>
          </w:p>
          <w:p w14:paraId="1C81CEE8">
            <w:pPr>
              <w:pStyle w:val="7"/>
              <w:spacing w:line="360" w:lineRule="auto"/>
              <w:ind w:firstLine="48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⑤事故应急指挥部应协助上级部门和工程抢险队制定、实施抢险方案。</w:t>
            </w:r>
          </w:p>
          <w:p w14:paraId="7EDB056A">
            <w:pPr>
              <w:pStyle w:val="7"/>
              <w:spacing w:line="360" w:lineRule="auto"/>
              <w:ind w:firstLine="48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⑥当事故得到控制后，应积极主动配合事故调查小组，进行事故调查和落实防范</w:t>
            </w:r>
            <w:r>
              <w:rPr>
                <w:rFonts w:hint="eastAsia" w:ascii="Times New Roman" w:hAnsi="Times New Roman" w:eastAsia="宋体" w:cs="Times New Roman"/>
                <w:color w:val="auto"/>
                <w:sz w:val="24"/>
                <w:highlight w:val="none"/>
                <w:u w:val="none" w:color="auto"/>
                <w:lang w:val="en-US" w:eastAsia="zh-CN"/>
              </w:rPr>
              <w:t>措施</w:t>
            </w:r>
            <w:r>
              <w:rPr>
                <w:rFonts w:hint="default" w:ascii="Times New Roman" w:hAnsi="Times New Roman" w:eastAsia="宋体" w:cs="Times New Roman"/>
                <w:color w:val="auto"/>
                <w:sz w:val="24"/>
                <w:highlight w:val="none"/>
                <w:u w:val="none" w:color="auto"/>
                <w:lang w:val="en-US" w:eastAsia="zh-CN"/>
              </w:rPr>
              <w:t>通过采取相应的风险防范措施后，可以将本项目的风险降到较低的水平，本项目的环境风险可以接受。但应加强环境风险管理措施，严格执行风险防范措施，制定应急方案，并进行应急演习。</w:t>
            </w:r>
          </w:p>
          <w:p w14:paraId="3D21B679">
            <w:pPr>
              <w:pStyle w:val="7"/>
              <w:spacing w:line="360" w:lineRule="auto"/>
              <w:ind w:firstLine="480"/>
              <w:rPr>
                <w:rFonts w:hint="default" w:ascii="Times New Roman" w:hAnsi="Times New Roman" w:eastAsia="宋体" w:cs="Times New Roman"/>
                <w:b w:val="0"/>
                <w:bCs w:val="0"/>
                <w:color w:val="auto"/>
                <w:sz w:val="24"/>
                <w:highlight w:val="none"/>
                <w:u w:val="none" w:color="auto"/>
                <w:lang w:val="en-US" w:eastAsia="zh-CN"/>
              </w:rPr>
            </w:pPr>
            <w:r>
              <w:rPr>
                <w:rFonts w:hint="eastAsia" w:cs="Times New Roman"/>
                <w:b w:val="0"/>
                <w:bCs w:val="0"/>
                <w:color w:val="auto"/>
                <w:sz w:val="24"/>
                <w:highlight w:val="none"/>
                <w:u w:val="none" w:color="auto"/>
                <w:lang w:val="en-US" w:eastAsia="zh-CN"/>
              </w:rPr>
              <w:t>（5）</w:t>
            </w:r>
            <w:r>
              <w:rPr>
                <w:rFonts w:hint="default" w:ascii="Times New Roman" w:hAnsi="Times New Roman" w:eastAsia="宋体" w:cs="Times New Roman"/>
                <w:b w:val="0"/>
                <w:bCs w:val="0"/>
                <w:color w:val="auto"/>
                <w:sz w:val="24"/>
                <w:highlight w:val="none"/>
                <w:u w:val="none" w:color="auto"/>
                <w:lang w:val="en-US" w:eastAsia="zh-CN"/>
              </w:rPr>
              <w:t>分析结论</w:t>
            </w:r>
          </w:p>
          <w:p w14:paraId="3769253F">
            <w:pPr>
              <w:pStyle w:val="7"/>
              <w:spacing w:line="360" w:lineRule="auto"/>
              <w:ind w:firstLine="480"/>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根据本项目特征及同类项目类比调查，项目环境风险事故发生概率较小，环境风险在可接受范围内。建设单位若能严格执行国家有关环保、安全、卫生和劳动方面的标准规定，严格履行环保“三同时”制度，确保投产过程中环保设施正常运行，投产过程中加强环境和安全管理，做好每日的巡检工作和记录。在做好以上各项安全和环境风险防范措施的前提下，项目的环境风险将降低到可接受的程度。</w:t>
            </w:r>
          </w:p>
          <w:p w14:paraId="57E3E11F">
            <w:pPr>
              <w:pStyle w:val="24"/>
              <w:keepNext w:val="0"/>
              <w:keepLines w:val="0"/>
              <w:widowControl/>
              <w:suppressLineNumbers w:val="0"/>
              <w:kinsoku w:val="0"/>
              <w:overflowPunct w:val="0"/>
              <w:autoSpaceDE w:val="0"/>
              <w:autoSpaceDN w:val="0"/>
              <w:snapToGrid w:val="0"/>
              <w:spacing w:before="60" w:beforeAutospacing="0" w:after="0" w:afterAutospacing="0" w:line="240" w:lineRule="auto"/>
              <w:ind w:left="0" w:right="113" w:firstLine="422"/>
              <w:jc w:val="center"/>
              <w:rPr>
                <w:rFonts w:hint="default"/>
                <w:b/>
                <w:bCs/>
                <w:color w:val="auto"/>
                <w:sz w:val="21"/>
                <w:szCs w:val="21"/>
                <w:highlight w:val="none"/>
                <w:u w:val="none" w:color="auto"/>
                <w:lang w:val="en-US"/>
              </w:rPr>
            </w:pPr>
            <w:r>
              <w:rPr>
                <w:rFonts w:hint="eastAsia" w:ascii="Times New Roman" w:hAnsi="Times New Roman" w:eastAsia="宋体" w:cs="宋体"/>
                <w:b/>
                <w:bCs/>
                <w:color w:val="auto"/>
                <w:kern w:val="0"/>
                <w:sz w:val="21"/>
                <w:szCs w:val="21"/>
                <w:highlight w:val="none"/>
                <w:u w:val="none" w:color="auto"/>
                <w:lang w:val="en-US" w:eastAsia="zh-CN" w:bidi="ar"/>
              </w:rPr>
              <w:t>表</w:t>
            </w:r>
            <w:r>
              <w:rPr>
                <w:rFonts w:hint="default" w:ascii="Times New Roman" w:hAnsi="Times New Roman" w:eastAsia="宋体" w:cs="Times New Roman"/>
                <w:b/>
                <w:bCs/>
                <w:color w:val="auto"/>
                <w:kern w:val="0"/>
                <w:sz w:val="21"/>
                <w:szCs w:val="21"/>
                <w:highlight w:val="none"/>
                <w:u w:val="none" w:color="auto"/>
                <w:lang w:val="en-US" w:eastAsia="zh-CN" w:bidi="ar"/>
              </w:rPr>
              <w:t>4</w:t>
            </w:r>
            <w:r>
              <w:rPr>
                <w:rFonts w:hint="eastAsia" w:ascii="Times New Roman" w:hAnsi="Times New Roman" w:cs="Times New Roman"/>
                <w:b/>
                <w:bCs/>
                <w:color w:val="auto"/>
                <w:kern w:val="0"/>
                <w:sz w:val="21"/>
                <w:szCs w:val="21"/>
                <w:highlight w:val="none"/>
                <w:u w:val="none" w:color="auto"/>
                <w:lang w:val="en-US" w:eastAsia="zh-CN" w:bidi="ar"/>
              </w:rPr>
              <w:t>-24</w:t>
            </w:r>
            <w:r>
              <w:rPr>
                <w:rFonts w:hint="default" w:ascii="Times New Roman" w:hAnsi="Times New Roman" w:eastAsia="宋体" w:cs="Times New Roman"/>
                <w:b/>
                <w:bCs/>
                <w:color w:val="auto"/>
                <w:kern w:val="0"/>
                <w:sz w:val="21"/>
                <w:szCs w:val="21"/>
                <w:highlight w:val="none"/>
                <w:u w:val="none" w:color="auto"/>
                <w:lang w:val="en-US" w:eastAsia="zh-CN" w:bidi="ar"/>
              </w:rPr>
              <w:t xml:space="preserve"> </w:t>
            </w:r>
            <w:r>
              <w:rPr>
                <w:rFonts w:hint="eastAsia" w:ascii="Times New Roman" w:hAnsi="Times New Roman" w:eastAsia="宋体" w:cs="宋体"/>
                <w:b/>
                <w:bCs/>
                <w:color w:val="auto"/>
                <w:kern w:val="0"/>
                <w:sz w:val="21"/>
                <w:szCs w:val="21"/>
                <w:highlight w:val="none"/>
                <w:u w:val="none" w:color="auto"/>
                <w:lang w:val="en-US" w:eastAsia="zh-CN" w:bidi="ar"/>
              </w:rPr>
              <w:t>建设项目环境风险简单分析内容表</w:t>
            </w:r>
          </w:p>
          <w:tbl>
            <w:tblPr>
              <w:tblStyle w:val="28"/>
              <w:tblW w:w="84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640"/>
              <w:gridCol w:w="831"/>
              <w:gridCol w:w="2535"/>
              <w:gridCol w:w="816"/>
              <w:gridCol w:w="2597"/>
            </w:tblGrid>
            <w:tr w14:paraId="30AF3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68" w:hRule="atLeast"/>
                <w:jc w:val="center"/>
              </w:trPr>
              <w:tc>
                <w:tcPr>
                  <w:tcW w:w="1640" w:type="dxa"/>
                  <w:tcBorders>
                    <w:top w:val="single" w:color="auto" w:sz="4" w:space="0"/>
                    <w:left w:val="single" w:color="auto" w:sz="4" w:space="0"/>
                    <w:bottom w:val="single" w:color="auto" w:sz="4" w:space="0"/>
                    <w:right w:val="single" w:color="auto" w:sz="4" w:space="0"/>
                  </w:tcBorders>
                  <w:shd w:val="clear" w:color="auto" w:fill="auto"/>
                  <w:vAlign w:val="center"/>
                </w:tcPr>
                <w:p w14:paraId="50638E2E">
                  <w:pPr>
                    <w:pStyle w:val="86"/>
                    <w:keepNext w:val="0"/>
                    <w:keepLines w:val="0"/>
                    <w:suppressLineNumbers w:val="0"/>
                    <w:bidi w:val="0"/>
                    <w:spacing w:before="0" w:beforeAutospacing="0" w:after="0" w:afterAutospacing="0"/>
                    <w:ind w:left="0" w:right="0"/>
                    <w:rPr>
                      <w:rFonts w:hint="default"/>
                      <w:color w:val="auto"/>
                      <w:highlight w:val="none"/>
                      <w:lang w:val="en-US"/>
                    </w:rPr>
                  </w:pPr>
                  <w:r>
                    <w:rPr>
                      <w:rFonts w:hint="eastAsia"/>
                      <w:color w:val="auto"/>
                      <w:highlight w:val="none"/>
                    </w:rPr>
                    <w:t>建设项目名称</w:t>
                  </w:r>
                </w:p>
              </w:tc>
              <w:tc>
                <w:tcPr>
                  <w:tcW w:w="6779"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70C97B67">
                  <w:pPr>
                    <w:pStyle w:val="86"/>
                    <w:keepNext w:val="0"/>
                    <w:keepLines w:val="0"/>
                    <w:suppressLineNumbers w:val="0"/>
                    <w:bidi w:val="0"/>
                    <w:spacing w:before="0" w:beforeAutospacing="0" w:after="0" w:afterAutospacing="0"/>
                    <w:ind w:left="0" w:right="0"/>
                    <w:rPr>
                      <w:rFonts w:hint="default"/>
                      <w:color w:val="auto"/>
                      <w:highlight w:val="none"/>
                      <w:lang w:val="en-US" w:eastAsia="zh-CN"/>
                    </w:rPr>
                  </w:pPr>
                  <w:r>
                    <w:rPr>
                      <w:rFonts w:hint="eastAsia"/>
                      <w:color w:val="auto"/>
                      <w:highlight w:val="none"/>
                      <w:lang w:val="en-US" w:eastAsia="zh-CN"/>
                    </w:rPr>
                    <w:t>年加工8000吨鲜黄花菜项目</w:t>
                  </w:r>
                </w:p>
              </w:tc>
            </w:tr>
            <w:tr w14:paraId="499D0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68" w:hRule="atLeast"/>
                <w:jc w:val="center"/>
              </w:trPr>
              <w:tc>
                <w:tcPr>
                  <w:tcW w:w="1640" w:type="dxa"/>
                  <w:tcBorders>
                    <w:top w:val="single" w:color="auto" w:sz="4" w:space="0"/>
                    <w:left w:val="single" w:color="auto" w:sz="4" w:space="0"/>
                    <w:bottom w:val="single" w:color="auto" w:sz="4" w:space="0"/>
                    <w:right w:val="single" w:color="auto" w:sz="4" w:space="0"/>
                  </w:tcBorders>
                  <w:shd w:val="clear" w:color="auto" w:fill="auto"/>
                  <w:vAlign w:val="center"/>
                </w:tcPr>
                <w:p w14:paraId="115FBE17">
                  <w:pPr>
                    <w:pStyle w:val="86"/>
                    <w:keepNext w:val="0"/>
                    <w:keepLines w:val="0"/>
                    <w:suppressLineNumbers w:val="0"/>
                    <w:bidi w:val="0"/>
                    <w:spacing w:before="0" w:beforeAutospacing="0" w:after="0" w:afterAutospacing="0"/>
                    <w:ind w:left="0" w:right="0"/>
                    <w:rPr>
                      <w:rFonts w:hint="default"/>
                      <w:color w:val="auto"/>
                      <w:highlight w:val="none"/>
                      <w:lang w:val="en-US"/>
                    </w:rPr>
                  </w:pPr>
                  <w:r>
                    <w:rPr>
                      <w:rFonts w:hint="eastAsia"/>
                      <w:color w:val="auto"/>
                      <w:highlight w:val="none"/>
                    </w:rPr>
                    <w:t>建设地点</w:t>
                  </w:r>
                </w:p>
              </w:tc>
              <w:tc>
                <w:tcPr>
                  <w:tcW w:w="6779"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70605620">
                  <w:pPr>
                    <w:pStyle w:val="86"/>
                    <w:keepNext w:val="0"/>
                    <w:keepLines w:val="0"/>
                    <w:suppressLineNumbers w:val="0"/>
                    <w:bidi w:val="0"/>
                    <w:spacing w:before="0" w:beforeAutospacing="0" w:after="0" w:afterAutospacing="0"/>
                    <w:ind w:left="0" w:right="0"/>
                    <w:rPr>
                      <w:rFonts w:hint="default" w:eastAsia="宋体"/>
                      <w:color w:val="auto"/>
                      <w:highlight w:val="none"/>
                      <w:lang w:val="en-US" w:eastAsia="zh-CN"/>
                    </w:rPr>
                  </w:pPr>
                  <w:r>
                    <w:rPr>
                      <w:rFonts w:hint="eastAsia"/>
                      <w:color w:val="auto"/>
                      <w:highlight w:val="none"/>
                      <w:lang w:val="en-US" w:eastAsia="zh-CN"/>
                    </w:rPr>
                    <w:t>祁东县官家嘴镇官家嘴村</w:t>
                  </w:r>
                </w:p>
              </w:tc>
            </w:tr>
            <w:tr w14:paraId="3BD7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640" w:type="dxa"/>
                  <w:tcBorders>
                    <w:top w:val="single" w:color="auto" w:sz="4" w:space="0"/>
                    <w:left w:val="single" w:color="auto" w:sz="4" w:space="0"/>
                    <w:bottom w:val="single" w:color="auto" w:sz="4" w:space="0"/>
                    <w:right w:val="single" w:color="auto" w:sz="4" w:space="0"/>
                  </w:tcBorders>
                  <w:shd w:val="clear" w:color="auto" w:fill="auto"/>
                  <w:vAlign w:val="center"/>
                </w:tcPr>
                <w:p w14:paraId="1C0F209A">
                  <w:pPr>
                    <w:pStyle w:val="86"/>
                    <w:keepNext w:val="0"/>
                    <w:keepLines w:val="0"/>
                    <w:suppressLineNumbers w:val="0"/>
                    <w:bidi w:val="0"/>
                    <w:spacing w:before="0" w:beforeAutospacing="0" w:after="0" w:afterAutospacing="0"/>
                    <w:ind w:left="0" w:right="0"/>
                    <w:rPr>
                      <w:rFonts w:hint="default"/>
                      <w:color w:val="auto"/>
                      <w:highlight w:val="none"/>
                      <w:lang w:val="en-US"/>
                    </w:rPr>
                  </w:pPr>
                  <w:r>
                    <w:rPr>
                      <w:rFonts w:hint="eastAsia"/>
                      <w:color w:val="auto"/>
                      <w:highlight w:val="none"/>
                    </w:rPr>
                    <w:t>地理坐标</w:t>
                  </w:r>
                </w:p>
              </w:tc>
              <w:tc>
                <w:tcPr>
                  <w:tcW w:w="831" w:type="dxa"/>
                  <w:tcBorders>
                    <w:top w:val="single" w:color="auto" w:sz="4" w:space="0"/>
                    <w:left w:val="single" w:color="auto" w:sz="4" w:space="0"/>
                    <w:bottom w:val="single" w:color="auto" w:sz="4" w:space="0"/>
                    <w:right w:val="single" w:color="auto" w:sz="4" w:space="0"/>
                  </w:tcBorders>
                  <w:shd w:val="clear" w:color="auto" w:fill="auto"/>
                  <w:vAlign w:val="center"/>
                </w:tcPr>
                <w:p w14:paraId="51C59D76">
                  <w:pPr>
                    <w:pStyle w:val="86"/>
                    <w:keepNext w:val="0"/>
                    <w:keepLines w:val="0"/>
                    <w:suppressLineNumbers w:val="0"/>
                    <w:bidi w:val="0"/>
                    <w:spacing w:before="0" w:beforeAutospacing="0" w:after="0" w:afterAutospacing="0"/>
                    <w:ind w:left="0" w:right="0"/>
                    <w:rPr>
                      <w:rFonts w:hint="default"/>
                      <w:color w:val="auto"/>
                      <w:highlight w:val="none"/>
                      <w:lang w:val="en-US"/>
                    </w:rPr>
                  </w:pPr>
                  <w:r>
                    <w:rPr>
                      <w:rFonts w:hint="eastAsia"/>
                      <w:color w:val="auto"/>
                      <w:highlight w:val="none"/>
                    </w:rPr>
                    <w:t>经度</w:t>
                  </w:r>
                </w:p>
              </w:tc>
              <w:tc>
                <w:tcPr>
                  <w:tcW w:w="2535" w:type="dxa"/>
                  <w:tcBorders>
                    <w:top w:val="single" w:color="auto" w:sz="4" w:space="0"/>
                    <w:left w:val="single" w:color="auto" w:sz="4" w:space="0"/>
                    <w:bottom w:val="single" w:color="auto" w:sz="4" w:space="0"/>
                    <w:right w:val="single" w:color="auto" w:sz="4" w:space="0"/>
                  </w:tcBorders>
                  <w:shd w:val="clear" w:color="auto" w:fill="auto"/>
                  <w:vAlign w:val="center"/>
                </w:tcPr>
                <w:p w14:paraId="60F17F6E">
                  <w:pPr>
                    <w:pStyle w:val="86"/>
                    <w:keepNext w:val="0"/>
                    <w:keepLines w:val="0"/>
                    <w:suppressLineNumbers w:val="0"/>
                    <w:bidi w:val="0"/>
                    <w:spacing w:before="0" w:beforeAutospacing="0" w:after="0" w:afterAutospacing="0"/>
                    <w:ind w:left="0" w:right="0"/>
                    <w:rPr>
                      <w:rFonts w:hint="eastAsia"/>
                      <w:color w:val="auto"/>
                      <w:highlight w:val="none"/>
                      <w:lang w:val="en-US" w:eastAsia="zh-CN"/>
                    </w:rPr>
                  </w:pPr>
                  <w:r>
                    <w:rPr>
                      <w:rFonts w:hint="default"/>
                      <w:color w:val="auto"/>
                      <w:highlight w:val="none"/>
                    </w:rPr>
                    <w:t>东经111°50′7.01271″，</w:t>
                  </w:r>
                </w:p>
              </w:tc>
              <w:tc>
                <w:tcPr>
                  <w:tcW w:w="816" w:type="dxa"/>
                  <w:tcBorders>
                    <w:top w:val="single" w:color="auto" w:sz="4" w:space="0"/>
                    <w:left w:val="single" w:color="auto" w:sz="4" w:space="0"/>
                    <w:bottom w:val="single" w:color="auto" w:sz="4" w:space="0"/>
                    <w:right w:val="single" w:color="auto" w:sz="4" w:space="0"/>
                  </w:tcBorders>
                  <w:shd w:val="clear" w:color="auto" w:fill="auto"/>
                  <w:vAlign w:val="center"/>
                </w:tcPr>
                <w:p w14:paraId="1DFFB57A">
                  <w:pPr>
                    <w:pStyle w:val="86"/>
                    <w:keepNext w:val="0"/>
                    <w:keepLines w:val="0"/>
                    <w:suppressLineNumbers w:val="0"/>
                    <w:bidi w:val="0"/>
                    <w:spacing w:before="0" w:beforeAutospacing="0" w:after="0" w:afterAutospacing="0"/>
                    <w:ind w:left="0" w:right="0"/>
                    <w:rPr>
                      <w:rFonts w:hint="default"/>
                      <w:color w:val="auto"/>
                      <w:highlight w:val="none"/>
                      <w:lang w:val="en-US"/>
                    </w:rPr>
                  </w:pPr>
                  <w:r>
                    <w:rPr>
                      <w:rFonts w:hint="eastAsia"/>
                      <w:color w:val="auto"/>
                      <w:highlight w:val="none"/>
                    </w:rPr>
                    <w:t>纬度</w:t>
                  </w:r>
                </w:p>
              </w:tc>
              <w:tc>
                <w:tcPr>
                  <w:tcW w:w="2597" w:type="dxa"/>
                  <w:tcBorders>
                    <w:top w:val="single" w:color="auto" w:sz="4" w:space="0"/>
                    <w:left w:val="single" w:color="auto" w:sz="4" w:space="0"/>
                    <w:bottom w:val="single" w:color="auto" w:sz="4" w:space="0"/>
                    <w:right w:val="single" w:color="auto" w:sz="4" w:space="0"/>
                  </w:tcBorders>
                  <w:shd w:val="clear" w:color="auto" w:fill="auto"/>
                  <w:vAlign w:val="center"/>
                </w:tcPr>
                <w:p w14:paraId="0ACDAD1F">
                  <w:pPr>
                    <w:pStyle w:val="86"/>
                    <w:keepNext w:val="0"/>
                    <w:keepLines w:val="0"/>
                    <w:suppressLineNumbers w:val="0"/>
                    <w:bidi w:val="0"/>
                    <w:spacing w:before="0" w:beforeAutospacing="0" w:after="0" w:afterAutospacing="0"/>
                    <w:ind w:left="0" w:right="0"/>
                    <w:rPr>
                      <w:rFonts w:hint="eastAsia"/>
                      <w:color w:val="auto"/>
                      <w:highlight w:val="none"/>
                      <w:lang w:val="en-US" w:eastAsia="zh-CN"/>
                    </w:rPr>
                  </w:pPr>
                  <w:r>
                    <w:rPr>
                      <w:rFonts w:hint="default"/>
                      <w:color w:val="auto"/>
                      <w:highlight w:val="none"/>
                    </w:rPr>
                    <w:t>北纬26°56′12.55719″</w:t>
                  </w:r>
                </w:p>
              </w:tc>
            </w:tr>
            <w:tr w14:paraId="7569A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0" w:hRule="atLeast"/>
                <w:jc w:val="center"/>
              </w:trPr>
              <w:tc>
                <w:tcPr>
                  <w:tcW w:w="1640" w:type="dxa"/>
                  <w:tcBorders>
                    <w:top w:val="single" w:color="auto" w:sz="4" w:space="0"/>
                    <w:left w:val="single" w:color="auto" w:sz="4" w:space="0"/>
                    <w:bottom w:val="single" w:color="auto" w:sz="4" w:space="0"/>
                    <w:right w:val="single" w:color="auto" w:sz="4" w:space="0"/>
                  </w:tcBorders>
                  <w:shd w:val="clear" w:color="auto" w:fill="auto"/>
                  <w:vAlign w:val="center"/>
                </w:tcPr>
                <w:p w14:paraId="1958DAC9">
                  <w:pPr>
                    <w:pStyle w:val="86"/>
                    <w:keepNext w:val="0"/>
                    <w:keepLines w:val="0"/>
                    <w:suppressLineNumbers w:val="0"/>
                    <w:bidi w:val="0"/>
                    <w:spacing w:before="0" w:beforeAutospacing="0" w:after="0" w:afterAutospacing="0"/>
                    <w:ind w:left="0" w:right="0"/>
                    <w:rPr>
                      <w:rFonts w:hint="default"/>
                      <w:color w:val="auto"/>
                      <w:highlight w:val="none"/>
                      <w:lang w:val="en-US"/>
                    </w:rPr>
                  </w:pPr>
                  <w:r>
                    <w:rPr>
                      <w:rFonts w:hint="eastAsia"/>
                      <w:color w:val="auto"/>
                      <w:highlight w:val="none"/>
                    </w:rPr>
                    <w:t>主要危险物质及分布</w:t>
                  </w:r>
                </w:p>
              </w:tc>
              <w:tc>
                <w:tcPr>
                  <w:tcW w:w="6779"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23692156">
                  <w:pPr>
                    <w:pStyle w:val="86"/>
                    <w:keepNext w:val="0"/>
                    <w:keepLines w:val="0"/>
                    <w:suppressLineNumbers w:val="0"/>
                    <w:bidi w:val="0"/>
                    <w:spacing w:before="0" w:beforeAutospacing="0" w:after="0" w:afterAutospacing="0"/>
                    <w:ind w:left="0" w:right="0"/>
                    <w:rPr>
                      <w:rFonts w:hint="default"/>
                      <w:color w:val="auto"/>
                      <w:highlight w:val="none"/>
                      <w:lang w:val="en-US" w:eastAsia="zh-CN"/>
                    </w:rPr>
                  </w:pPr>
                  <w:r>
                    <w:rPr>
                      <w:rFonts w:hint="eastAsia"/>
                      <w:color w:val="auto"/>
                      <w:highlight w:val="none"/>
                      <w:lang w:val="en-US" w:eastAsia="zh-CN"/>
                    </w:rPr>
                    <w:t>制冷剂液氨分布在冷库制冷设备中，水处理剂片碱暂存于污水处理站，危险废物暂存于危废暂存间。</w:t>
                  </w:r>
                </w:p>
              </w:tc>
            </w:tr>
            <w:tr w14:paraId="5B0A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00" w:hRule="atLeast"/>
                <w:jc w:val="center"/>
              </w:trPr>
              <w:tc>
                <w:tcPr>
                  <w:tcW w:w="1640" w:type="dxa"/>
                  <w:tcBorders>
                    <w:top w:val="single" w:color="auto" w:sz="4" w:space="0"/>
                    <w:left w:val="single" w:color="auto" w:sz="4" w:space="0"/>
                    <w:bottom w:val="single" w:color="auto" w:sz="4" w:space="0"/>
                    <w:right w:val="single" w:color="auto" w:sz="4" w:space="0"/>
                  </w:tcBorders>
                  <w:shd w:val="clear" w:color="auto" w:fill="auto"/>
                  <w:vAlign w:val="center"/>
                </w:tcPr>
                <w:p w14:paraId="0D71F588">
                  <w:pPr>
                    <w:pStyle w:val="86"/>
                    <w:keepNext w:val="0"/>
                    <w:keepLines w:val="0"/>
                    <w:suppressLineNumbers w:val="0"/>
                    <w:bidi w:val="0"/>
                    <w:spacing w:before="0" w:beforeAutospacing="0" w:after="0" w:afterAutospacing="0"/>
                    <w:ind w:left="0" w:right="0"/>
                    <w:rPr>
                      <w:rFonts w:hint="default"/>
                      <w:color w:val="auto"/>
                      <w:highlight w:val="none"/>
                      <w:lang w:val="en-US"/>
                    </w:rPr>
                  </w:pPr>
                  <w:r>
                    <w:rPr>
                      <w:rFonts w:hint="eastAsia"/>
                      <w:color w:val="auto"/>
                      <w:highlight w:val="none"/>
                    </w:rPr>
                    <w:t>环境影响途径及危害后果（大气、地表水、地下水等）</w:t>
                  </w:r>
                </w:p>
              </w:tc>
              <w:tc>
                <w:tcPr>
                  <w:tcW w:w="6779"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41014C17">
                  <w:pPr>
                    <w:pStyle w:val="86"/>
                    <w:keepNext w:val="0"/>
                    <w:keepLines w:val="0"/>
                    <w:suppressLineNumbers w:val="0"/>
                    <w:bidi w:val="0"/>
                    <w:spacing w:before="0" w:beforeAutospacing="0" w:after="0" w:afterAutospacing="0"/>
                    <w:ind w:left="0" w:right="0"/>
                    <w:jc w:val="left"/>
                    <w:rPr>
                      <w:rFonts w:hint="eastAsia"/>
                      <w:color w:val="auto"/>
                      <w:highlight w:val="none"/>
                      <w:lang w:val="en-US" w:eastAsia="zh-CN"/>
                    </w:rPr>
                  </w:pPr>
                  <w:r>
                    <w:rPr>
                      <w:rFonts w:hint="eastAsia"/>
                      <w:color w:val="auto"/>
                      <w:highlight w:val="none"/>
                      <w:lang w:val="en-US" w:eastAsia="zh-CN"/>
                    </w:rPr>
                    <w:t>项目主要危险因素为火灾引起的次生环境污染事故。</w:t>
                  </w:r>
                </w:p>
                <w:p w14:paraId="15CF8F00">
                  <w:pPr>
                    <w:pStyle w:val="86"/>
                    <w:keepNext w:val="0"/>
                    <w:keepLines w:val="0"/>
                    <w:suppressLineNumbers w:val="0"/>
                    <w:bidi w:val="0"/>
                    <w:spacing w:before="0" w:beforeAutospacing="0" w:after="0" w:afterAutospacing="0"/>
                    <w:ind w:left="0" w:right="0"/>
                    <w:jc w:val="left"/>
                    <w:rPr>
                      <w:rFonts w:hint="eastAsia"/>
                      <w:color w:val="auto"/>
                      <w:highlight w:val="none"/>
                    </w:rPr>
                  </w:pPr>
                  <w:r>
                    <w:rPr>
                      <w:rFonts w:hint="eastAsia"/>
                      <w:color w:val="auto"/>
                      <w:highlight w:val="none"/>
                    </w:rPr>
                    <w:t>发生火灾事故时，燃烧产生的</w:t>
                  </w:r>
                  <w:r>
                    <w:rPr>
                      <w:rFonts w:hint="default"/>
                      <w:color w:val="auto"/>
                      <w:highlight w:val="none"/>
                      <w:lang w:val="en-US"/>
                    </w:rPr>
                    <w:t>CO</w:t>
                  </w:r>
                  <w:r>
                    <w:rPr>
                      <w:rFonts w:hint="eastAsia"/>
                      <w:color w:val="auto"/>
                      <w:highlight w:val="none"/>
                    </w:rPr>
                    <w:t>、烟尘产物或将造成空气污染，火灾会产生大量的消防废水，消防废水如不及时进行收集，可能通过雨水管网，进入厂界外环境，将对周边水体造成影响。</w:t>
                  </w:r>
                </w:p>
                <w:p w14:paraId="26B80823">
                  <w:pPr>
                    <w:pStyle w:val="86"/>
                    <w:keepNext w:val="0"/>
                    <w:keepLines w:val="0"/>
                    <w:suppressLineNumbers w:val="0"/>
                    <w:bidi w:val="0"/>
                    <w:spacing w:before="0" w:beforeAutospacing="0" w:after="0" w:afterAutospacing="0"/>
                    <w:ind w:left="0" w:right="0"/>
                    <w:jc w:val="left"/>
                    <w:rPr>
                      <w:rFonts w:hint="eastAsia"/>
                      <w:color w:val="auto"/>
                      <w:highlight w:val="none"/>
                      <w:lang w:val="en-US" w:eastAsia="zh-CN"/>
                    </w:rPr>
                  </w:pPr>
                  <w:r>
                    <w:rPr>
                      <w:rFonts w:hint="default"/>
                      <w:color w:val="auto"/>
                      <w:highlight w:val="none"/>
                      <w:lang w:val="en-US" w:eastAsia="zh-CN"/>
                    </w:rPr>
                    <w:t>危险废物</w:t>
                  </w:r>
                  <w:r>
                    <w:rPr>
                      <w:rFonts w:hint="eastAsia"/>
                      <w:color w:val="auto"/>
                      <w:highlight w:val="none"/>
                      <w:lang w:val="en-US" w:eastAsia="zh-CN"/>
                    </w:rPr>
                    <w:t>废机油、水处理剂片碱</w:t>
                  </w:r>
                  <w:r>
                    <w:rPr>
                      <w:rFonts w:hint="default"/>
                      <w:color w:val="auto"/>
                      <w:highlight w:val="none"/>
                      <w:lang w:val="en-US" w:eastAsia="zh-CN"/>
                    </w:rPr>
                    <w:t>如出现泄漏情况，会对该区域地表水水质、土壤</w:t>
                  </w:r>
                  <w:r>
                    <w:rPr>
                      <w:rFonts w:hint="eastAsia"/>
                      <w:color w:val="auto"/>
                      <w:highlight w:val="none"/>
                      <w:lang w:val="en-US" w:eastAsia="zh-CN"/>
                    </w:rPr>
                    <w:t>等</w:t>
                  </w:r>
                  <w:r>
                    <w:rPr>
                      <w:rFonts w:hint="default"/>
                      <w:color w:val="auto"/>
                      <w:highlight w:val="none"/>
                      <w:lang w:val="en-US" w:eastAsia="zh-CN"/>
                    </w:rPr>
                    <w:t>造成污染</w:t>
                  </w:r>
                  <w:r>
                    <w:rPr>
                      <w:rFonts w:hint="eastAsia"/>
                      <w:color w:val="auto"/>
                      <w:highlight w:val="none"/>
                      <w:lang w:val="en-US" w:eastAsia="zh-CN"/>
                    </w:rPr>
                    <w:t>。</w:t>
                  </w:r>
                </w:p>
                <w:p w14:paraId="62D52A40">
                  <w:pPr>
                    <w:pStyle w:val="86"/>
                    <w:keepNext w:val="0"/>
                    <w:keepLines w:val="0"/>
                    <w:suppressLineNumbers w:val="0"/>
                    <w:bidi w:val="0"/>
                    <w:spacing w:before="0" w:beforeAutospacing="0" w:after="0" w:afterAutospacing="0"/>
                    <w:ind w:left="0" w:right="0"/>
                    <w:jc w:val="left"/>
                    <w:rPr>
                      <w:rFonts w:hint="default"/>
                      <w:color w:val="auto"/>
                      <w:highlight w:val="none"/>
                      <w:lang w:val="en-US" w:eastAsia="zh-CN"/>
                    </w:rPr>
                  </w:pPr>
                  <w:r>
                    <w:rPr>
                      <w:rFonts w:hint="eastAsia"/>
                      <w:color w:val="auto"/>
                      <w:highlight w:val="none"/>
                      <w:lang w:val="en-US" w:eastAsia="zh-CN"/>
                    </w:rPr>
                    <w:t>液氨泄漏后挥发造成环境空气污染</w:t>
                  </w:r>
                  <w:r>
                    <w:rPr>
                      <w:rFonts w:hint="default"/>
                      <w:color w:val="auto"/>
                      <w:highlight w:val="none"/>
                      <w:lang w:val="en-US" w:eastAsia="zh-CN"/>
                    </w:rPr>
                    <w:t>。</w:t>
                  </w:r>
                </w:p>
              </w:tc>
            </w:tr>
            <w:tr w14:paraId="47A63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jc w:val="center"/>
              </w:trPr>
              <w:tc>
                <w:tcPr>
                  <w:tcW w:w="1640" w:type="dxa"/>
                  <w:tcBorders>
                    <w:top w:val="single" w:color="auto" w:sz="4" w:space="0"/>
                    <w:left w:val="single" w:color="auto" w:sz="4" w:space="0"/>
                    <w:bottom w:val="single" w:color="auto" w:sz="4" w:space="0"/>
                    <w:right w:val="single" w:color="auto" w:sz="4" w:space="0"/>
                  </w:tcBorders>
                  <w:shd w:val="clear" w:color="auto" w:fill="auto"/>
                  <w:vAlign w:val="center"/>
                </w:tcPr>
                <w:p w14:paraId="0F72A39C">
                  <w:pPr>
                    <w:pStyle w:val="86"/>
                    <w:keepNext w:val="0"/>
                    <w:keepLines w:val="0"/>
                    <w:suppressLineNumbers w:val="0"/>
                    <w:bidi w:val="0"/>
                    <w:spacing w:before="0" w:beforeAutospacing="0" w:after="0" w:afterAutospacing="0"/>
                    <w:ind w:left="0" w:right="0"/>
                    <w:rPr>
                      <w:rFonts w:hint="default"/>
                      <w:color w:val="auto"/>
                      <w:highlight w:val="none"/>
                      <w:lang w:val="en-US"/>
                    </w:rPr>
                  </w:pPr>
                  <w:r>
                    <w:rPr>
                      <w:rFonts w:hint="eastAsia"/>
                      <w:color w:val="auto"/>
                      <w:highlight w:val="none"/>
                    </w:rPr>
                    <w:t>风险防范措施要求</w:t>
                  </w:r>
                </w:p>
              </w:tc>
              <w:tc>
                <w:tcPr>
                  <w:tcW w:w="6779"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0C4E1530">
                  <w:pPr>
                    <w:pStyle w:val="86"/>
                    <w:keepNext w:val="0"/>
                    <w:keepLines w:val="0"/>
                    <w:suppressLineNumbers w:val="0"/>
                    <w:bidi w:val="0"/>
                    <w:spacing w:before="0" w:beforeAutospacing="0" w:after="0" w:afterAutospacing="0"/>
                    <w:ind w:left="0" w:right="0"/>
                    <w:jc w:val="left"/>
                    <w:rPr>
                      <w:rFonts w:hint="default"/>
                      <w:color w:val="auto"/>
                      <w:highlight w:val="none"/>
                      <w:lang w:val="en-US"/>
                    </w:rPr>
                  </w:pPr>
                  <w:r>
                    <w:rPr>
                      <w:rFonts w:hint="eastAsia"/>
                      <w:color w:val="auto"/>
                      <w:highlight w:val="none"/>
                    </w:rPr>
                    <w:t>建立、完善安全管理制度；严格执行安全规章制度和操作规程；建立完善的废水处理系统运行管理制度；加强对操作工人的培训，培养员工的安全和环境意识；设立事故救援指挥决策系统。</w:t>
                  </w:r>
                </w:p>
              </w:tc>
            </w:tr>
            <w:tr w14:paraId="0F76B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841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6EAA1D76">
                  <w:pPr>
                    <w:pStyle w:val="86"/>
                    <w:keepNext w:val="0"/>
                    <w:keepLines w:val="0"/>
                    <w:suppressLineNumbers w:val="0"/>
                    <w:bidi w:val="0"/>
                    <w:spacing w:before="0" w:beforeAutospacing="0" w:after="0" w:afterAutospacing="0"/>
                    <w:ind w:left="0" w:right="0"/>
                    <w:jc w:val="left"/>
                    <w:rPr>
                      <w:rFonts w:hint="default"/>
                      <w:color w:val="auto"/>
                      <w:highlight w:val="none"/>
                      <w:lang w:val="en-US"/>
                    </w:rPr>
                  </w:pPr>
                  <w:r>
                    <w:rPr>
                      <w:rFonts w:hint="eastAsia"/>
                      <w:color w:val="auto"/>
                      <w:highlight w:val="none"/>
                    </w:rPr>
                    <w:t>填表说明（列出项目相关信息及评价说明）：</w:t>
                  </w:r>
                </w:p>
                <w:p w14:paraId="4F6B8574">
                  <w:pPr>
                    <w:pStyle w:val="86"/>
                    <w:keepNext w:val="0"/>
                    <w:keepLines w:val="0"/>
                    <w:suppressLineNumbers w:val="0"/>
                    <w:bidi w:val="0"/>
                    <w:spacing w:before="0" w:beforeAutospacing="0" w:after="0" w:afterAutospacing="0"/>
                    <w:ind w:left="0" w:right="0"/>
                    <w:jc w:val="left"/>
                    <w:rPr>
                      <w:rFonts w:hint="default"/>
                      <w:color w:val="auto"/>
                      <w:highlight w:val="none"/>
                      <w:lang w:val="en-US"/>
                    </w:rPr>
                  </w:pPr>
                  <w:r>
                    <w:rPr>
                      <w:rFonts w:hint="eastAsia"/>
                      <w:color w:val="auto"/>
                      <w:highlight w:val="none"/>
                    </w:rPr>
                    <w:t>建设单位在有效落实各项风险防范措施情况下，本项目的环境风险可以控制在最低范围，环境风险程度可以接受。</w:t>
                  </w:r>
                </w:p>
              </w:tc>
            </w:tr>
          </w:tbl>
          <w:p w14:paraId="5912FDD6">
            <w:pPr>
              <w:pStyle w:val="12"/>
              <w:keepNext w:val="0"/>
              <w:keepLines w:val="0"/>
              <w:suppressLineNumbers w:val="0"/>
              <w:kinsoku/>
              <w:overflowPunct w:val="0"/>
              <w:topLinePunct/>
              <w:autoSpaceDN/>
              <w:spacing w:beforeAutospacing="0" w:after="0" w:afterAutospacing="0" w:line="360" w:lineRule="auto"/>
              <w:ind w:left="0" w:leftChars="0" w:firstLine="0" w:firstLineChars="0"/>
              <w:textAlignment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8、</w:t>
            </w:r>
            <w:r>
              <w:rPr>
                <w:rFonts w:hint="eastAsia" w:cs="Times New Roman"/>
                <w:b/>
                <w:bCs/>
                <w:color w:val="auto"/>
                <w:sz w:val="24"/>
                <w:highlight w:val="none"/>
                <w:lang w:val="en-US" w:eastAsia="zh-CN"/>
              </w:rPr>
              <w:t>环境管理和监测计划</w:t>
            </w:r>
            <w:r>
              <w:rPr>
                <w:rFonts w:hint="default" w:ascii="Times New Roman" w:hAnsi="Times New Roman" w:eastAsia="宋体" w:cs="Times New Roman"/>
                <w:b/>
                <w:bCs/>
                <w:color w:val="auto"/>
                <w:sz w:val="24"/>
                <w:highlight w:val="none"/>
              </w:rPr>
              <w:t xml:space="preserve"> </w:t>
            </w:r>
          </w:p>
          <w:p w14:paraId="6C50A705">
            <w:pPr>
              <w:pStyle w:val="98"/>
              <w:keepNext w:val="0"/>
              <w:keepLines w:val="0"/>
              <w:widowControl w:val="0"/>
              <w:suppressLineNumbers w:val="0"/>
              <w:snapToGrid w:val="0"/>
              <w:spacing w:line="360" w:lineRule="auto"/>
              <w:ind w:left="0" w:firstLine="482" w:firstLineChars="200"/>
              <w:jc w:val="both"/>
              <w:rPr>
                <w:b/>
                <w:bCs/>
                <w:color w:val="auto"/>
                <w:sz w:val="24"/>
                <w:szCs w:val="18"/>
                <w:highlight w:val="none"/>
                <w:u w:val="none" w:color="auto"/>
                <w:lang w:val="en-US"/>
              </w:rPr>
            </w:pPr>
            <w:r>
              <w:rPr>
                <w:rFonts w:hint="eastAsia" w:eastAsia="宋体"/>
                <w:b/>
                <w:bCs/>
                <w:color w:val="auto"/>
                <w:sz w:val="24"/>
                <w:szCs w:val="18"/>
                <w:highlight w:val="none"/>
                <w:u w:val="none" w:color="auto"/>
                <w:lang w:val="en-US" w:eastAsia="zh-CN"/>
              </w:rPr>
              <w:t>（1）</w:t>
            </w:r>
            <w:r>
              <w:rPr>
                <w:rFonts w:hint="eastAsia" w:ascii="Times New Roman" w:hAnsi="Times New Roman" w:eastAsia="宋体" w:cs="宋体"/>
                <w:b/>
                <w:bCs/>
                <w:color w:val="auto"/>
                <w:sz w:val="24"/>
                <w:szCs w:val="18"/>
                <w:highlight w:val="none"/>
                <w:u w:val="none" w:color="auto"/>
                <w:lang w:eastAsia="zh-CN"/>
              </w:rPr>
              <w:t>环境管理</w:t>
            </w:r>
          </w:p>
          <w:p w14:paraId="190514B3">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eastAsia" w:ascii="Times New Roman" w:hAnsi="Times New Roman" w:eastAsia="宋体" w:cs="宋体"/>
                <w:color w:val="auto"/>
                <w:kern w:val="2"/>
                <w:sz w:val="24"/>
                <w:szCs w:val="21"/>
                <w:highlight w:val="none"/>
                <w:u w:val="none" w:color="auto"/>
                <w:lang w:val="en-US" w:eastAsia="zh-CN" w:bidi="ar"/>
              </w:rPr>
              <w:t>环境管理是对企业环境保护措施的实施进行管理，完善的环境管理是减少项目对周围环境的影响的重要条件。</w:t>
            </w:r>
          </w:p>
          <w:p w14:paraId="326900C9">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eastAsia" w:ascii="宋体" w:hAnsi="宋体" w:eastAsia="宋体" w:cs="宋体"/>
                <w:color w:val="auto"/>
                <w:kern w:val="2"/>
                <w:sz w:val="24"/>
                <w:szCs w:val="21"/>
                <w:highlight w:val="none"/>
                <w:u w:val="none" w:color="auto"/>
                <w:lang w:val="en-US" w:eastAsia="zh-CN" w:bidi="ar"/>
              </w:rPr>
              <w:t>①</w:t>
            </w:r>
            <w:r>
              <w:rPr>
                <w:rFonts w:hint="eastAsia" w:ascii="Times New Roman" w:hAnsi="Times New Roman" w:eastAsia="宋体" w:cs="宋体"/>
                <w:color w:val="auto"/>
                <w:kern w:val="2"/>
                <w:sz w:val="24"/>
                <w:szCs w:val="21"/>
                <w:highlight w:val="none"/>
                <w:u w:val="none" w:color="auto"/>
                <w:lang w:val="en-US" w:eastAsia="zh-CN" w:bidi="ar"/>
              </w:rPr>
              <w:t>环境管理机构设置及职责</w:t>
            </w:r>
          </w:p>
          <w:p w14:paraId="6534EDE1">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eastAsia" w:ascii="Times New Roman" w:hAnsi="Times New Roman" w:eastAsia="宋体" w:cs="宋体"/>
                <w:color w:val="auto"/>
                <w:kern w:val="2"/>
                <w:sz w:val="24"/>
                <w:szCs w:val="21"/>
                <w:highlight w:val="none"/>
                <w:u w:val="none" w:color="auto"/>
                <w:lang w:val="en-US" w:eastAsia="zh-CN" w:bidi="ar"/>
              </w:rPr>
              <w:t>公司设有专门的环境管理部门，环境管理机构的基本任务是负责组织、落实、监督本企业的环保工作，其主要职责如下：</w:t>
            </w:r>
          </w:p>
          <w:p w14:paraId="07488F28">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default" w:ascii="Times New Roman" w:hAnsi="Times New Roman" w:eastAsia="宋体" w:cs="Times New Roman"/>
                <w:color w:val="auto"/>
                <w:kern w:val="2"/>
                <w:sz w:val="24"/>
                <w:szCs w:val="21"/>
                <w:highlight w:val="none"/>
                <w:u w:val="none" w:color="auto"/>
                <w:lang w:val="en-US" w:eastAsia="zh-CN" w:bidi="ar"/>
              </w:rPr>
              <w:t>1</w:t>
            </w:r>
            <w:r>
              <w:rPr>
                <w:rFonts w:hint="eastAsia" w:ascii="Times New Roman" w:hAnsi="Times New Roman" w:eastAsia="宋体" w:cs="宋体"/>
                <w:color w:val="auto"/>
                <w:kern w:val="2"/>
                <w:sz w:val="24"/>
                <w:szCs w:val="21"/>
                <w:highlight w:val="none"/>
                <w:u w:val="none" w:color="auto"/>
                <w:lang w:val="en-US" w:eastAsia="zh-CN" w:bidi="ar"/>
              </w:rPr>
              <w:t>）宣传贯彻执行环境保护法规和标准，并监督公司有关部门执行情况；</w:t>
            </w:r>
          </w:p>
          <w:p w14:paraId="323C7D07">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default" w:ascii="Times New Roman" w:hAnsi="Times New Roman" w:eastAsia="宋体" w:cs="Times New Roman"/>
                <w:color w:val="auto"/>
                <w:kern w:val="2"/>
                <w:sz w:val="24"/>
                <w:szCs w:val="21"/>
                <w:highlight w:val="none"/>
                <w:u w:val="none" w:color="auto"/>
                <w:lang w:val="en-US" w:eastAsia="zh-CN" w:bidi="ar"/>
              </w:rPr>
              <w:t>2</w:t>
            </w:r>
            <w:r>
              <w:rPr>
                <w:rFonts w:hint="eastAsia" w:ascii="Times New Roman" w:hAnsi="Times New Roman" w:eastAsia="宋体" w:cs="宋体"/>
                <w:color w:val="auto"/>
                <w:kern w:val="2"/>
                <w:sz w:val="24"/>
                <w:szCs w:val="21"/>
                <w:highlight w:val="none"/>
                <w:u w:val="none" w:color="auto"/>
                <w:lang w:val="en-US" w:eastAsia="zh-CN" w:bidi="ar"/>
              </w:rPr>
              <w:t>）负责公司的环境管理和环境保护工作并监督各项环保措施的落实情况；</w:t>
            </w:r>
          </w:p>
          <w:p w14:paraId="1C20AE5D">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default" w:ascii="Times New Roman" w:hAnsi="Times New Roman" w:eastAsia="宋体" w:cs="Times New Roman"/>
                <w:color w:val="auto"/>
                <w:kern w:val="2"/>
                <w:sz w:val="24"/>
                <w:szCs w:val="21"/>
                <w:highlight w:val="none"/>
                <w:u w:val="none" w:color="auto"/>
                <w:lang w:val="en-US" w:eastAsia="zh-CN" w:bidi="ar"/>
              </w:rPr>
              <w:t>3</w:t>
            </w:r>
            <w:r>
              <w:rPr>
                <w:rFonts w:hint="eastAsia" w:ascii="Times New Roman" w:hAnsi="Times New Roman" w:eastAsia="宋体" w:cs="宋体"/>
                <w:color w:val="auto"/>
                <w:kern w:val="2"/>
                <w:sz w:val="24"/>
                <w:szCs w:val="21"/>
                <w:highlight w:val="none"/>
                <w:u w:val="none" w:color="auto"/>
                <w:lang w:val="en-US" w:eastAsia="zh-CN" w:bidi="ar"/>
              </w:rPr>
              <w:t>）编制公司环境保护制度，并能够组织实施；</w:t>
            </w:r>
          </w:p>
          <w:p w14:paraId="7184EAA8">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default" w:ascii="Times New Roman" w:hAnsi="Times New Roman" w:eastAsia="宋体" w:cs="Times New Roman"/>
                <w:color w:val="auto"/>
                <w:kern w:val="2"/>
                <w:sz w:val="24"/>
                <w:szCs w:val="21"/>
                <w:highlight w:val="none"/>
                <w:u w:val="none" w:color="auto"/>
                <w:lang w:val="en-US" w:eastAsia="zh-CN" w:bidi="ar"/>
              </w:rPr>
              <w:t>4</w:t>
            </w:r>
            <w:r>
              <w:rPr>
                <w:rFonts w:hint="eastAsia" w:ascii="Times New Roman" w:hAnsi="Times New Roman" w:eastAsia="宋体" w:cs="宋体"/>
                <w:color w:val="auto"/>
                <w:kern w:val="2"/>
                <w:sz w:val="24"/>
                <w:szCs w:val="21"/>
                <w:highlight w:val="none"/>
                <w:u w:val="none" w:color="auto"/>
                <w:lang w:val="en-US" w:eastAsia="zh-CN" w:bidi="ar"/>
              </w:rPr>
              <w:t>）按照环保主管部门的有关规定和要求填写各种环境管理报表；</w:t>
            </w:r>
          </w:p>
          <w:p w14:paraId="5F109950">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default" w:ascii="Times New Roman" w:hAnsi="Times New Roman" w:eastAsia="宋体" w:cs="Times New Roman"/>
                <w:color w:val="auto"/>
                <w:kern w:val="2"/>
                <w:sz w:val="24"/>
                <w:szCs w:val="21"/>
                <w:highlight w:val="none"/>
                <w:u w:val="none" w:color="auto"/>
                <w:lang w:val="en-US" w:eastAsia="zh-CN" w:bidi="ar"/>
              </w:rPr>
              <w:t>5</w:t>
            </w:r>
            <w:r>
              <w:rPr>
                <w:rFonts w:hint="eastAsia" w:ascii="Times New Roman" w:hAnsi="Times New Roman" w:eastAsia="宋体" w:cs="宋体"/>
                <w:color w:val="auto"/>
                <w:kern w:val="2"/>
                <w:sz w:val="24"/>
                <w:szCs w:val="21"/>
                <w:highlight w:val="none"/>
                <w:u w:val="none" w:color="auto"/>
                <w:lang w:val="en-US" w:eastAsia="zh-CN" w:bidi="ar"/>
              </w:rPr>
              <w:t>）加强对环保设施的运行管理，如果出现运行故障，应该立即进行检修，严禁非正常排放；</w:t>
            </w:r>
          </w:p>
          <w:p w14:paraId="49E19ECE">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default" w:ascii="Times New Roman" w:hAnsi="Times New Roman" w:eastAsia="宋体" w:cs="Times New Roman"/>
                <w:color w:val="auto"/>
                <w:kern w:val="2"/>
                <w:sz w:val="24"/>
                <w:szCs w:val="21"/>
                <w:highlight w:val="none"/>
                <w:u w:val="none" w:color="auto"/>
                <w:lang w:val="en-US" w:eastAsia="zh-CN" w:bidi="ar"/>
              </w:rPr>
              <w:t>6</w:t>
            </w:r>
            <w:r>
              <w:rPr>
                <w:rFonts w:hint="eastAsia" w:ascii="Times New Roman" w:hAnsi="Times New Roman" w:eastAsia="宋体" w:cs="宋体"/>
                <w:color w:val="auto"/>
                <w:kern w:val="2"/>
                <w:sz w:val="24"/>
                <w:szCs w:val="21"/>
                <w:highlight w:val="none"/>
                <w:u w:val="none" w:color="auto"/>
                <w:lang w:val="en-US" w:eastAsia="zh-CN" w:bidi="ar"/>
              </w:rPr>
              <w:t>）协调、处理因本项目的运营而产生的环境问题的投诉以及项目区域居民对周围环境的环境投诉，协同当地环保主管部门处理和解答与本项目有关的公众意见，并协调配合有关单位进行处理，达成相应的谅解措施；</w:t>
            </w:r>
          </w:p>
          <w:p w14:paraId="09279CAC">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default" w:ascii="Times New Roman" w:hAnsi="Times New Roman" w:eastAsia="宋体" w:cs="Times New Roman"/>
                <w:color w:val="auto"/>
                <w:kern w:val="2"/>
                <w:sz w:val="24"/>
                <w:szCs w:val="21"/>
                <w:highlight w:val="none"/>
                <w:u w:val="none" w:color="auto"/>
                <w:lang w:val="en-US" w:eastAsia="zh-CN" w:bidi="ar"/>
              </w:rPr>
              <w:t>7</w:t>
            </w:r>
            <w:r>
              <w:rPr>
                <w:rFonts w:hint="eastAsia" w:ascii="Times New Roman" w:hAnsi="Times New Roman" w:eastAsia="宋体" w:cs="宋体"/>
                <w:color w:val="auto"/>
                <w:kern w:val="2"/>
                <w:sz w:val="24"/>
                <w:szCs w:val="21"/>
                <w:highlight w:val="none"/>
                <w:u w:val="none" w:color="auto"/>
                <w:lang w:val="en-US" w:eastAsia="zh-CN" w:bidi="ar"/>
              </w:rPr>
              <w:t>）配合有关单位和部门负责对环境事故进行调查，监督和分析，并写出相应的调查报告。</w:t>
            </w:r>
          </w:p>
          <w:p w14:paraId="78458E6B">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eastAsia" w:ascii="宋体" w:hAnsi="宋体" w:eastAsia="宋体" w:cs="宋体"/>
                <w:color w:val="auto"/>
                <w:kern w:val="2"/>
                <w:sz w:val="24"/>
                <w:szCs w:val="21"/>
                <w:highlight w:val="none"/>
                <w:u w:val="none" w:color="auto"/>
                <w:lang w:val="en-US" w:eastAsia="zh-CN" w:bidi="ar"/>
              </w:rPr>
              <w:t>②</w:t>
            </w:r>
            <w:r>
              <w:rPr>
                <w:rFonts w:hint="eastAsia" w:ascii="Times New Roman" w:hAnsi="Times New Roman" w:eastAsia="宋体" w:cs="宋体"/>
                <w:color w:val="auto"/>
                <w:kern w:val="2"/>
                <w:sz w:val="24"/>
                <w:szCs w:val="21"/>
                <w:highlight w:val="none"/>
                <w:u w:val="none" w:color="auto"/>
                <w:lang w:val="en-US" w:eastAsia="zh-CN" w:bidi="ar"/>
              </w:rPr>
              <w:t>环境管理制度</w:t>
            </w:r>
          </w:p>
          <w:p w14:paraId="61928D4E">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szCs w:val="21"/>
                <w:highlight w:val="none"/>
                <w:u w:val="none" w:color="auto"/>
                <w:lang w:val="en-US"/>
              </w:rPr>
            </w:pPr>
            <w:r>
              <w:rPr>
                <w:rFonts w:hint="eastAsia" w:ascii="Times New Roman" w:hAnsi="Times New Roman" w:eastAsia="宋体" w:cs="宋体"/>
                <w:color w:val="auto"/>
                <w:kern w:val="2"/>
                <w:sz w:val="24"/>
                <w:szCs w:val="21"/>
                <w:highlight w:val="none"/>
                <w:u w:val="none" w:color="auto"/>
                <w:lang w:val="en-US" w:eastAsia="zh-CN" w:bidi="ar"/>
              </w:rPr>
              <w:t>本项目建成运营后，将按照公司制定的环境管理制度体系，按照新的环境管理要求进行改进，做好环境管理方面的工作，设立专门的环境管理部门和专职环境保护负责人，科学管理，确保项目各环节安全运营。</w:t>
            </w:r>
          </w:p>
          <w:p w14:paraId="541E2775">
            <w:pPr>
              <w:pStyle w:val="24"/>
              <w:keepNext w:val="0"/>
              <w:keepLines w:val="0"/>
              <w:widowControl w:val="0"/>
              <w:suppressLineNumbers w:val="0"/>
              <w:spacing w:before="0" w:beforeAutospacing="0" w:after="0" w:afterAutospacing="0" w:line="360" w:lineRule="auto"/>
              <w:ind w:left="0" w:right="0" w:firstLine="482" w:firstLineChars="200"/>
              <w:jc w:val="both"/>
              <w:rPr>
                <w:rFonts w:hint="eastAsia" w:ascii="Times New Roman" w:hAnsi="Times New Roman" w:cs="Times New Roman"/>
                <w:b/>
                <w:bCs/>
                <w:color w:val="auto"/>
                <w:highlight w:val="none"/>
                <w:u w:val="none" w:color="auto"/>
                <w:lang w:val="en-US" w:eastAsia="zh-CN"/>
              </w:rPr>
            </w:pPr>
            <w:r>
              <w:rPr>
                <w:rFonts w:hint="eastAsia" w:ascii="Times New Roman" w:hAnsi="Times New Roman" w:cs="Times New Roman"/>
                <w:b/>
                <w:bCs/>
                <w:color w:val="auto"/>
                <w:highlight w:val="none"/>
                <w:u w:val="none" w:color="auto"/>
                <w:lang w:val="en-US" w:eastAsia="zh-CN"/>
              </w:rPr>
              <w:t>（2）排污许可</w:t>
            </w:r>
          </w:p>
          <w:p w14:paraId="4AB8C54F">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宋体"/>
                <w:color w:val="auto"/>
                <w:kern w:val="2"/>
                <w:sz w:val="24"/>
                <w:szCs w:val="21"/>
                <w:highlight w:val="none"/>
                <w:u w:val="none" w:color="auto"/>
                <w:lang w:val="en-US" w:eastAsia="zh-CN" w:bidi="ar"/>
              </w:rPr>
            </w:pPr>
            <w:r>
              <w:rPr>
                <w:rFonts w:hint="default" w:ascii="Times New Roman" w:hAnsi="Times New Roman" w:eastAsia="宋体" w:cs="宋体"/>
                <w:color w:val="auto"/>
                <w:kern w:val="2"/>
                <w:sz w:val="24"/>
                <w:szCs w:val="21"/>
                <w:highlight w:val="none"/>
                <w:u w:val="none" w:color="auto"/>
                <w:lang w:val="en-US" w:eastAsia="zh-CN" w:bidi="ar"/>
              </w:rPr>
              <w:t>建设项目应根据《排污许可管理办法（试行）》，对照《固定污染源排污许可分类管理名录（2019年版）》，当在启动生产设施或者发生实际排污之前申请取得排污许可证或者填报排污登记表。</w:t>
            </w:r>
          </w:p>
          <w:p w14:paraId="48D36DC2">
            <w:pPr>
              <w:pStyle w:val="24"/>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宋体"/>
                <w:color w:val="auto"/>
                <w:kern w:val="2"/>
                <w:sz w:val="24"/>
                <w:szCs w:val="21"/>
                <w:highlight w:val="none"/>
                <w:u w:val="none" w:color="auto"/>
                <w:lang w:val="en-US" w:eastAsia="zh-CN" w:bidi="ar"/>
              </w:rPr>
            </w:pPr>
            <w:r>
              <w:rPr>
                <w:rFonts w:hint="default" w:ascii="Times New Roman" w:hAnsi="Times New Roman" w:eastAsia="宋体" w:cs="宋体"/>
                <w:color w:val="auto"/>
                <w:kern w:val="2"/>
                <w:sz w:val="24"/>
                <w:szCs w:val="21"/>
                <w:highlight w:val="none"/>
                <w:u w:val="none" w:color="auto"/>
                <w:lang w:val="en-US" w:eastAsia="zh-CN" w:bidi="ar"/>
              </w:rPr>
              <w:t>根据《固定污染源排污许可分类管理名录（2019年版）》，本项目排污许可</w:t>
            </w:r>
            <w:r>
              <w:rPr>
                <w:rFonts w:hint="eastAsia" w:ascii="Times New Roman" w:hAnsi="Times New Roman" w:cs="宋体"/>
                <w:color w:val="auto"/>
                <w:kern w:val="2"/>
                <w:sz w:val="24"/>
                <w:szCs w:val="21"/>
                <w:highlight w:val="none"/>
                <w:u w:val="none" w:color="auto"/>
                <w:lang w:val="en-US" w:eastAsia="zh-CN" w:bidi="ar"/>
              </w:rPr>
              <w:t>分类管理综合判定为</w:t>
            </w:r>
            <w:r>
              <w:rPr>
                <w:rFonts w:hint="eastAsia" w:ascii="Times New Roman" w:hAnsi="Times New Roman" w:cs="宋体"/>
                <w:b/>
                <w:bCs/>
                <w:color w:val="auto"/>
                <w:kern w:val="2"/>
                <w:sz w:val="24"/>
                <w:szCs w:val="21"/>
                <w:highlight w:val="none"/>
                <w:u w:val="none" w:color="auto"/>
                <w:lang w:val="en-US" w:eastAsia="zh-CN" w:bidi="ar"/>
              </w:rPr>
              <w:t>登记管理</w:t>
            </w:r>
            <w:r>
              <w:rPr>
                <w:rFonts w:hint="eastAsia" w:ascii="Times New Roman" w:hAnsi="Times New Roman" w:cs="宋体"/>
                <w:color w:val="auto"/>
                <w:kern w:val="2"/>
                <w:sz w:val="24"/>
                <w:szCs w:val="21"/>
                <w:highlight w:val="none"/>
                <w:u w:val="none" w:color="auto"/>
                <w:lang w:val="en-US" w:eastAsia="zh-CN" w:bidi="ar"/>
              </w:rPr>
              <w:t>，具体情况见下表</w:t>
            </w:r>
            <w:r>
              <w:rPr>
                <w:rFonts w:hint="default" w:ascii="Times New Roman" w:hAnsi="Times New Roman" w:eastAsia="宋体" w:cs="宋体"/>
                <w:color w:val="auto"/>
                <w:kern w:val="2"/>
                <w:sz w:val="24"/>
                <w:szCs w:val="21"/>
                <w:highlight w:val="none"/>
                <w:u w:val="none" w:color="auto"/>
                <w:lang w:val="en-US" w:eastAsia="zh-CN" w:bidi="ar"/>
              </w:rPr>
              <w:t>。</w:t>
            </w:r>
          </w:p>
          <w:p w14:paraId="17F2E7D8">
            <w:pPr>
              <w:keepNext w:val="0"/>
              <w:keepLines w:val="0"/>
              <w:widowControl w:val="0"/>
              <w:suppressLineNumbers w:val="0"/>
              <w:adjustRightInd w:val="0"/>
              <w:snapToGrid w:val="0"/>
              <w:spacing w:before="0" w:beforeAutospacing="0" w:after="0" w:afterAutospacing="0" w:line="240" w:lineRule="auto"/>
              <w:ind w:left="0" w:right="0"/>
              <w:jc w:val="center"/>
              <w:rPr>
                <w:rFonts w:hint="default"/>
                <w:b/>
                <w:bCs/>
                <w:color w:val="auto"/>
                <w:szCs w:val="21"/>
                <w:highlight w:val="none"/>
                <w:u w:val="none" w:color="auto"/>
                <w:lang w:val="en-US"/>
              </w:rPr>
            </w:pPr>
            <w:r>
              <w:rPr>
                <w:rFonts w:hint="eastAsia" w:ascii="Times New Roman" w:hAnsi="Times New Roman" w:eastAsia="宋体" w:cs="宋体"/>
                <w:b/>
                <w:bCs/>
                <w:color w:val="auto"/>
                <w:kern w:val="2"/>
                <w:sz w:val="21"/>
                <w:szCs w:val="21"/>
                <w:highlight w:val="none"/>
                <w:u w:val="none" w:color="auto"/>
                <w:lang w:val="en-US" w:eastAsia="zh-CN" w:bidi="ar"/>
              </w:rPr>
              <w:t>表</w:t>
            </w:r>
            <w:r>
              <w:rPr>
                <w:rFonts w:hint="eastAsia" w:ascii="Times New Roman" w:hAnsi="Times New Roman" w:eastAsia="宋体" w:cs="Times New Roman"/>
                <w:b/>
                <w:bCs/>
                <w:color w:val="auto"/>
                <w:kern w:val="2"/>
                <w:sz w:val="21"/>
                <w:szCs w:val="21"/>
                <w:highlight w:val="none"/>
                <w:u w:val="none" w:color="auto"/>
                <w:lang w:val="en-US" w:eastAsia="zh-CN" w:bidi="ar"/>
              </w:rPr>
              <w:t>4-2</w:t>
            </w:r>
            <w:r>
              <w:rPr>
                <w:rFonts w:hint="eastAsia" w:cs="Times New Roman"/>
                <w:b/>
                <w:bCs/>
                <w:color w:val="auto"/>
                <w:kern w:val="2"/>
                <w:sz w:val="21"/>
                <w:szCs w:val="21"/>
                <w:highlight w:val="none"/>
                <w:u w:val="none" w:color="auto"/>
                <w:lang w:val="en-US" w:eastAsia="zh-CN" w:bidi="ar"/>
              </w:rPr>
              <w:t>5</w:t>
            </w:r>
            <w:r>
              <w:rPr>
                <w:rFonts w:hint="eastAsia" w:ascii="Times New Roman" w:hAnsi="Times New Roman" w:eastAsia="宋体" w:cs="Times New Roman"/>
                <w:b/>
                <w:bCs/>
                <w:color w:val="auto"/>
                <w:kern w:val="2"/>
                <w:sz w:val="21"/>
                <w:szCs w:val="21"/>
                <w:highlight w:val="none"/>
                <w:u w:val="none" w:color="auto"/>
                <w:lang w:val="en-US" w:eastAsia="zh-CN" w:bidi="ar"/>
              </w:rPr>
              <w:t xml:space="preserve"> </w:t>
            </w:r>
            <w:r>
              <w:rPr>
                <w:rFonts w:hint="default" w:ascii="Times New Roman" w:hAnsi="Times New Roman" w:eastAsia="宋体" w:cs="Times New Roman"/>
                <w:b/>
                <w:bCs/>
                <w:color w:val="auto"/>
                <w:kern w:val="2"/>
                <w:sz w:val="21"/>
                <w:szCs w:val="21"/>
                <w:highlight w:val="none"/>
                <w:u w:val="none" w:color="auto"/>
                <w:lang w:val="en-US" w:eastAsia="zh-CN" w:bidi="ar"/>
              </w:rPr>
              <w:t xml:space="preserve"> </w:t>
            </w:r>
            <w:r>
              <w:rPr>
                <w:rFonts w:hint="eastAsia" w:cs="Times New Roman"/>
                <w:b/>
                <w:bCs/>
                <w:color w:val="auto"/>
                <w:kern w:val="2"/>
                <w:sz w:val="21"/>
                <w:szCs w:val="21"/>
                <w:highlight w:val="none"/>
                <w:u w:val="none" w:color="auto"/>
                <w:lang w:val="en-US" w:eastAsia="zh-CN" w:bidi="ar"/>
              </w:rPr>
              <w:t>固定污染源排污许可分类管理名录（2019年版）节选</w:t>
            </w:r>
          </w:p>
          <w:tbl>
            <w:tblPr>
              <w:tblStyle w:val="28"/>
              <w:tblW w:w="85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719"/>
              <w:gridCol w:w="1236"/>
              <w:gridCol w:w="1073"/>
              <w:gridCol w:w="2334"/>
              <w:gridCol w:w="3195"/>
            </w:tblGrid>
            <w:tr w14:paraId="28FCE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0" w:hRule="atLeast"/>
              </w:trPr>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147E33DF">
                  <w:pPr>
                    <w:pStyle w:val="37"/>
                    <w:keepNext w:val="0"/>
                    <w:keepLines w:val="0"/>
                    <w:suppressLineNumbers w:val="0"/>
                    <w:bidi w:val="0"/>
                    <w:spacing w:before="0" w:beforeAutospacing="0" w:after="0" w:afterAutospacing="0"/>
                    <w:ind w:left="0" w:right="0"/>
                    <w:rPr>
                      <w:rFonts w:hint="default"/>
                      <w:b w:val="0"/>
                      <w:bCs w:val="0"/>
                      <w:color w:val="auto"/>
                      <w:highlight w:val="none"/>
                      <w:u w:val="none" w:color="auto"/>
                      <w:lang w:val="en-US"/>
                    </w:rPr>
                  </w:pPr>
                  <w:r>
                    <w:rPr>
                      <w:rFonts w:hint="eastAsia"/>
                      <w:b w:val="0"/>
                      <w:bCs w:val="0"/>
                      <w:color w:val="auto"/>
                      <w:highlight w:val="none"/>
                      <w:u w:val="none" w:color="auto"/>
                      <w:lang w:val="en-US" w:eastAsia="zh-CN"/>
                    </w:rPr>
                    <w:t>序号</w:t>
                  </w:r>
                </w:p>
              </w:tc>
              <w:tc>
                <w:tcPr>
                  <w:tcW w:w="722" w:type="pct"/>
                  <w:tcBorders>
                    <w:top w:val="single" w:color="auto" w:sz="4" w:space="0"/>
                    <w:left w:val="single" w:color="auto" w:sz="4" w:space="0"/>
                    <w:bottom w:val="single" w:color="auto" w:sz="4" w:space="0"/>
                    <w:right w:val="single" w:color="auto" w:sz="4" w:space="0"/>
                  </w:tcBorders>
                  <w:shd w:val="clear" w:color="auto" w:fill="auto"/>
                  <w:vAlign w:val="center"/>
                </w:tcPr>
                <w:p w14:paraId="16A4BFA8">
                  <w:pPr>
                    <w:pStyle w:val="37"/>
                    <w:keepNext w:val="0"/>
                    <w:keepLines w:val="0"/>
                    <w:suppressLineNumbers w:val="0"/>
                    <w:bidi w:val="0"/>
                    <w:spacing w:before="0" w:beforeAutospacing="0" w:after="0" w:afterAutospacing="0"/>
                    <w:ind w:left="0" w:right="0"/>
                    <w:rPr>
                      <w:rFonts w:hint="default"/>
                      <w:b w:val="0"/>
                      <w:bCs w:val="0"/>
                      <w:color w:val="auto"/>
                      <w:highlight w:val="none"/>
                      <w:u w:val="none" w:color="auto"/>
                      <w:lang w:val="en-US"/>
                    </w:rPr>
                  </w:pPr>
                  <w:r>
                    <w:rPr>
                      <w:rFonts w:hint="eastAsia"/>
                      <w:b w:val="0"/>
                      <w:bCs w:val="0"/>
                      <w:color w:val="auto"/>
                      <w:highlight w:val="none"/>
                      <w:u w:val="none" w:color="auto"/>
                      <w:lang w:val="en-US" w:eastAsia="zh-CN"/>
                    </w:rPr>
                    <w:t>行业类别</w:t>
                  </w:r>
                </w:p>
              </w:tc>
              <w:tc>
                <w:tcPr>
                  <w:tcW w:w="627" w:type="pct"/>
                  <w:tcBorders>
                    <w:top w:val="single" w:color="auto" w:sz="4" w:space="0"/>
                    <w:left w:val="single" w:color="auto" w:sz="4" w:space="0"/>
                    <w:bottom w:val="single" w:color="auto" w:sz="4" w:space="0"/>
                    <w:right w:val="single" w:color="auto" w:sz="4" w:space="0"/>
                  </w:tcBorders>
                  <w:shd w:val="clear" w:color="auto" w:fill="auto"/>
                  <w:vAlign w:val="center"/>
                </w:tcPr>
                <w:p w14:paraId="5625DDD6">
                  <w:pPr>
                    <w:pStyle w:val="37"/>
                    <w:keepNext w:val="0"/>
                    <w:keepLines w:val="0"/>
                    <w:suppressLineNumbers w:val="0"/>
                    <w:bidi w:val="0"/>
                    <w:spacing w:before="0" w:beforeAutospacing="0" w:after="0" w:afterAutospacing="0"/>
                    <w:ind w:left="0" w:right="0"/>
                    <w:rPr>
                      <w:rFonts w:hint="default"/>
                      <w:b w:val="0"/>
                      <w:bCs w:val="0"/>
                      <w:color w:val="auto"/>
                      <w:highlight w:val="none"/>
                      <w:u w:val="none" w:color="auto"/>
                      <w:lang w:val="en-US"/>
                    </w:rPr>
                  </w:pPr>
                  <w:r>
                    <w:rPr>
                      <w:rFonts w:hint="eastAsia"/>
                      <w:b w:val="0"/>
                      <w:bCs w:val="0"/>
                      <w:color w:val="auto"/>
                      <w:highlight w:val="none"/>
                      <w:u w:val="none" w:color="auto"/>
                      <w:lang w:val="en-US" w:eastAsia="zh-CN"/>
                    </w:rPr>
                    <w:t>重点管理</w:t>
                  </w:r>
                </w:p>
              </w:tc>
              <w:tc>
                <w:tcPr>
                  <w:tcW w:w="1364" w:type="pct"/>
                  <w:tcBorders>
                    <w:top w:val="single" w:color="auto" w:sz="4" w:space="0"/>
                    <w:left w:val="single" w:color="auto" w:sz="4" w:space="0"/>
                    <w:bottom w:val="single" w:color="auto" w:sz="4" w:space="0"/>
                    <w:right w:val="single" w:color="auto" w:sz="4" w:space="0"/>
                  </w:tcBorders>
                  <w:shd w:val="clear" w:color="auto" w:fill="auto"/>
                  <w:vAlign w:val="center"/>
                </w:tcPr>
                <w:p w14:paraId="6C2C84D3">
                  <w:pPr>
                    <w:pStyle w:val="37"/>
                    <w:keepNext w:val="0"/>
                    <w:keepLines w:val="0"/>
                    <w:suppressLineNumbers w:val="0"/>
                    <w:bidi w:val="0"/>
                    <w:spacing w:before="0" w:beforeAutospacing="0" w:after="0" w:afterAutospacing="0"/>
                    <w:ind w:left="0" w:right="0"/>
                    <w:rPr>
                      <w:rFonts w:hint="default"/>
                      <w:b w:val="0"/>
                      <w:bCs w:val="0"/>
                      <w:color w:val="auto"/>
                      <w:highlight w:val="none"/>
                      <w:u w:val="none" w:color="auto"/>
                      <w:lang w:val="en-US"/>
                    </w:rPr>
                  </w:pPr>
                  <w:r>
                    <w:rPr>
                      <w:rFonts w:hint="eastAsia"/>
                      <w:b w:val="0"/>
                      <w:bCs w:val="0"/>
                      <w:color w:val="auto"/>
                      <w:highlight w:val="none"/>
                      <w:u w:val="none" w:color="auto"/>
                      <w:lang w:val="en-US" w:eastAsia="zh-CN"/>
                    </w:rPr>
                    <w:t>简化管理</w:t>
                  </w:r>
                </w:p>
              </w:tc>
              <w:tc>
                <w:tcPr>
                  <w:tcW w:w="1865" w:type="pct"/>
                  <w:tcBorders>
                    <w:top w:val="single" w:color="auto" w:sz="4" w:space="0"/>
                    <w:left w:val="single" w:color="auto" w:sz="4" w:space="0"/>
                    <w:bottom w:val="single" w:color="auto" w:sz="4" w:space="0"/>
                    <w:right w:val="single" w:color="auto" w:sz="4" w:space="0"/>
                  </w:tcBorders>
                  <w:shd w:val="clear" w:color="auto" w:fill="auto"/>
                  <w:vAlign w:val="center"/>
                </w:tcPr>
                <w:p w14:paraId="3C4046ED">
                  <w:pPr>
                    <w:pStyle w:val="37"/>
                    <w:keepNext w:val="0"/>
                    <w:keepLines w:val="0"/>
                    <w:suppressLineNumbers w:val="0"/>
                    <w:bidi w:val="0"/>
                    <w:spacing w:before="0" w:beforeAutospacing="0" w:after="0" w:afterAutospacing="0"/>
                    <w:ind w:left="0" w:right="0"/>
                    <w:rPr>
                      <w:rFonts w:hint="default"/>
                      <w:b w:val="0"/>
                      <w:bCs w:val="0"/>
                      <w:color w:val="auto"/>
                      <w:highlight w:val="none"/>
                      <w:u w:val="none" w:color="auto"/>
                      <w:lang w:val="en-US" w:eastAsia="zh-CN"/>
                    </w:rPr>
                  </w:pPr>
                  <w:r>
                    <w:rPr>
                      <w:rFonts w:hint="eastAsia"/>
                      <w:b/>
                      <w:bCs/>
                      <w:color w:val="auto"/>
                      <w:highlight w:val="none"/>
                      <w:u w:val="none" w:color="auto"/>
                      <w:lang w:val="en-US" w:eastAsia="zh-CN"/>
                    </w:rPr>
                    <w:t>登记管理</w:t>
                  </w:r>
                </w:p>
              </w:tc>
            </w:tr>
            <w:tr w14:paraId="4D3CE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672DB097">
                  <w:pPr>
                    <w:pStyle w:val="37"/>
                    <w:keepNext w:val="0"/>
                    <w:keepLines w:val="0"/>
                    <w:suppressLineNumbers w:val="0"/>
                    <w:bidi w:val="0"/>
                    <w:spacing w:before="0" w:beforeAutospacing="0" w:after="0" w:afterAutospacing="0"/>
                    <w:ind w:left="0" w:right="0"/>
                    <w:jc w:val="left"/>
                    <w:rPr>
                      <w:rFonts w:hint="default"/>
                      <w:color w:val="auto"/>
                      <w:highlight w:val="none"/>
                      <w:u w:val="none" w:color="auto"/>
                      <w:lang w:val="en-US"/>
                    </w:rPr>
                  </w:pPr>
                  <w:r>
                    <w:rPr>
                      <w:rFonts w:hint="eastAsia"/>
                      <w:color w:val="auto"/>
                      <w:highlight w:val="none"/>
                      <w:u w:val="none" w:color="auto"/>
                      <w:lang w:val="en-US" w:eastAsia="zh-CN"/>
                    </w:rPr>
                    <w:t>八</w:t>
                  </w:r>
                  <w:r>
                    <w:rPr>
                      <w:rFonts w:hint="default"/>
                      <w:color w:val="auto"/>
                      <w:highlight w:val="none"/>
                      <w:u w:val="none" w:color="auto"/>
                      <w:lang w:val="en-US"/>
                    </w:rPr>
                    <w:t>、</w:t>
                  </w:r>
                  <w:r>
                    <w:rPr>
                      <w:rFonts w:hint="eastAsia"/>
                      <w:color w:val="auto"/>
                      <w:highlight w:val="none"/>
                      <w:u w:val="none" w:color="auto"/>
                      <w:lang w:val="en-US" w:eastAsia="zh-CN"/>
                    </w:rPr>
                    <w:t>农副食品加工业13</w:t>
                  </w:r>
                </w:p>
              </w:tc>
            </w:tr>
            <w:tr w14:paraId="2B6DA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7" w:hRule="atLeast"/>
              </w:trPr>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7DD12A0B">
                  <w:pPr>
                    <w:pStyle w:val="37"/>
                    <w:keepNext w:val="0"/>
                    <w:keepLines w:val="0"/>
                    <w:suppressLineNumbers w:val="0"/>
                    <w:bidi w:val="0"/>
                    <w:spacing w:before="0" w:beforeAutospacing="0" w:after="0" w:afterAutospacing="0"/>
                    <w:ind w:left="0" w:right="0"/>
                    <w:rPr>
                      <w:rFonts w:hint="default" w:eastAsia="宋体"/>
                      <w:color w:val="auto"/>
                      <w:highlight w:val="none"/>
                      <w:u w:val="none" w:color="auto"/>
                      <w:lang w:val="en-US" w:eastAsia="zh-CN"/>
                    </w:rPr>
                  </w:pPr>
                  <w:r>
                    <w:rPr>
                      <w:rFonts w:hint="eastAsia"/>
                      <w:color w:val="auto"/>
                      <w:highlight w:val="none"/>
                      <w:u w:val="none" w:color="auto"/>
                      <w:lang w:val="en-US" w:eastAsia="zh-CN"/>
                    </w:rPr>
                    <w:t>15</w:t>
                  </w:r>
                </w:p>
              </w:tc>
              <w:tc>
                <w:tcPr>
                  <w:tcW w:w="722" w:type="pct"/>
                  <w:tcBorders>
                    <w:top w:val="single" w:color="auto" w:sz="4" w:space="0"/>
                    <w:left w:val="single" w:color="auto" w:sz="4" w:space="0"/>
                    <w:bottom w:val="single" w:color="auto" w:sz="4" w:space="0"/>
                    <w:right w:val="single" w:color="auto" w:sz="4" w:space="0"/>
                  </w:tcBorders>
                  <w:shd w:val="clear" w:color="auto" w:fill="auto"/>
                  <w:vAlign w:val="center"/>
                </w:tcPr>
                <w:p w14:paraId="3BECE777">
                  <w:pPr>
                    <w:pStyle w:val="37"/>
                    <w:keepNext w:val="0"/>
                    <w:keepLines w:val="0"/>
                    <w:suppressLineNumbers w:val="0"/>
                    <w:bidi w:val="0"/>
                    <w:spacing w:before="0" w:beforeAutospacing="0" w:after="0" w:afterAutospacing="0"/>
                    <w:ind w:left="0" w:right="0"/>
                    <w:rPr>
                      <w:rFonts w:hint="default" w:eastAsia="宋体"/>
                      <w:color w:val="auto"/>
                      <w:highlight w:val="none"/>
                      <w:u w:val="none" w:color="auto"/>
                      <w:lang w:val="en-US" w:eastAsia="zh-CN"/>
                    </w:rPr>
                  </w:pPr>
                  <w:r>
                    <w:rPr>
                      <w:rFonts w:hint="eastAsia"/>
                      <w:color w:val="auto"/>
                      <w:highlight w:val="none"/>
                      <w:u w:val="none" w:color="auto"/>
                      <w:lang w:val="en-US" w:eastAsia="zh-CN"/>
                    </w:rPr>
                    <w:t>蔬菜、菌类、水果和坚果加工137</w:t>
                  </w:r>
                </w:p>
              </w:tc>
              <w:tc>
                <w:tcPr>
                  <w:tcW w:w="627" w:type="pct"/>
                  <w:tcBorders>
                    <w:top w:val="single" w:color="auto" w:sz="4" w:space="0"/>
                    <w:left w:val="single" w:color="auto" w:sz="4" w:space="0"/>
                    <w:bottom w:val="single" w:color="auto" w:sz="4" w:space="0"/>
                    <w:right w:val="single" w:color="auto" w:sz="4" w:space="0"/>
                  </w:tcBorders>
                  <w:shd w:val="clear" w:color="auto" w:fill="auto"/>
                  <w:vAlign w:val="center"/>
                </w:tcPr>
                <w:p w14:paraId="29BDD6C6">
                  <w:pPr>
                    <w:pStyle w:val="37"/>
                    <w:keepNext w:val="0"/>
                    <w:keepLines w:val="0"/>
                    <w:suppressLineNumbers w:val="0"/>
                    <w:bidi w:val="0"/>
                    <w:spacing w:before="0" w:beforeAutospacing="0" w:after="0" w:afterAutospacing="0"/>
                    <w:ind w:left="0" w:right="0"/>
                    <w:rPr>
                      <w:rFonts w:hint="default" w:eastAsia="宋体"/>
                      <w:color w:val="auto"/>
                      <w:highlight w:val="none"/>
                      <w:u w:val="none" w:color="auto"/>
                      <w:lang w:val="en-US" w:eastAsia="zh-CN"/>
                    </w:rPr>
                  </w:pPr>
                  <w:r>
                    <w:rPr>
                      <w:rFonts w:hint="eastAsia"/>
                      <w:color w:val="auto"/>
                      <w:highlight w:val="none"/>
                      <w:u w:val="none" w:color="auto"/>
                      <w:lang w:val="en-US" w:eastAsia="zh-CN"/>
                    </w:rPr>
                    <w:t>涉及通用工序重点管理的</w:t>
                  </w:r>
                </w:p>
              </w:tc>
              <w:tc>
                <w:tcPr>
                  <w:tcW w:w="1364" w:type="pct"/>
                  <w:tcBorders>
                    <w:top w:val="single" w:color="auto" w:sz="4" w:space="0"/>
                    <w:left w:val="single" w:color="auto" w:sz="4" w:space="0"/>
                    <w:bottom w:val="single" w:color="auto" w:sz="4" w:space="0"/>
                    <w:right w:val="single" w:color="auto" w:sz="4" w:space="0"/>
                  </w:tcBorders>
                  <w:shd w:val="clear" w:color="auto" w:fill="auto"/>
                  <w:vAlign w:val="center"/>
                </w:tcPr>
                <w:p w14:paraId="216672A7">
                  <w:pPr>
                    <w:pStyle w:val="37"/>
                    <w:keepNext w:val="0"/>
                    <w:keepLines w:val="0"/>
                    <w:suppressLineNumbers w:val="0"/>
                    <w:bidi w:val="0"/>
                    <w:spacing w:before="0" w:beforeAutospacing="0" w:after="0" w:afterAutospacing="0"/>
                    <w:ind w:left="0" w:right="0"/>
                    <w:rPr>
                      <w:rFonts w:hint="default" w:eastAsia="宋体"/>
                      <w:color w:val="auto"/>
                      <w:highlight w:val="none"/>
                      <w:u w:val="none" w:color="auto"/>
                      <w:lang w:val="en-US" w:eastAsia="zh-CN"/>
                    </w:rPr>
                  </w:pPr>
                  <w:r>
                    <w:rPr>
                      <w:rFonts w:hint="eastAsia"/>
                      <w:color w:val="auto"/>
                      <w:highlight w:val="none"/>
                      <w:u w:val="none" w:color="auto"/>
                      <w:lang w:val="en-US" w:eastAsia="zh-CN"/>
                    </w:rPr>
                    <w:t>涉及通用工序简化管理的</w:t>
                  </w:r>
                </w:p>
              </w:tc>
              <w:tc>
                <w:tcPr>
                  <w:tcW w:w="1865" w:type="pct"/>
                  <w:tcBorders>
                    <w:top w:val="single" w:color="auto" w:sz="4" w:space="0"/>
                    <w:left w:val="single" w:color="auto" w:sz="4" w:space="0"/>
                    <w:bottom w:val="single" w:color="auto" w:sz="4" w:space="0"/>
                    <w:right w:val="single" w:color="auto" w:sz="4" w:space="0"/>
                  </w:tcBorders>
                  <w:shd w:val="clear" w:color="auto" w:fill="auto"/>
                  <w:vAlign w:val="center"/>
                </w:tcPr>
                <w:p w14:paraId="5D3B2BA3">
                  <w:pPr>
                    <w:pStyle w:val="37"/>
                    <w:keepNext w:val="0"/>
                    <w:keepLines w:val="0"/>
                    <w:suppressLineNumbers w:val="0"/>
                    <w:bidi w:val="0"/>
                    <w:spacing w:before="0" w:beforeAutospacing="0" w:after="0" w:afterAutospacing="0"/>
                    <w:ind w:left="0" w:right="0"/>
                    <w:rPr>
                      <w:rFonts w:hint="default"/>
                      <w:color w:val="auto"/>
                      <w:highlight w:val="none"/>
                      <w:u w:val="none" w:color="auto"/>
                      <w:lang w:val="en-US"/>
                    </w:rPr>
                  </w:pPr>
                  <w:r>
                    <w:rPr>
                      <w:rFonts w:hint="default"/>
                      <w:b/>
                      <w:bCs/>
                      <w:color w:val="auto"/>
                      <w:highlight w:val="none"/>
                      <w:u w:val="none" w:color="auto"/>
                      <w:lang w:val="en-US"/>
                    </w:rPr>
                    <w:t>其他</w:t>
                  </w:r>
                </w:p>
              </w:tc>
            </w:tr>
            <w:tr w14:paraId="32C18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2CAA17FB">
                  <w:pPr>
                    <w:pStyle w:val="37"/>
                    <w:keepNext w:val="0"/>
                    <w:keepLines w:val="0"/>
                    <w:suppressLineNumbers w:val="0"/>
                    <w:bidi w:val="0"/>
                    <w:spacing w:before="0" w:beforeAutospacing="0" w:after="0" w:afterAutospacing="0"/>
                    <w:ind w:left="0" w:right="0"/>
                    <w:jc w:val="left"/>
                    <w:rPr>
                      <w:rFonts w:hint="default"/>
                      <w:color w:val="auto"/>
                      <w:highlight w:val="none"/>
                      <w:u w:val="none" w:color="auto"/>
                      <w:lang w:val="en-US"/>
                    </w:rPr>
                  </w:pPr>
                  <w:r>
                    <w:rPr>
                      <w:rFonts w:hint="default"/>
                      <w:color w:val="auto"/>
                      <w:highlight w:val="none"/>
                      <w:u w:val="none" w:color="auto"/>
                      <w:lang w:val="en-US"/>
                    </w:rPr>
                    <w:t>五十一、通用工序</w:t>
                  </w:r>
                </w:p>
              </w:tc>
            </w:tr>
            <w:tr w14:paraId="620B7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29" w:hRule="atLeast"/>
              </w:trPr>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0CAA9966">
                  <w:pPr>
                    <w:pStyle w:val="37"/>
                    <w:keepNext w:val="0"/>
                    <w:keepLines w:val="0"/>
                    <w:suppressLineNumbers w:val="0"/>
                    <w:bidi w:val="0"/>
                    <w:spacing w:before="0" w:beforeAutospacing="0" w:after="0" w:afterAutospacing="0"/>
                    <w:ind w:left="0" w:leftChars="0" w:right="0" w:rightChars="0"/>
                    <w:rPr>
                      <w:rFonts w:hint="default" w:eastAsia="宋体"/>
                      <w:color w:val="auto"/>
                      <w:highlight w:val="none"/>
                      <w:u w:val="none" w:color="auto"/>
                      <w:lang w:val="en-US" w:eastAsia="zh-CN"/>
                    </w:rPr>
                  </w:pPr>
                  <w:r>
                    <w:rPr>
                      <w:rFonts w:hint="eastAsia"/>
                      <w:color w:val="auto"/>
                      <w:highlight w:val="none"/>
                      <w:u w:val="none" w:color="auto"/>
                      <w:lang w:val="en-US" w:eastAsia="zh-CN"/>
                    </w:rPr>
                    <w:t>109</w:t>
                  </w:r>
                </w:p>
              </w:tc>
              <w:tc>
                <w:tcPr>
                  <w:tcW w:w="722" w:type="pct"/>
                  <w:tcBorders>
                    <w:top w:val="single" w:color="auto" w:sz="4" w:space="0"/>
                    <w:left w:val="single" w:color="auto" w:sz="4" w:space="0"/>
                    <w:bottom w:val="single" w:color="auto" w:sz="4" w:space="0"/>
                    <w:right w:val="single" w:color="auto" w:sz="4" w:space="0"/>
                  </w:tcBorders>
                  <w:shd w:val="clear" w:color="auto" w:fill="auto"/>
                  <w:vAlign w:val="center"/>
                </w:tcPr>
                <w:p w14:paraId="331E0206">
                  <w:pPr>
                    <w:pStyle w:val="37"/>
                    <w:keepNext w:val="0"/>
                    <w:keepLines w:val="0"/>
                    <w:suppressLineNumbers w:val="0"/>
                    <w:bidi w:val="0"/>
                    <w:spacing w:before="0" w:beforeAutospacing="0" w:after="0" w:afterAutospacing="0"/>
                    <w:ind w:left="0" w:leftChars="0" w:right="0" w:rightChars="0"/>
                    <w:rPr>
                      <w:rFonts w:hint="default"/>
                      <w:color w:val="auto"/>
                      <w:highlight w:val="none"/>
                      <w:u w:val="none" w:color="auto"/>
                      <w:lang w:val="en-US"/>
                    </w:rPr>
                  </w:pPr>
                  <w:r>
                    <w:rPr>
                      <w:rFonts w:hint="eastAsia"/>
                      <w:b/>
                      <w:bCs/>
                      <w:color w:val="auto"/>
                      <w:highlight w:val="none"/>
                      <w:u w:val="none" w:color="auto"/>
                      <w:lang w:val="en-US" w:eastAsia="zh-CN"/>
                    </w:rPr>
                    <w:t>锅炉</w:t>
                  </w:r>
                </w:p>
              </w:tc>
              <w:tc>
                <w:tcPr>
                  <w:tcW w:w="627" w:type="pct"/>
                  <w:tcBorders>
                    <w:top w:val="single" w:color="auto" w:sz="4" w:space="0"/>
                    <w:left w:val="single" w:color="auto" w:sz="4" w:space="0"/>
                    <w:bottom w:val="single" w:color="auto" w:sz="4" w:space="0"/>
                    <w:right w:val="single" w:color="auto" w:sz="4" w:space="0"/>
                  </w:tcBorders>
                  <w:shd w:val="clear" w:color="auto" w:fill="auto"/>
                  <w:vAlign w:val="center"/>
                </w:tcPr>
                <w:p w14:paraId="4F52AB5C">
                  <w:pPr>
                    <w:pStyle w:val="37"/>
                    <w:keepNext w:val="0"/>
                    <w:keepLines w:val="0"/>
                    <w:suppressLineNumbers w:val="0"/>
                    <w:bidi w:val="0"/>
                    <w:spacing w:before="0" w:beforeAutospacing="0" w:after="0" w:afterAutospacing="0"/>
                    <w:ind w:left="0" w:leftChars="0" w:right="0" w:rightChars="0"/>
                    <w:rPr>
                      <w:rFonts w:hint="default"/>
                      <w:color w:val="auto"/>
                      <w:highlight w:val="none"/>
                      <w:u w:val="none" w:color="auto"/>
                      <w:lang w:val="en-US"/>
                    </w:rPr>
                  </w:pPr>
                  <w:r>
                    <w:rPr>
                      <w:rFonts w:hint="default"/>
                      <w:color w:val="auto"/>
                      <w:highlight w:val="none"/>
                      <w:u w:val="none" w:color="auto"/>
                      <w:lang w:val="en-US"/>
                    </w:rPr>
                    <w:t>纳入重点排污单位名录的</w:t>
                  </w:r>
                </w:p>
              </w:tc>
              <w:tc>
                <w:tcPr>
                  <w:tcW w:w="1364" w:type="pct"/>
                  <w:tcBorders>
                    <w:top w:val="single" w:color="auto" w:sz="4" w:space="0"/>
                    <w:left w:val="single" w:color="auto" w:sz="4" w:space="0"/>
                    <w:bottom w:val="single" w:color="auto" w:sz="4" w:space="0"/>
                    <w:right w:val="single" w:color="auto" w:sz="4" w:space="0"/>
                  </w:tcBorders>
                  <w:shd w:val="clear" w:color="auto" w:fill="auto"/>
                  <w:vAlign w:val="center"/>
                </w:tcPr>
                <w:p w14:paraId="54E9E0AF">
                  <w:pPr>
                    <w:pStyle w:val="37"/>
                    <w:keepNext w:val="0"/>
                    <w:keepLines w:val="0"/>
                    <w:suppressLineNumbers w:val="0"/>
                    <w:bidi w:val="0"/>
                    <w:spacing w:before="0" w:beforeAutospacing="0" w:after="0" w:afterAutospacing="0"/>
                    <w:ind w:left="0" w:leftChars="0" w:right="0" w:rightChars="0"/>
                    <w:rPr>
                      <w:rFonts w:hint="default" w:eastAsia="宋体"/>
                      <w:color w:val="auto"/>
                      <w:highlight w:val="none"/>
                      <w:u w:val="none" w:color="auto"/>
                      <w:lang w:val="en-US" w:eastAsia="zh-CN"/>
                    </w:rPr>
                  </w:pPr>
                  <w:r>
                    <w:rPr>
                      <w:rFonts w:hint="default"/>
                      <w:color w:val="auto"/>
                      <w:highlight w:val="none"/>
                      <w:u w:val="none" w:color="auto"/>
                      <w:lang w:val="en-US"/>
                    </w:rPr>
                    <w:t>除纳入重点排污单位名录的，</w:t>
                  </w:r>
                  <w:r>
                    <w:rPr>
                      <w:rFonts w:hint="eastAsia"/>
                      <w:color w:val="auto"/>
                      <w:highlight w:val="none"/>
                      <w:u w:val="none" w:color="auto"/>
                      <w:lang w:val="en-US" w:eastAsia="zh-CN"/>
                    </w:rPr>
                    <w:t>单台或者合计出力20吨/小时（14兆瓦）及以上的锅炉（不含电热锅炉）</w:t>
                  </w:r>
                </w:p>
              </w:tc>
              <w:tc>
                <w:tcPr>
                  <w:tcW w:w="1865" w:type="pct"/>
                  <w:tcBorders>
                    <w:top w:val="single" w:color="auto" w:sz="4" w:space="0"/>
                    <w:left w:val="single" w:color="auto" w:sz="4" w:space="0"/>
                    <w:bottom w:val="single" w:color="auto" w:sz="4" w:space="0"/>
                    <w:right w:val="single" w:color="auto" w:sz="4" w:space="0"/>
                  </w:tcBorders>
                  <w:shd w:val="clear" w:color="auto" w:fill="auto"/>
                  <w:vAlign w:val="center"/>
                </w:tcPr>
                <w:p w14:paraId="2657C4A7">
                  <w:pPr>
                    <w:pStyle w:val="37"/>
                    <w:keepNext w:val="0"/>
                    <w:keepLines w:val="0"/>
                    <w:suppressLineNumbers w:val="0"/>
                    <w:bidi w:val="0"/>
                    <w:spacing w:before="0" w:beforeAutospacing="0" w:after="0" w:afterAutospacing="0"/>
                    <w:ind w:left="0" w:leftChars="0" w:right="0" w:rightChars="0"/>
                    <w:rPr>
                      <w:rFonts w:hint="default"/>
                      <w:color w:val="auto"/>
                      <w:highlight w:val="none"/>
                      <w:u w:val="none" w:color="auto"/>
                      <w:lang w:val="en-US"/>
                    </w:rPr>
                  </w:pPr>
                  <w:r>
                    <w:rPr>
                      <w:rFonts w:hint="default"/>
                      <w:b/>
                      <w:bCs/>
                      <w:color w:val="auto"/>
                      <w:highlight w:val="none"/>
                      <w:u w:val="none" w:color="auto"/>
                      <w:lang w:val="en-US"/>
                    </w:rPr>
                    <w:t>除纳入重点排污单位名录的，</w:t>
                  </w:r>
                  <w:r>
                    <w:rPr>
                      <w:rFonts w:hint="default"/>
                      <w:b/>
                      <w:bCs/>
                      <w:color w:val="auto"/>
                      <w:highlight w:val="none"/>
                      <w:u w:val="none" w:color="auto"/>
                      <w:lang w:val="en-US" w:eastAsia="zh-CN"/>
                    </w:rPr>
                    <w:t>单台或者合计出力20吨/小时（14兆瓦）及</w:t>
                  </w:r>
                  <w:r>
                    <w:rPr>
                      <w:rFonts w:hint="eastAsia"/>
                      <w:b/>
                      <w:bCs/>
                      <w:color w:val="auto"/>
                      <w:highlight w:val="none"/>
                      <w:u w:val="none" w:color="auto"/>
                      <w:lang w:val="en-US" w:eastAsia="zh-CN"/>
                    </w:rPr>
                    <w:t>以下</w:t>
                  </w:r>
                  <w:r>
                    <w:rPr>
                      <w:rFonts w:hint="default"/>
                      <w:b/>
                      <w:bCs/>
                      <w:color w:val="auto"/>
                      <w:highlight w:val="none"/>
                      <w:u w:val="none" w:color="auto"/>
                      <w:lang w:val="en-US" w:eastAsia="zh-CN"/>
                    </w:rPr>
                    <w:t>的锅炉（不含电热锅炉）</w:t>
                  </w:r>
                </w:p>
              </w:tc>
            </w:tr>
            <w:tr w14:paraId="57483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2" w:hRule="atLeast"/>
              </w:trPr>
              <w:tc>
                <w:tcPr>
                  <w:tcW w:w="420" w:type="pct"/>
                  <w:tcBorders>
                    <w:top w:val="single" w:color="auto" w:sz="4" w:space="0"/>
                    <w:left w:val="single" w:color="auto" w:sz="4" w:space="0"/>
                    <w:bottom w:val="single" w:color="auto" w:sz="4" w:space="0"/>
                    <w:right w:val="single" w:color="auto" w:sz="4" w:space="0"/>
                  </w:tcBorders>
                  <w:shd w:val="clear" w:color="auto" w:fill="auto"/>
                  <w:vAlign w:val="center"/>
                </w:tcPr>
                <w:p w14:paraId="28A8D913">
                  <w:pPr>
                    <w:pStyle w:val="37"/>
                    <w:keepNext w:val="0"/>
                    <w:keepLines w:val="0"/>
                    <w:suppressLineNumbers w:val="0"/>
                    <w:bidi w:val="0"/>
                    <w:spacing w:before="0" w:beforeAutospacing="0" w:after="0" w:afterAutospacing="0"/>
                    <w:ind w:left="0" w:leftChars="0" w:right="0" w:rightChars="0"/>
                    <w:rPr>
                      <w:rFonts w:hint="default"/>
                      <w:color w:val="auto"/>
                      <w:highlight w:val="none"/>
                      <w:u w:val="none" w:color="auto"/>
                      <w:lang w:val="en-US" w:eastAsia="zh-CN"/>
                    </w:rPr>
                  </w:pPr>
                  <w:r>
                    <w:rPr>
                      <w:rFonts w:hint="eastAsia"/>
                      <w:color w:val="auto"/>
                      <w:highlight w:val="none"/>
                      <w:u w:val="none" w:color="auto"/>
                      <w:lang w:val="en-US" w:eastAsia="zh-CN"/>
                    </w:rPr>
                    <w:t>112</w:t>
                  </w:r>
                </w:p>
              </w:tc>
              <w:tc>
                <w:tcPr>
                  <w:tcW w:w="722" w:type="pct"/>
                  <w:tcBorders>
                    <w:top w:val="single" w:color="auto" w:sz="4" w:space="0"/>
                    <w:left w:val="single" w:color="auto" w:sz="4" w:space="0"/>
                    <w:bottom w:val="single" w:color="auto" w:sz="4" w:space="0"/>
                    <w:right w:val="single" w:color="auto" w:sz="4" w:space="0"/>
                  </w:tcBorders>
                  <w:shd w:val="clear" w:color="auto" w:fill="auto"/>
                  <w:vAlign w:val="center"/>
                </w:tcPr>
                <w:p w14:paraId="51A15538">
                  <w:pPr>
                    <w:pStyle w:val="37"/>
                    <w:keepNext w:val="0"/>
                    <w:keepLines w:val="0"/>
                    <w:suppressLineNumbers w:val="0"/>
                    <w:bidi w:val="0"/>
                    <w:spacing w:before="0" w:beforeAutospacing="0" w:after="0" w:afterAutospacing="0"/>
                    <w:ind w:left="0" w:leftChars="0" w:right="0" w:rightChars="0"/>
                    <w:rPr>
                      <w:rFonts w:hint="default"/>
                      <w:b/>
                      <w:bCs/>
                      <w:color w:val="auto"/>
                      <w:highlight w:val="none"/>
                      <w:u w:val="none" w:color="auto"/>
                      <w:lang w:val="en-US" w:eastAsia="zh-CN"/>
                    </w:rPr>
                  </w:pPr>
                  <w:r>
                    <w:rPr>
                      <w:rFonts w:hint="eastAsia"/>
                      <w:b/>
                      <w:bCs/>
                      <w:color w:val="auto"/>
                      <w:highlight w:val="none"/>
                      <w:u w:val="none" w:color="auto"/>
                      <w:lang w:val="en-US" w:eastAsia="zh-CN"/>
                    </w:rPr>
                    <w:t>水处理</w:t>
                  </w:r>
                </w:p>
              </w:tc>
              <w:tc>
                <w:tcPr>
                  <w:tcW w:w="627" w:type="pct"/>
                  <w:tcBorders>
                    <w:top w:val="single" w:color="auto" w:sz="4" w:space="0"/>
                    <w:left w:val="single" w:color="auto" w:sz="4" w:space="0"/>
                    <w:bottom w:val="single" w:color="auto" w:sz="4" w:space="0"/>
                    <w:right w:val="single" w:color="auto" w:sz="4" w:space="0"/>
                  </w:tcBorders>
                  <w:shd w:val="clear" w:color="auto" w:fill="auto"/>
                  <w:vAlign w:val="center"/>
                </w:tcPr>
                <w:p w14:paraId="406A5627">
                  <w:pPr>
                    <w:pStyle w:val="37"/>
                    <w:keepNext w:val="0"/>
                    <w:keepLines w:val="0"/>
                    <w:suppressLineNumbers w:val="0"/>
                    <w:bidi w:val="0"/>
                    <w:spacing w:before="0" w:beforeAutospacing="0" w:after="0" w:afterAutospacing="0"/>
                    <w:ind w:left="0" w:leftChars="0" w:right="0" w:rightChars="0"/>
                    <w:rPr>
                      <w:rFonts w:hint="default"/>
                      <w:color w:val="auto"/>
                      <w:highlight w:val="none"/>
                      <w:u w:val="none" w:color="auto"/>
                      <w:lang w:val="en-US"/>
                    </w:rPr>
                  </w:pPr>
                  <w:r>
                    <w:rPr>
                      <w:rFonts w:hint="default"/>
                      <w:color w:val="auto"/>
                      <w:highlight w:val="none"/>
                      <w:u w:val="none" w:color="auto"/>
                      <w:lang w:val="en-US"/>
                    </w:rPr>
                    <w:t>纳入重点排污单位名录的</w:t>
                  </w:r>
                </w:p>
              </w:tc>
              <w:tc>
                <w:tcPr>
                  <w:tcW w:w="1364" w:type="pct"/>
                  <w:tcBorders>
                    <w:top w:val="single" w:color="auto" w:sz="4" w:space="0"/>
                    <w:left w:val="single" w:color="auto" w:sz="4" w:space="0"/>
                    <w:bottom w:val="single" w:color="auto" w:sz="4" w:space="0"/>
                    <w:right w:val="single" w:color="auto" w:sz="4" w:space="0"/>
                  </w:tcBorders>
                  <w:shd w:val="clear" w:color="auto" w:fill="auto"/>
                  <w:vAlign w:val="center"/>
                </w:tcPr>
                <w:p w14:paraId="0E9DD635">
                  <w:pPr>
                    <w:pStyle w:val="37"/>
                    <w:keepNext w:val="0"/>
                    <w:keepLines w:val="0"/>
                    <w:suppressLineNumbers w:val="0"/>
                    <w:bidi w:val="0"/>
                    <w:spacing w:before="0" w:beforeAutospacing="0" w:after="0" w:afterAutospacing="0"/>
                    <w:ind w:left="0" w:leftChars="0" w:right="0" w:rightChars="0"/>
                    <w:rPr>
                      <w:rFonts w:hint="default" w:eastAsia="宋体"/>
                      <w:color w:val="auto"/>
                      <w:highlight w:val="none"/>
                      <w:u w:val="none" w:color="auto"/>
                      <w:lang w:val="en-US" w:eastAsia="zh-CN"/>
                    </w:rPr>
                  </w:pPr>
                  <w:r>
                    <w:rPr>
                      <w:rFonts w:hint="default"/>
                      <w:color w:val="auto"/>
                      <w:highlight w:val="none"/>
                      <w:u w:val="none" w:color="auto"/>
                      <w:lang w:val="en-US"/>
                    </w:rPr>
                    <w:t>除纳入重点排污单位名录的，</w:t>
                  </w:r>
                  <w:r>
                    <w:rPr>
                      <w:rFonts w:hint="eastAsia"/>
                      <w:color w:val="auto"/>
                      <w:highlight w:val="none"/>
                      <w:u w:val="none" w:color="auto"/>
                      <w:lang w:val="en-US" w:eastAsia="zh-CN"/>
                    </w:rPr>
                    <w:t>日处理能力2万吨及以上的水处理设施</w:t>
                  </w:r>
                </w:p>
              </w:tc>
              <w:tc>
                <w:tcPr>
                  <w:tcW w:w="1865" w:type="pct"/>
                  <w:tcBorders>
                    <w:top w:val="single" w:color="auto" w:sz="4" w:space="0"/>
                    <w:left w:val="single" w:color="auto" w:sz="4" w:space="0"/>
                    <w:bottom w:val="single" w:color="auto" w:sz="4" w:space="0"/>
                    <w:right w:val="single" w:color="auto" w:sz="4" w:space="0"/>
                  </w:tcBorders>
                  <w:shd w:val="clear" w:color="auto" w:fill="auto"/>
                  <w:vAlign w:val="center"/>
                </w:tcPr>
                <w:p w14:paraId="60DE65CC">
                  <w:pPr>
                    <w:pStyle w:val="37"/>
                    <w:keepNext w:val="0"/>
                    <w:keepLines w:val="0"/>
                    <w:suppressLineNumbers w:val="0"/>
                    <w:bidi w:val="0"/>
                    <w:spacing w:before="0" w:beforeAutospacing="0" w:after="0" w:afterAutospacing="0"/>
                    <w:ind w:left="0" w:leftChars="0" w:right="0" w:rightChars="0"/>
                    <w:rPr>
                      <w:rFonts w:hint="default"/>
                      <w:b/>
                      <w:bCs/>
                      <w:color w:val="auto"/>
                      <w:highlight w:val="none"/>
                      <w:u w:val="none" w:color="auto"/>
                      <w:lang w:val="en-US"/>
                    </w:rPr>
                  </w:pPr>
                  <w:r>
                    <w:rPr>
                      <w:rFonts w:hint="default"/>
                      <w:b/>
                      <w:bCs/>
                      <w:color w:val="auto"/>
                      <w:highlight w:val="none"/>
                      <w:u w:val="none" w:color="auto"/>
                      <w:lang w:val="en-US"/>
                    </w:rPr>
                    <w:t>除纳入重点排污单位名录的，</w:t>
                  </w:r>
                  <w:r>
                    <w:rPr>
                      <w:rFonts w:hint="eastAsia"/>
                      <w:b/>
                      <w:bCs/>
                      <w:color w:val="auto"/>
                      <w:highlight w:val="none"/>
                      <w:u w:val="none" w:color="auto"/>
                      <w:lang w:val="en-US" w:eastAsia="zh-CN"/>
                    </w:rPr>
                    <w:t>日处理能力500以上及2万吨及以下的水处理设施</w:t>
                  </w:r>
                </w:p>
              </w:tc>
            </w:tr>
          </w:tbl>
          <w:p w14:paraId="12538EE4">
            <w:pPr>
              <w:pStyle w:val="24"/>
              <w:keepNext w:val="0"/>
              <w:keepLines w:val="0"/>
              <w:widowControl w:val="0"/>
              <w:suppressLineNumbers w:val="0"/>
              <w:spacing w:before="0" w:beforeAutospacing="0" w:after="0" w:afterAutospacing="0" w:line="240" w:lineRule="auto"/>
              <w:ind w:left="0" w:right="0" w:firstLine="480" w:firstLineChars="200"/>
              <w:jc w:val="both"/>
              <w:rPr>
                <w:rFonts w:hint="default" w:ascii="Times New Roman" w:hAnsi="Times New Roman" w:eastAsia="宋体" w:cs="宋体"/>
                <w:color w:val="auto"/>
                <w:kern w:val="2"/>
                <w:sz w:val="24"/>
                <w:szCs w:val="21"/>
                <w:highlight w:val="none"/>
                <w:u w:val="none" w:color="auto"/>
                <w:lang w:val="en-US" w:eastAsia="zh-CN" w:bidi="ar"/>
              </w:rPr>
            </w:pPr>
          </w:p>
          <w:p w14:paraId="78FE8791">
            <w:pPr>
              <w:pStyle w:val="24"/>
              <w:keepNext w:val="0"/>
              <w:keepLines w:val="0"/>
              <w:widowControl w:val="0"/>
              <w:numPr>
                <w:ilvl w:val="0"/>
                <w:numId w:val="0"/>
              </w:numPr>
              <w:suppressLineNumbers w:val="0"/>
              <w:spacing w:before="0" w:beforeAutospacing="0" w:after="0" w:afterAutospacing="0" w:line="360" w:lineRule="auto"/>
              <w:ind w:left="0" w:leftChars="0" w:right="0" w:rightChars="0" w:firstLine="482" w:firstLineChars="200"/>
              <w:jc w:val="both"/>
              <w:rPr>
                <w:rFonts w:hint="eastAsia" w:ascii="Times New Roman" w:hAnsi="Times New Roman" w:cs="Times New Roman"/>
                <w:b/>
                <w:bCs/>
                <w:color w:val="auto"/>
                <w:highlight w:val="none"/>
                <w:u w:val="none" w:color="auto"/>
                <w:lang w:val="en-US" w:eastAsia="zh-CN"/>
              </w:rPr>
            </w:pPr>
            <w:r>
              <w:rPr>
                <w:rFonts w:hint="eastAsia" w:ascii="Times New Roman" w:hAnsi="Times New Roman" w:cs="Times New Roman"/>
                <w:b/>
                <w:bCs/>
                <w:color w:val="auto"/>
                <w:kern w:val="0"/>
                <w:sz w:val="24"/>
                <w:szCs w:val="20"/>
                <w:highlight w:val="none"/>
                <w:u w:color="auto"/>
                <w:lang w:val="en-US" w:eastAsia="zh-CN" w:bidi="ar-SA"/>
              </w:rPr>
              <w:t>（3）</w:t>
            </w:r>
            <w:r>
              <w:rPr>
                <w:rFonts w:hint="eastAsia" w:ascii="Times New Roman" w:hAnsi="Times New Roman" w:cs="Times New Roman"/>
                <w:b/>
                <w:bCs/>
                <w:color w:val="auto"/>
                <w:highlight w:val="none"/>
                <w:u w:val="none" w:color="auto"/>
                <w:lang w:val="en-US" w:eastAsia="zh-CN"/>
              </w:rPr>
              <w:t>建设项目竣工环保验收</w:t>
            </w:r>
          </w:p>
          <w:p w14:paraId="01D9B83D">
            <w:pPr>
              <w:pStyle w:val="24"/>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eastAsia="宋体" w:cs="宋体"/>
                <w:color w:val="auto"/>
                <w:kern w:val="2"/>
                <w:sz w:val="24"/>
                <w:szCs w:val="21"/>
                <w:highlight w:val="none"/>
                <w:u w:val="none" w:color="auto"/>
                <w:lang w:val="en-US" w:eastAsia="zh-CN" w:bidi="ar"/>
              </w:rPr>
            </w:pPr>
            <w:r>
              <w:rPr>
                <w:rFonts w:hint="eastAsia" w:ascii="Times New Roman" w:hAnsi="Times New Roman" w:eastAsia="宋体" w:cs="宋体"/>
                <w:color w:val="auto"/>
                <w:kern w:val="2"/>
                <w:sz w:val="24"/>
                <w:szCs w:val="21"/>
                <w:highlight w:val="none"/>
                <w:u w:val="none" w:color="auto"/>
                <w:lang w:val="en-US" w:eastAsia="zh-CN" w:bidi="ar"/>
              </w:rPr>
              <w:t>建设项目中的防治污染的设施必须与主体工程同时设计、同时施工、同时投产。根据《建设项目环境保护管理条例》、《建设项目竣工环境保护验收暂行办法》（国环规环评[2017]4 号），建设单位是建设项目竣工环境保护验收的责任主体。本项目建设后，应当按照《暂行办法》规定的程序和标准，组织对配套建设的环境保护设施进行验收，编制验收报告，公开相关信息，接受社会监督，确保建设项目需要配套建设的环境保护设施与主体工程同时投产或者使用，并对验收内容、结论和所公开信息的真实性、准确性和完整性负责，不得在验收过程中弄虚作假。</w:t>
            </w:r>
          </w:p>
          <w:p w14:paraId="2BD75417">
            <w:pPr>
              <w:pStyle w:val="24"/>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eastAsia="宋体" w:cs="宋体"/>
                <w:color w:val="auto"/>
                <w:kern w:val="2"/>
                <w:sz w:val="24"/>
                <w:szCs w:val="21"/>
                <w:highlight w:val="none"/>
                <w:u w:val="none" w:color="auto"/>
                <w:lang w:val="en-US" w:eastAsia="zh-CN" w:bidi="ar"/>
              </w:rPr>
            </w:pPr>
            <w:r>
              <w:rPr>
                <w:rFonts w:hint="eastAsia" w:ascii="Times New Roman" w:hAnsi="Times New Roman" w:eastAsia="宋体" w:cs="宋体"/>
                <w:color w:val="auto"/>
                <w:kern w:val="2"/>
                <w:sz w:val="24"/>
                <w:szCs w:val="21"/>
                <w:highlight w:val="none"/>
                <w:u w:val="none" w:color="auto"/>
                <w:lang w:val="en-US" w:eastAsia="zh-CN" w:bidi="ar"/>
              </w:rPr>
              <w:t>根据《建设项目竣工环境保护验收暂行办法》第二章，第十二条：除需要取得排污许可证的水和大气污染防治设施外，其他环境保护设施的验收期限一般不超过3个月；需要对该类环境保护设施进行调试或者整改的，验收期限可以适当延期，但最长不超过12个月。验收期限是指自建设项目环境保护设施竣工之日起至建设单位向社会公开验收报告之日止的时间。</w:t>
            </w:r>
          </w:p>
          <w:p w14:paraId="4E3342D8">
            <w:pPr>
              <w:pStyle w:val="24"/>
              <w:keepNext w:val="0"/>
              <w:keepLines w:val="0"/>
              <w:widowControl w:val="0"/>
              <w:suppressLineNumbers w:val="0"/>
              <w:spacing w:before="0" w:beforeAutospacing="0" w:after="0" w:afterAutospacing="0" w:line="360" w:lineRule="auto"/>
              <w:ind w:left="0" w:right="0" w:firstLine="482" w:firstLineChars="200"/>
              <w:jc w:val="both"/>
              <w:rPr>
                <w:rFonts w:hint="default"/>
                <w:b/>
                <w:bCs/>
                <w:color w:val="auto"/>
                <w:sz w:val="24"/>
                <w:szCs w:val="21"/>
                <w:highlight w:val="none"/>
                <w:u w:val="none" w:color="auto"/>
                <w:lang w:val="en-US"/>
              </w:rPr>
            </w:pPr>
            <w:r>
              <w:rPr>
                <w:rFonts w:hint="eastAsia" w:ascii="Times New Roman" w:hAnsi="Times New Roman" w:eastAsia="宋体" w:cs="Times New Roman"/>
                <w:b/>
                <w:bCs/>
                <w:color w:val="auto"/>
                <w:kern w:val="2"/>
                <w:sz w:val="24"/>
                <w:szCs w:val="21"/>
                <w:highlight w:val="none"/>
                <w:u w:val="none" w:color="auto"/>
                <w:lang w:val="en-US" w:eastAsia="zh-CN" w:bidi="ar"/>
              </w:rPr>
              <w:t>（4）</w:t>
            </w:r>
            <w:r>
              <w:rPr>
                <w:rFonts w:hint="eastAsia" w:ascii="Times New Roman" w:hAnsi="Times New Roman" w:eastAsia="宋体" w:cs="宋体"/>
                <w:b/>
                <w:bCs/>
                <w:color w:val="auto"/>
                <w:kern w:val="2"/>
                <w:sz w:val="24"/>
                <w:szCs w:val="21"/>
                <w:highlight w:val="none"/>
                <w:u w:val="none" w:color="auto"/>
                <w:lang w:val="en-US" w:eastAsia="zh-CN" w:bidi="ar"/>
              </w:rPr>
              <w:t>污染源</w:t>
            </w:r>
            <w:r>
              <w:rPr>
                <w:rFonts w:hint="eastAsia" w:ascii="Times New Roman" w:hAnsi="Times New Roman" w:cs="宋体"/>
                <w:b/>
                <w:bCs/>
                <w:color w:val="auto"/>
                <w:kern w:val="2"/>
                <w:sz w:val="24"/>
                <w:szCs w:val="21"/>
                <w:highlight w:val="none"/>
                <w:u w:val="none" w:color="auto"/>
                <w:lang w:val="en-US" w:eastAsia="zh-CN" w:bidi="ar"/>
              </w:rPr>
              <w:t>自行</w:t>
            </w:r>
            <w:r>
              <w:rPr>
                <w:rFonts w:hint="eastAsia" w:ascii="Times New Roman" w:hAnsi="Times New Roman" w:eastAsia="宋体" w:cs="宋体"/>
                <w:b/>
                <w:bCs/>
                <w:color w:val="auto"/>
                <w:kern w:val="2"/>
                <w:sz w:val="24"/>
                <w:szCs w:val="21"/>
                <w:highlight w:val="none"/>
                <w:u w:val="none" w:color="auto"/>
                <w:lang w:val="en-US" w:eastAsia="zh-CN" w:bidi="ar"/>
              </w:rPr>
              <w:t>监测计划</w:t>
            </w:r>
          </w:p>
          <w:p w14:paraId="2B553971">
            <w:pPr>
              <w:keepNext w:val="0"/>
              <w:keepLines w:val="0"/>
              <w:suppressLineNumbers w:val="0"/>
              <w:bidi w:val="0"/>
              <w:spacing w:before="0" w:beforeAutospacing="0" w:after="0" w:afterAutospacing="0"/>
              <w:ind w:left="0" w:right="0" w:firstLine="480" w:firstLineChars="200"/>
              <w:rPr>
                <w:rFonts w:hint="eastAsia"/>
                <w:color w:val="auto"/>
                <w:highlight w:val="none"/>
                <w:lang w:val="en-US" w:eastAsia="zh-CN"/>
              </w:rPr>
            </w:pPr>
            <w:r>
              <w:rPr>
                <w:rFonts w:hint="eastAsia"/>
                <w:color w:val="auto"/>
                <w:highlight w:val="none"/>
                <w:lang w:val="en-US" w:eastAsia="zh-CN"/>
              </w:rPr>
              <w:t>本评价建议项目参照《排污单位自行监测技术指南</w:t>
            </w:r>
            <w:r>
              <w:rPr>
                <w:rFonts w:hint="default"/>
                <w:color w:val="auto"/>
                <w:highlight w:val="none"/>
                <w:lang w:val="en-US" w:eastAsia="zh-CN"/>
              </w:rPr>
              <w:t xml:space="preserve"> </w:t>
            </w:r>
            <w:r>
              <w:rPr>
                <w:rFonts w:hint="eastAsia"/>
                <w:color w:val="auto"/>
                <w:highlight w:val="none"/>
                <w:lang w:val="en-US" w:eastAsia="zh-CN"/>
              </w:rPr>
              <w:t>总则》（</w:t>
            </w:r>
            <w:r>
              <w:rPr>
                <w:rFonts w:hint="default"/>
                <w:color w:val="auto"/>
                <w:highlight w:val="none"/>
                <w:lang w:val="en-US" w:eastAsia="zh-CN"/>
              </w:rPr>
              <w:t>HJ 819-2017</w:t>
            </w:r>
            <w:r>
              <w:rPr>
                <w:rFonts w:hint="eastAsia"/>
                <w:color w:val="auto"/>
                <w:highlight w:val="none"/>
                <w:lang w:val="en-US" w:eastAsia="zh-CN"/>
              </w:rPr>
              <w:t>）、《排污许可证申请与核发技术规范</w:t>
            </w:r>
            <w:r>
              <w:rPr>
                <w:rFonts w:hint="default"/>
                <w:color w:val="auto"/>
                <w:highlight w:val="none"/>
                <w:lang w:val="en-US" w:eastAsia="zh-CN"/>
              </w:rPr>
              <w:t xml:space="preserve"> </w:t>
            </w:r>
            <w:r>
              <w:rPr>
                <w:rFonts w:hint="eastAsia"/>
                <w:color w:val="auto"/>
                <w:highlight w:val="none"/>
                <w:lang w:val="en-US" w:eastAsia="zh-CN"/>
              </w:rPr>
              <w:t>工业噪声》（</w:t>
            </w:r>
            <w:r>
              <w:rPr>
                <w:rFonts w:hint="default"/>
                <w:color w:val="auto"/>
                <w:highlight w:val="none"/>
                <w:lang w:val="en-US" w:eastAsia="zh-CN"/>
              </w:rPr>
              <w:t>HJ1301-2023</w:t>
            </w:r>
            <w:r>
              <w:rPr>
                <w:rFonts w:hint="eastAsia"/>
                <w:color w:val="auto"/>
                <w:highlight w:val="none"/>
                <w:lang w:val="en-US" w:eastAsia="zh-CN"/>
              </w:rPr>
              <w:t>）、</w:t>
            </w:r>
            <w:r>
              <w:rPr>
                <w:rFonts w:hint="eastAsia"/>
                <w:color w:val="auto"/>
                <w:highlight w:val="none"/>
                <w:lang w:eastAsia="zh-CN"/>
              </w:rPr>
              <w:t xml:space="preserve">《排污单位自行监测技术指南 </w:t>
            </w:r>
            <w:r>
              <w:rPr>
                <w:rFonts w:hint="eastAsia"/>
                <w:color w:val="auto"/>
                <w:highlight w:val="none"/>
                <w:lang w:val="en-US" w:eastAsia="zh-CN"/>
              </w:rPr>
              <w:t>食品制造</w:t>
            </w:r>
            <w:r>
              <w:rPr>
                <w:rFonts w:hint="eastAsia"/>
                <w:color w:val="auto"/>
                <w:highlight w:val="none"/>
                <w:lang w:eastAsia="zh-CN"/>
              </w:rPr>
              <w:t xml:space="preserve">》（HJ </w:t>
            </w:r>
            <w:r>
              <w:rPr>
                <w:rFonts w:hint="eastAsia"/>
                <w:color w:val="auto"/>
                <w:highlight w:val="none"/>
                <w:lang w:val="en-US" w:eastAsia="zh-CN"/>
              </w:rPr>
              <w:t>1084</w:t>
            </w:r>
            <w:r>
              <w:rPr>
                <w:rFonts w:hint="eastAsia"/>
                <w:color w:val="auto"/>
                <w:highlight w:val="none"/>
                <w:lang w:eastAsia="zh-CN"/>
              </w:rPr>
              <w:t>—20</w:t>
            </w:r>
            <w:r>
              <w:rPr>
                <w:rFonts w:hint="eastAsia"/>
                <w:color w:val="auto"/>
                <w:highlight w:val="none"/>
                <w:lang w:val="en-US" w:eastAsia="zh-CN"/>
              </w:rPr>
              <w:t>20</w:t>
            </w:r>
            <w:r>
              <w:rPr>
                <w:rFonts w:hint="eastAsia"/>
                <w:color w:val="auto"/>
                <w:highlight w:val="none"/>
                <w:lang w:eastAsia="zh-CN"/>
              </w:rPr>
              <w:t>）</w:t>
            </w:r>
            <w:r>
              <w:rPr>
                <w:rFonts w:hint="eastAsia"/>
                <w:color w:val="auto"/>
                <w:highlight w:val="none"/>
                <w:lang w:val="en-US" w:eastAsia="zh-CN"/>
              </w:rPr>
              <w:t>等相关要求制定营运期污染源监测计划，具体见下表。</w:t>
            </w:r>
          </w:p>
          <w:p w14:paraId="6D1B1A8E">
            <w:pPr>
              <w:keepNext w:val="0"/>
              <w:keepLines w:val="0"/>
              <w:widowControl w:val="0"/>
              <w:suppressLineNumbers w:val="0"/>
              <w:adjustRightInd w:val="0"/>
              <w:snapToGrid w:val="0"/>
              <w:spacing w:before="0" w:beforeAutospacing="0" w:after="0" w:afterAutospacing="0" w:line="240" w:lineRule="auto"/>
              <w:ind w:left="0" w:right="0"/>
              <w:jc w:val="center"/>
              <w:rPr>
                <w:rFonts w:hint="default"/>
                <w:b/>
                <w:bCs/>
                <w:color w:val="auto"/>
                <w:szCs w:val="21"/>
                <w:highlight w:val="none"/>
                <w:u w:val="none" w:color="auto"/>
                <w:lang w:val="en-US"/>
              </w:rPr>
            </w:pPr>
            <w:r>
              <w:rPr>
                <w:rFonts w:hint="eastAsia" w:ascii="Times New Roman" w:hAnsi="Times New Roman" w:eastAsia="宋体" w:cs="宋体"/>
                <w:b/>
                <w:bCs/>
                <w:color w:val="auto"/>
                <w:kern w:val="2"/>
                <w:sz w:val="21"/>
                <w:szCs w:val="21"/>
                <w:highlight w:val="none"/>
                <w:u w:val="none" w:color="auto"/>
                <w:lang w:val="en-US" w:eastAsia="zh-CN" w:bidi="ar"/>
              </w:rPr>
              <w:t>表</w:t>
            </w:r>
            <w:r>
              <w:rPr>
                <w:rFonts w:hint="eastAsia" w:ascii="Times New Roman" w:hAnsi="Times New Roman" w:eastAsia="宋体" w:cs="Times New Roman"/>
                <w:b/>
                <w:bCs/>
                <w:color w:val="auto"/>
                <w:kern w:val="2"/>
                <w:sz w:val="21"/>
                <w:szCs w:val="21"/>
                <w:highlight w:val="none"/>
                <w:u w:val="none" w:color="auto"/>
                <w:lang w:val="en-US" w:eastAsia="zh-CN" w:bidi="ar"/>
              </w:rPr>
              <w:t>4-2</w:t>
            </w:r>
            <w:r>
              <w:rPr>
                <w:rFonts w:hint="eastAsia" w:cs="Times New Roman"/>
                <w:b/>
                <w:bCs/>
                <w:color w:val="auto"/>
                <w:kern w:val="2"/>
                <w:sz w:val="21"/>
                <w:szCs w:val="21"/>
                <w:highlight w:val="none"/>
                <w:u w:val="none" w:color="auto"/>
                <w:lang w:val="en-US" w:eastAsia="zh-CN" w:bidi="ar"/>
              </w:rPr>
              <w:t>6</w:t>
            </w:r>
            <w:r>
              <w:rPr>
                <w:rFonts w:hint="eastAsia" w:ascii="Times New Roman" w:hAnsi="Times New Roman" w:eastAsia="宋体" w:cs="Times New Roman"/>
                <w:b/>
                <w:bCs/>
                <w:color w:val="auto"/>
                <w:kern w:val="2"/>
                <w:sz w:val="21"/>
                <w:szCs w:val="21"/>
                <w:highlight w:val="none"/>
                <w:u w:val="none" w:color="auto"/>
                <w:lang w:val="en-US" w:eastAsia="zh-CN" w:bidi="ar"/>
              </w:rPr>
              <w:t xml:space="preserve"> </w:t>
            </w:r>
            <w:r>
              <w:rPr>
                <w:rFonts w:hint="default" w:ascii="Times New Roman" w:hAnsi="Times New Roman" w:eastAsia="宋体" w:cs="Times New Roman"/>
                <w:b/>
                <w:bCs/>
                <w:color w:val="auto"/>
                <w:kern w:val="2"/>
                <w:sz w:val="21"/>
                <w:szCs w:val="21"/>
                <w:highlight w:val="none"/>
                <w:u w:val="none" w:color="auto"/>
                <w:lang w:val="en-US" w:eastAsia="zh-CN" w:bidi="ar"/>
              </w:rPr>
              <w:t xml:space="preserve"> </w:t>
            </w:r>
            <w:r>
              <w:rPr>
                <w:rFonts w:hint="eastAsia" w:ascii="Times New Roman" w:hAnsi="Times New Roman" w:eastAsia="宋体" w:cs="宋体"/>
                <w:b/>
                <w:bCs/>
                <w:color w:val="auto"/>
                <w:kern w:val="2"/>
                <w:sz w:val="21"/>
                <w:szCs w:val="21"/>
                <w:highlight w:val="none"/>
                <w:u w:val="none" w:color="auto"/>
                <w:lang w:val="en-US" w:eastAsia="zh-CN" w:bidi="ar"/>
              </w:rPr>
              <w:t>项目污染源自行监测计划</w:t>
            </w:r>
          </w:p>
          <w:tbl>
            <w:tblPr>
              <w:tblStyle w:val="2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175"/>
              <w:gridCol w:w="1141"/>
              <w:gridCol w:w="2214"/>
              <w:gridCol w:w="1381"/>
              <w:gridCol w:w="2590"/>
            </w:tblGrid>
            <w:tr w14:paraId="6516D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43" w:hRule="atLeast"/>
              </w:trPr>
              <w:tc>
                <w:tcPr>
                  <w:tcW w:w="691" w:type="pct"/>
                  <w:tcBorders>
                    <w:top w:val="single" w:color="auto" w:sz="4" w:space="0"/>
                    <w:left w:val="single" w:color="auto" w:sz="4" w:space="0"/>
                    <w:bottom w:val="single" w:color="auto" w:sz="4" w:space="0"/>
                    <w:right w:val="single" w:color="auto" w:sz="4" w:space="0"/>
                  </w:tcBorders>
                  <w:shd w:val="clear" w:color="auto" w:fill="auto"/>
                  <w:vAlign w:val="center"/>
                </w:tcPr>
                <w:p w14:paraId="3201431E">
                  <w:pPr>
                    <w:pStyle w:val="37"/>
                    <w:keepNext w:val="0"/>
                    <w:keepLines w:val="0"/>
                    <w:suppressLineNumbers w:val="0"/>
                    <w:bidi w:val="0"/>
                    <w:spacing w:before="0" w:beforeAutospacing="0" w:after="0" w:afterAutospacing="0"/>
                    <w:ind w:left="0" w:right="0"/>
                    <w:rPr>
                      <w:rFonts w:hint="default"/>
                      <w:b/>
                      <w:bCs/>
                      <w:color w:val="auto"/>
                      <w:highlight w:val="none"/>
                      <w:u w:val="none" w:color="auto"/>
                      <w:lang w:val="en-US"/>
                    </w:rPr>
                  </w:pPr>
                  <w:r>
                    <w:rPr>
                      <w:rFonts w:hint="eastAsia"/>
                      <w:b/>
                      <w:bCs/>
                      <w:color w:val="auto"/>
                      <w:highlight w:val="none"/>
                      <w:u w:val="none" w:color="auto"/>
                      <w:lang w:val="en-US" w:eastAsia="zh-CN"/>
                    </w:rPr>
                    <w:t>类别</w:t>
                  </w:r>
                </w:p>
              </w:tc>
              <w:tc>
                <w:tcPr>
                  <w:tcW w:w="671" w:type="pct"/>
                  <w:tcBorders>
                    <w:top w:val="single" w:color="auto" w:sz="4" w:space="0"/>
                    <w:left w:val="single" w:color="auto" w:sz="4" w:space="0"/>
                    <w:bottom w:val="single" w:color="auto" w:sz="4" w:space="0"/>
                    <w:right w:val="single" w:color="auto" w:sz="4" w:space="0"/>
                  </w:tcBorders>
                  <w:shd w:val="clear" w:color="auto" w:fill="auto"/>
                  <w:vAlign w:val="center"/>
                </w:tcPr>
                <w:p w14:paraId="308177EC">
                  <w:pPr>
                    <w:pStyle w:val="37"/>
                    <w:keepNext w:val="0"/>
                    <w:keepLines w:val="0"/>
                    <w:suppressLineNumbers w:val="0"/>
                    <w:bidi w:val="0"/>
                    <w:spacing w:before="0" w:beforeAutospacing="0" w:after="0" w:afterAutospacing="0"/>
                    <w:ind w:left="0" w:right="0"/>
                    <w:rPr>
                      <w:rFonts w:hint="default"/>
                      <w:b/>
                      <w:bCs/>
                      <w:color w:val="auto"/>
                      <w:highlight w:val="none"/>
                      <w:u w:val="none" w:color="auto"/>
                      <w:lang w:val="en-US"/>
                    </w:rPr>
                  </w:pPr>
                  <w:r>
                    <w:rPr>
                      <w:rFonts w:hint="eastAsia"/>
                      <w:b/>
                      <w:bCs/>
                      <w:color w:val="auto"/>
                      <w:highlight w:val="none"/>
                      <w:u w:val="none" w:color="auto"/>
                      <w:lang w:val="en-US" w:eastAsia="zh-CN"/>
                    </w:rPr>
                    <w:t>监测点位</w:t>
                  </w:r>
                </w:p>
              </w:tc>
              <w:tc>
                <w:tcPr>
                  <w:tcW w:w="1302" w:type="pct"/>
                  <w:tcBorders>
                    <w:top w:val="single" w:color="auto" w:sz="4" w:space="0"/>
                    <w:left w:val="single" w:color="auto" w:sz="4" w:space="0"/>
                    <w:bottom w:val="single" w:color="auto" w:sz="4" w:space="0"/>
                    <w:right w:val="single" w:color="auto" w:sz="4" w:space="0"/>
                  </w:tcBorders>
                  <w:shd w:val="clear" w:color="auto" w:fill="auto"/>
                  <w:vAlign w:val="center"/>
                </w:tcPr>
                <w:p w14:paraId="296B5670">
                  <w:pPr>
                    <w:pStyle w:val="37"/>
                    <w:keepNext w:val="0"/>
                    <w:keepLines w:val="0"/>
                    <w:suppressLineNumbers w:val="0"/>
                    <w:bidi w:val="0"/>
                    <w:spacing w:before="0" w:beforeAutospacing="0" w:after="0" w:afterAutospacing="0"/>
                    <w:ind w:left="0" w:right="0"/>
                    <w:rPr>
                      <w:rFonts w:hint="default"/>
                      <w:b/>
                      <w:bCs/>
                      <w:color w:val="auto"/>
                      <w:highlight w:val="none"/>
                      <w:u w:val="none" w:color="auto"/>
                      <w:lang w:val="en-US"/>
                    </w:rPr>
                  </w:pPr>
                  <w:r>
                    <w:rPr>
                      <w:rFonts w:hint="eastAsia"/>
                      <w:b/>
                      <w:bCs/>
                      <w:color w:val="auto"/>
                      <w:highlight w:val="none"/>
                      <w:u w:val="none" w:color="auto"/>
                      <w:lang w:val="en-US" w:eastAsia="zh-CN"/>
                    </w:rPr>
                    <w:t>污染物名称（监测因子）</w:t>
                  </w:r>
                </w:p>
              </w:tc>
              <w:tc>
                <w:tcPr>
                  <w:tcW w:w="812" w:type="pct"/>
                  <w:tcBorders>
                    <w:top w:val="single" w:color="auto" w:sz="4" w:space="0"/>
                    <w:left w:val="single" w:color="auto" w:sz="4" w:space="0"/>
                    <w:bottom w:val="single" w:color="auto" w:sz="4" w:space="0"/>
                    <w:right w:val="single" w:color="auto" w:sz="4" w:space="0"/>
                  </w:tcBorders>
                  <w:shd w:val="clear" w:color="auto" w:fill="auto"/>
                  <w:vAlign w:val="center"/>
                </w:tcPr>
                <w:p w14:paraId="38F51D5B">
                  <w:pPr>
                    <w:pStyle w:val="37"/>
                    <w:keepNext w:val="0"/>
                    <w:keepLines w:val="0"/>
                    <w:suppressLineNumbers w:val="0"/>
                    <w:bidi w:val="0"/>
                    <w:spacing w:before="0" w:beforeAutospacing="0" w:after="0" w:afterAutospacing="0"/>
                    <w:ind w:left="0" w:right="0"/>
                    <w:rPr>
                      <w:rFonts w:hint="default"/>
                      <w:b/>
                      <w:bCs/>
                      <w:color w:val="auto"/>
                      <w:highlight w:val="none"/>
                      <w:u w:val="none" w:color="auto"/>
                      <w:lang w:val="en-US"/>
                    </w:rPr>
                  </w:pPr>
                  <w:r>
                    <w:rPr>
                      <w:rFonts w:hint="eastAsia"/>
                      <w:b/>
                      <w:bCs/>
                      <w:color w:val="auto"/>
                      <w:highlight w:val="none"/>
                      <w:u w:val="none" w:color="auto"/>
                      <w:lang w:val="en-US" w:eastAsia="zh-CN"/>
                    </w:rPr>
                    <w:t>监测频次</w:t>
                  </w:r>
                </w:p>
              </w:tc>
              <w:tc>
                <w:tcPr>
                  <w:tcW w:w="1522" w:type="pct"/>
                  <w:tcBorders>
                    <w:top w:val="single" w:color="auto" w:sz="4" w:space="0"/>
                    <w:left w:val="single" w:color="auto" w:sz="4" w:space="0"/>
                    <w:bottom w:val="single" w:color="auto" w:sz="4" w:space="0"/>
                    <w:right w:val="single" w:color="auto" w:sz="4" w:space="0"/>
                  </w:tcBorders>
                  <w:shd w:val="clear" w:color="auto" w:fill="auto"/>
                  <w:vAlign w:val="center"/>
                </w:tcPr>
                <w:p w14:paraId="4EFC8ECB">
                  <w:pPr>
                    <w:pStyle w:val="37"/>
                    <w:keepNext w:val="0"/>
                    <w:keepLines w:val="0"/>
                    <w:suppressLineNumbers w:val="0"/>
                    <w:bidi w:val="0"/>
                    <w:spacing w:before="0" w:beforeAutospacing="0" w:after="0" w:afterAutospacing="0"/>
                    <w:ind w:left="0" w:right="0"/>
                    <w:rPr>
                      <w:rFonts w:hint="default"/>
                      <w:b/>
                      <w:bCs/>
                      <w:color w:val="auto"/>
                      <w:highlight w:val="none"/>
                      <w:u w:val="none" w:color="auto"/>
                      <w:lang w:val="en-US" w:eastAsia="zh-CN"/>
                    </w:rPr>
                  </w:pPr>
                  <w:r>
                    <w:rPr>
                      <w:rFonts w:hint="eastAsia"/>
                      <w:b/>
                      <w:bCs/>
                      <w:color w:val="auto"/>
                      <w:highlight w:val="none"/>
                      <w:u w:val="none" w:color="auto"/>
                      <w:lang w:val="en-US" w:eastAsia="zh-CN"/>
                    </w:rPr>
                    <w:t>备注</w:t>
                  </w:r>
                </w:p>
              </w:tc>
            </w:tr>
            <w:tr w14:paraId="51D6A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 w:hRule="atLeast"/>
              </w:trPr>
              <w:tc>
                <w:tcPr>
                  <w:tcW w:w="691" w:type="pct"/>
                  <w:tcBorders>
                    <w:top w:val="single" w:color="auto" w:sz="4" w:space="0"/>
                    <w:left w:val="single" w:color="auto" w:sz="4" w:space="0"/>
                    <w:right w:val="single" w:color="auto" w:sz="4" w:space="0"/>
                  </w:tcBorders>
                  <w:shd w:val="clear" w:color="auto" w:fill="auto"/>
                  <w:vAlign w:val="center"/>
                </w:tcPr>
                <w:p w14:paraId="6CCF3AD5">
                  <w:pPr>
                    <w:pStyle w:val="37"/>
                    <w:keepNext w:val="0"/>
                    <w:keepLines w:val="0"/>
                    <w:suppressLineNumbers w:val="0"/>
                    <w:bidi w:val="0"/>
                    <w:spacing w:before="0" w:beforeAutospacing="0" w:after="0" w:afterAutospacing="0"/>
                    <w:ind w:left="0" w:right="0"/>
                    <w:rPr>
                      <w:rFonts w:hint="default"/>
                      <w:color w:val="auto"/>
                      <w:highlight w:val="none"/>
                      <w:u w:val="none" w:color="auto"/>
                      <w:lang w:val="en-US"/>
                    </w:rPr>
                  </w:pPr>
                  <w:r>
                    <w:rPr>
                      <w:rFonts w:hint="eastAsia"/>
                      <w:color w:val="auto"/>
                      <w:highlight w:val="none"/>
                      <w:u w:val="none" w:color="auto"/>
                      <w:lang w:val="en-US" w:eastAsia="zh-CN"/>
                    </w:rPr>
                    <w:t>有组织废气</w:t>
                  </w:r>
                </w:p>
              </w:tc>
              <w:tc>
                <w:tcPr>
                  <w:tcW w:w="671" w:type="pct"/>
                  <w:tcBorders>
                    <w:top w:val="single" w:color="auto" w:sz="4" w:space="0"/>
                    <w:left w:val="single" w:color="auto" w:sz="4" w:space="0"/>
                    <w:bottom w:val="single" w:color="auto" w:sz="4" w:space="0"/>
                    <w:right w:val="single" w:color="auto" w:sz="4" w:space="0"/>
                  </w:tcBorders>
                  <w:shd w:val="clear" w:color="auto" w:fill="auto"/>
                  <w:vAlign w:val="center"/>
                </w:tcPr>
                <w:p w14:paraId="7115C756">
                  <w:pPr>
                    <w:pStyle w:val="37"/>
                    <w:keepNext w:val="0"/>
                    <w:keepLines w:val="0"/>
                    <w:suppressLineNumbers w:val="0"/>
                    <w:bidi w:val="0"/>
                    <w:spacing w:before="0" w:beforeAutospacing="0" w:after="0" w:afterAutospacing="0"/>
                    <w:ind w:left="0" w:right="0"/>
                    <w:rPr>
                      <w:rFonts w:hint="default"/>
                      <w:color w:val="auto"/>
                      <w:highlight w:val="none"/>
                      <w:u w:val="none" w:color="auto"/>
                      <w:lang w:val="en-US"/>
                    </w:rPr>
                  </w:pPr>
                  <w:r>
                    <w:rPr>
                      <w:rFonts w:hint="default"/>
                      <w:color w:val="auto"/>
                      <w:highlight w:val="none"/>
                      <w:u w:val="none" w:color="auto"/>
                      <w:lang w:val="en-US" w:eastAsia="zh-CN"/>
                    </w:rPr>
                    <w:t>DA001</w:t>
                  </w:r>
                </w:p>
              </w:tc>
              <w:tc>
                <w:tcPr>
                  <w:tcW w:w="1302" w:type="pct"/>
                  <w:tcBorders>
                    <w:top w:val="single" w:color="auto" w:sz="4" w:space="0"/>
                    <w:left w:val="single" w:color="auto" w:sz="4" w:space="0"/>
                    <w:bottom w:val="single" w:color="auto" w:sz="4" w:space="0"/>
                    <w:right w:val="single" w:color="auto" w:sz="4" w:space="0"/>
                  </w:tcBorders>
                  <w:shd w:val="clear" w:color="auto" w:fill="auto"/>
                  <w:vAlign w:val="center"/>
                </w:tcPr>
                <w:p w14:paraId="600D15F1">
                  <w:pPr>
                    <w:pStyle w:val="37"/>
                    <w:keepNext w:val="0"/>
                    <w:keepLines w:val="0"/>
                    <w:suppressLineNumbers w:val="0"/>
                    <w:bidi w:val="0"/>
                    <w:spacing w:before="0" w:beforeAutospacing="0" w:after="0" w:afterAutospacing="0"/>
                    <w:ind w:left="0" w:right="0"/>
                    <w:rPr>
                      <w:rFonts w:hint="default"/>
                      <w:color w:val="auto"/>
                      <w:highlight w:val="none"/>
                      <w:u w:val="none" w:color="auto"/>
                      <w:lang w:val="en-US"/>
                    </w:rPr>
                  </w:pPr>
                  <w:r>
                    <w:rPr>
                      <w:rFonts w:hint="default" w:ascii="Times New Roman" w:hAnsi="Times New Roman" w:eastAsia="宋体" w:cs="Times New Roman"/>
                      <w:color w:val="auto"/>
                      <w:kern w:val="0"/>
                      <w:sz w:val="21"/>
                      <w:szCs w:val="21"/>
                      <w:highlight w:val="none"/>
                    </w:rPr>
                    <w:t>颗粒物、SO</w:t>
                  </w:r>
                  <w:r>
                    <w:rPr>
                      <w:rFonts w:hint="default" w:ascii="Times New Roman" w:hAnsi="Times New Roman" w:eastAsia="宋体" w:cs="Times New Roman"/>
                      <w:color w:val="auto"/>
                      <w:kern w:val="0"/>
                      <w:sz w:val="21"/>
                      <w:szCs w:val="21"/>
                      <w:highlight w:val="none"/>
                      <w:vertAlign w:val="subscript"/>
                    </w:rPr>
                    <w:t>2</w:t>
                  </w:r>
                  <w:r>
                    <w:rPr>
                      <w:rFonts w:hint="default" w:ascii="Times New Roman" w:hAnsi="Times New Roman" w:eastAsia="宋体" w:cs="Times New Roman"/>
                      <w:color w:val="auto"/>
                      <w:kern w:val="0"/>
                      <w:sz w:val="21"/>
                      <w:szCs w:val="21"/>
                      <w:highlight w:val="none"/>
                    </w:rPr>
                    <w:t>、NO</w:t>
                  </w:r>
                  <w:r>
                    <w:rPr>
                      <w:rFonts w:hint="default" w:ascii="Times New Roman" w:hAnsi="Times New Roman" w:eastAsia="宋体" w:cs="Times New Roman"/>
                      <w:color w:val="auto"/>
                      <w:kern w:val="0"/>
                      <w:sz w:val="21"/>
                      <w:szCs w:val="21"/>
                      <w:highlight w:val="none"/>
                      <w:vertAlign w:val="subscript"/>
                    </w:rPr>
                    <w:t>x</w:t>
                  </w:r>
                  <w:r>
                    <w:rPr>
                      <w:rStyle w:val="34"/>
                      <w:rFonts w:hint="default" w:ascii="Times New Roman" w:hAnsi="Times New Roman" w:eastAsia="宋体" w:cs="Times New Roman"/>
                      <w:color w:val="auto"/>
                      <w:kern w:val="0"/>
                      <w:sz w:val="21"/>
                      <w:szCs w:val="21"/>
                      <w:highlight w:val="none"/>
                    </w:rPr>
                    <w:t>、格林曼黑度</w:t>
                  </w:r>
                </w:p>
              </w:tc>
              <w:tc>
                <w:tcPr>
                  <w:tcW w:w="812" w:type="pct"/>
                  <w:tcBorders>
                    <w:top w:val="single" w:color="auto" w:sz="4" w:space="0"/>
                    <w:left w:val="single" w:color="auto" w:sz="4" w:space="0"/>
                    <w:bottom w:val="single" w:color="auto" w:sz="4" w:space="0"/>
                    <w:right w:val="single" w:color="auto" w:sz="4" w:space="0"/>
                  </w:tcBorders>
                  <w:shd w:val="clear" w:color="auto" w:fill="auto"/>
                  <w:vAlign w:val="center"/>
                </w:tcPr>
                <w:p w14:paraId="33F5BCA8">
                  <w:pPr>
                    <w:pStyle w:val="37"/>
                    <w:keepNext w:val="0"/>
                    <w:keepLines w:val="0"/>
                    <w:suppressLineNumbers w:val="0"/>
                    <w:bidi w:val="0"/>
                    <w:spacing w:before="0" w:beforeAutospacing="0" w:after="0" w:afterAutospacing="0"/>
                    <w:ind w:left="0" w:right="0"/>
                    <w:rPr>
                      <w:rFonts w:hint="default"/>
                      <w:color w:val="auto"/>
                      <w:highlight w:val="none"/>
                      <w:u w:val="none" w:color="auto"/>
                      <w:lang w:val="en-US"/>
                    </w:rPr>
                  </w:pPr>
                  <w:r>
                    <w:rPr>
                      <w:rFonts w:hint="default"/>
                      <w:color w:val="auto"/>
                      <w:highlight w:val="none"/>
                      <w:u w:val="none" w:color="auto"/>
                      <w:lang w:val="en-US" w:eastAsia="zh-CN"/>
                    </w:rPr>
                    <w:t>1</w:t>
                  </w:r>
                  <w:r>
                    <w:rPr>
                      <w:rFonts w:hint="eastAsia"/>
                      <w:color w:val="auto"/>
                      <w:highlight w:val="none"/>
                      <w:u w:val="none" w:color="auto"/>
                      <w:lang w:val="en-US" w:eastAsia="zh-CN"/>
                    </w:rPr>
                    <w:t>次</w:t>
                  </w:r>
                  <w:r>
                    <w:rPr>
                      <w:rFonts w:hint="default"/>
                      <w:color w:val="auto"/>
                      <w:highlight w:val="none"/>
                      <w:u w:val="none" w:color="auto"/>
                      <w:lang w:val="en-US" w:eastAsia="zh-CN"/>
                    </w:rPr>
                    <w:t>/</w:t>
                  </w:r>
                  <w:r>
                    <w:rPr>
                      <w:rFonts w:hint="eastAsia"/>
                      <w:color w:val="auto"/>
                      <w:highlight w:val="none"/>
                      <w:u w:val="none" w:color="auto"/>
                      <w:lang w:val="en-US" w:eastAsia="zh-CN"/>
                    </w:rPr>
                    <w:t>年</w:t>
                  </w:r>
                </w:p>
              </w:tc>
              <w:tc>
                <w:tcPr>
                  <w:tcW w:w="2590" w:type="dxa"/>
                  <w:tcBorders>
                    <w:top w:val="single" w:color="auto" w:sz="4" w:space="0"/>
                    <w:left w:val="single" w:color="auto" w:sz="4" w:space="0"/>
                    <w:bottom w:val="single" w:color="auto" w:sz="4" w:space="0"/>
                    <w:right w:val="single" w:color="auto" w:sz="4" w:space="0"/>
                  </w:tcBorders>
                  <w:shd w:val="clear" w:color="auto" w:fill="auto"/>
                  <w:vAlign w:val="center"/>
                </w:tcPr>
                <w:p w14:paraId="5D49BA5E">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rightChars="0"/>
                    <w:jc w:val="center"/>
                    <w:textAlignment w:val="auto"/>
                    <w:rPr>
                      <w:rFonts w:hint="default"/>
                      <w:color w:val="auto"/>
                      <w:highlight w:val="none"/>
                      <w:u w:val="none" w:color="auto"/>
                      <w:lang w:val="en-US" w:eastAsia="zh-CN"/>
                    </w:rPr>
                  </w:pPr>
                  <w:r>
                    <w:rPr>
                      <w:rFonts w:hint="eastAsia" w:cs="Times New Roman"/>
                      <w:color w:val="auto"/>
                      <w:kern w:val="0"/>
                      <w:sz w:val="21"/>
                      <w:szCs w:val="21"/>
                      <w:highlight w:val="none"/>
                      <w:lang w:val="en-US" w:eastAsia="zh-CN"/>
                    </w:rPr>
                    <w:t>本项目生物质锅炉运行时间仅40天</w:t>
                  </w:r>
                </w:p>
              </w:tc>
            </w:tr>
            <w:tr w14:paraId="5403A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8" w:hRule="atLeast"/>
              </w:trPr>
              <w:tc>
                <w:tcPr>
                  <w:tcW w:w="691" w:type="pct"/>
                  <w:tcBorders>
                    <w:top w:val="single" w:color="auto" w:sz="4" w:space="0"/>
                    <w:left w:val="single" w:color="auto" w:sz="4" w:space="0"/>
                    <w:bottom w:val="single" w:color="auto" w:sz="4" w:space="0"/>
                    <w:right w:val="single" w:color="auto" w:sz="4" w:space="0"/>
                  </w:tcBorders>
                  <w:shd w:val="clear" w:color="auto" w:fill="auto"/>
                  <w:vAlign w:val="center"/>
                </w:tcPr>
                <w:p w14:paraId="219D7F49">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无组织废气</w:t>
                  </w:r>
                </w:p>
              </w:tc>
              <w:tc>
                <w:tcPr>
                  <w:tcW w:w="671" w:type="pct"/>
                  <w:tcBorders>
                    <w:top w:val="single" w:color="auto" w:sz="4" w:space="0"/>
                    <w:left w:val="single" w:color="auto" w:sz="4" w:space="0"/>
                    <w:bottom w:val="single" w:color="auto" w:sz="4" w:space="0"/>
                    <w:right w:val="single" w:color="auto" w:sz="4" w:space="0"/>
                  </w:tcBorders>
                  <w:shd w:val="clear" w:color="auto" w:fill="auto"/>
                  <w:vAlign w:val="center"/>
                </w:tcPr>
                <w:p w14:paraId="7E03A93C">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厂界</w:t>
                  </w:r>
                </w:p>
              </w:tc>
              <w:tc>
                <w:tcPr>
                  <w:tcW w:w="1302" w:type="pct"/>
                  <w:tcBorders>
                    <w:top w:val="single" w:color="auto" w:sz="4" w:space="0"/>
                    <w:left w:val="single" w:color="auto" w:sz="4" w:space="0"/>
                    <w:bottom w:val="single" w:color="auto" w:sz="4" w:space="0"/>
                    <w:right w:val="single" w:color="auto" w:sz="4" w:space="0"/>
                  </w:tcBorders>
                  <w:shd w:val="clear" w:color="auto" w:fill="auto"/>
                  <w:vAlign w:val="center"/>
                </w:tcPr>
                <w:p w14:paraId="12FAFE91">
                  <w:pPr>
                    <w:pStyle w:val="37"/>
                    <w:keepNext w:val="0"/>
                    <w:keepLines w:val="0"/>
                    <w:suppressLineNumbers w:val="0"/>
                    <w:bidi w:val="0"/>
                    <w:spacing w:before="0" w:beforeAutospacing="0" w:after="0" w:afterAutospacing="0"/>
                    <w:ind w:left="0" w:right="0"/>
                    <w:rPr>
                      <w:rFonts w:hint="default" w:eastAsia="宋体"/>
                      <w:color w:val="auto"/>
                      <w:highlight w:val="none"/>
                      <w:u w:val="none" w:color="auto"/>
                      <w:lang w:val="en-US" w:eastAsia="zh-CN"/>
                    </w:rPr>
                  </w:pPr>
                  <w:r>
                    <w:rPr>
                      <w:rFonts w:hint="eastAsia"/>
                      <w:color w:val="auto"/>
                      <w:highlight w:val="none"/>
                      <w:lang w:val="en-US" w:eastAsia="zh-CN"/>
                    </w:rPr>
                    <w:t>氨、硫化氢、</w:t>
                  </w:r>
                  <w:r>
                    <w:rPr>
                      <w:rFonts w:hint="eastAsia"/>
                      <w:color w:val="auto"/>
                      <w:highlight w:val="none"/>
                      <w:u w:val="single"/>
                      <w:lang w:val="en-US" w:eastAsia="zh-CN"/>
                    </w:rPr>
                    <w:t>臭气浓度、VOCs</w:t>
                  </w:r>
                </w:p>
              </w:tc>
              <w:tc>
                <w:tcPr>
                  <w:tcW w:w="812" w:type="pct"/>
                  <w:tcBorders>
                    <w:top w:val="single" w:color="auto" w:sz="4" w:space="0"/>
                    <w:left w:val="single" w:color="auto" w:sz="4" w:space="0"/>
                    <w:bottom w:val="single" w:color="auto" w:sz="4" w:space="0"/>
                    <w:right w:val="single" w:color="auto" w:sz="4" w:space="0"/>
                  </w:tcBorders>
                  <w:shd w:val="clear" w:color="auto" w:fill="auto"/>
                  <w:vAlign w:val="center"/>
                </w:tcPr>
                <w:p w14:paraId="6A6B8786">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default"/>
                      <w:color w:val="auto"/>
                      <w:highlight w:val="none"/>
                      <w:u w:val="none" w:color="auto"/>
                      <w:lang w:val="en-US" w:eastAsia="zh-CN"/>
                    </w:rPr>
                    <w:t>1</w:t>
                  </w:r>
                  <w:r>
                    <w:rPr>
                      <w:rFonts w:hint="eastAsia"/>
                      <w:color w:val="auto"/>
                      <w:highlight w:val="none"/>
                      <w:u w:val="none" w:color="auto"/>
                      <w:lang w:val="en-US" w:eastAsia="zh-CN"/>
                    </w:rPr>
                    <w:t>次</w:t>
                  </w:r>
                  <w:r>
                    <w:rPr>
                      <w:rFonts w:hint="default"/>
                      <w:color w:val="auto"/>
                      <w:highlight w:val="none"/>
                      <w:u w:val="none" w:color="auto"/>
                      <w:lang w:val="en-US" w:eastAsia="zh-CN"/>
                    </w:rPr>
                    <w:t>/</w:t>
                  </w:r>
                  <w:r>
                    <w:rPr>
                      <w:rFonts w:hint="eastAsia"/>
                      <w:color w:val="auto"/>
                      <w:highlight w:val="none"/>
                      <w:u w:val="none" w:color="auto"/>
                      <w:lang w:val="en-US" w:eastAsia="zh-CN"/>
                    </w:rPr>
                    <w:t>半年</w:t>
                  </w:r>
                </w:p>
              </w:tc>
              <w:tc>
                <w:tcPr>
                  <w:tcW w:w="2590" w:type="dxa"/>
                  <w:tcBorders>
                    <w:top w:val="single" w:color="auto" w:sz="4" w:space="0"/>
                    <w:left w:val="single" w:color="auto" w:sz="4" w:space="0"/>
                    <w:bottom w:val="single" w:color="auto" w:sz="4" w:space="0"/>
                    <w:right w:val="single" w:color="auto" w:sz="4" w:space="0"/>
                  </w:tcBorders>
                  <w:shd w:val="clear" w:color="auto" w:fill="auto"/>
                  <w:vAlign w:val="center"/>
                </w:tcPr>
                <w:p w14:paraId="169FDB5A">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rightChars="0"/>
                    <w:jc w:val="center"/>
                    <w:textAlignment w:val="auto"/>
                    <w:rPr>
                      <w:rFonts w:hint="default"/>
                      <w:color w:val="auto"/>
                      <w:highlight w:val="none"/>
                      <w:u w:val="none" w:color="auto"/>
                      <w:lang w:val="en-US" w:eastAsia="zh-CN"/>
                    </w:rPr>
                  </w:pPr>
                  <w:r>
                    <w:rPr>
                      <w:rFonts w:hint="eastAsia" w:cs="Times New Roman"/>
                      <w:color w:val="auto"/>
                      <w:kern w:val="0"/>
                      <w:sz w:val="21"/>
                      <w:szCs w:val="21"/>
                      <w:highlight w:val="none"/>
                      <w:lang w:val="en-US" w:eastAsia="zh-CN"/>
                    </w:rPr>
                    <w:t>其中VOCs监测频次为1次/年，在干黄花菜生产时间内进行监测</w:t>
                  </w:r>
                </w:p>
              </w:tc>
            </w:tr>
            <w:tr w14:paraId="387EF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91" w:type="pct"/>
                  <w:tcBorders>
                    <w:top w:val="single" w:color="auto" w:sz="4" w:space="0"/>
                    <w:left w:val="single" w:color="auto" w:sz="4" w:space="0"/>
                    <w:bottom w:val="single" w:color="auto" w:sz="4" w:space="0"/>
                    <w:right w:val="single" w:color="auto" w:sz="4" w:space="0"/>
                  </w:tcBorders>
                  <w:shd w:val="clear" w:color="auto" w:fill="auto"/>
                  <w:vAlign w:val="center"/>
                </w:tcPr>
                <w:p w14:paraId="2869328C">
                  <w:pPr>
                    <w:pStyle w:val="37"/>
                    <w:keepNext w:val="0"/>
                    <w:keepLines w:val="0"/>
                    <w:suppressLineNumbers w:val="0"/>
                    <w:bidi w:val="0"/>
                    <w:spacing w:before="0" w:beforeAutospacing="0" w:after="0" w:afterAutospacing="0"/>
                    <w:ind w:left="0" w:right="0"/>
                    <w:rPr>
                      <w:rFonts w:hint="default"/>
                      <w:color w:val="auto"/>
                      <w:highlight w:val="none"/>
                      <w:u w:val="none" w:color="auto"/>
                      <w:lang w:val="en-US"/>
                    </w:rPr>
                  </w:pPr>
                  <w:r>
                    <w:rPr>
                      <w:rFonts w:hint="eastAsia"/>
                      <w:color w:val="auto"/>
                      <w:highlight w:val="none"/>
                      <w:u w:val="none" w:color="auto"/>
                      <w:lang w:val="en-US" w:eastAsia="zh-CN"/>
                    </w:rPr>
                    <w:t>噪声</w:t>
                  </w:r>
                </w:p>
              </w:tc>
              <w:tc>
                <w:tcPr>
                  <w:tcW w:w="671" w:type="pct"/>
                  <w:tcBorders>
                    <w:top w:val="single" w:color="auto" w:sz="4" w:space="0"/>
                    <w:left w:val="single" w:color="auto" w:sz="4" w:space="0"/>
                    <w:bottom w:val="single" w:color="auto" w:sz="4" w:space="0"/>
                    <w:right w:val="single" w:color="auto" w:sz="4" w:space="0"/>
                  </w:tcBorders>
                  <w:shd w:val="clear" w:color="auto" w:fill="auto"/>
                  <w:vAlign w:val="center"/>
                </w:tcPr>
                <w:p w14:paraId="74F84074">
                  <w:pPr>
                    <w:pStyle w:val="37"/>
                    <w:keepNext w:val="0"/>
                    <w:keepLines w:val="0"/>
                    <w:suppressLineNumbers w:val="0"/>
                    <w:bidi w:val="0"/>
                    <w:spacing w:before="0" w:beforeAutospacing="0" w:after="0" w:afterAutospacing="0"/>
                    <w:ind w:left="0" w:right="0"/>
                    <w:rPr>
                      <w:rFonts w:hint="default"/>
                      <w:color w:val="auto"/>
                      <w:highlight w:val="none"/>
                      <w:u w:val="none" w:color="auto"/>
                      <w:lang w:val="en-US"/>
                    </w:rPr>
                  </w:pPr>
                  <w:r>
                    <w:rPr>
                      <w:rFonts w:hint="eastAsia"/>
                      <w:color w:val="auto"/>
                      <w:highlight w:val="none"/>
                      <w:u w:val="none" w:color="auto"/>
                      <w:lang w:val="en-US" w:eastAsia="zh-CN"/>
                    </w:rPr>
                    <w:t>厂界四周</w:t>
                  </w:r>
                </w:p>
              </w:tc>
              <w:tc>
                <w:tcPr>
                  <w:tcW w:w="1302" w:type="pct"/>
                  <w:tcBorders>
                    <w:top w:val="single" w:color="auto" w:sz="4" w:space="0"/>
                    <w:left w:val="single" w:color="auto" w:sz="4" w:space="0"/>
                    <w:bottom w:val="single" w:color="auto" w:sz="4" w:space="0"/>
                    <w:right w:val="single" w:color="auto" w:sz="4" w:space="0"/>
                  </w:tcBorders>
                  <w:shd w:val="clear" w:color="auto" w:fill="auto"/>
                  <w:vAlign w:val="center"/>
                </w:tcPr>
                <w:p w14:paraId="11044062">
                  <w:pPr>
                    <w:pStyle w:val="37"/>
                    <w:keepNext w:val="0"/>
                    <w:keepLines w:val="0"/>
                    <w:suppressLineNumbers w:val="0"/>
                    <w:bidi w:val="0"/>
                    <w:spacing w:before="0" w:beforeAutospacing="0" w:after="0" w:afterAutospacing="0"/>
                    <w:ind w:left="0" w:right="0"/>
                    <w:rPr>
                      <w:rFonts w:hint="default"/>
                      <w:color w:val="auto"/>
                      <w:highlight w:val="none"/>
                      <w:u w:val="none" w:color="auto"/>
                      <w:lang w:val="en-US"/>
                    </w:rPr>
                  </w:pPr>
                  <w:r>
                    <w:rPr>
                      <w:rFonts w:hint="default"/>
                      <w:color w:val="auto"/>
                      <w:highlight w:val="none"/>
                      <w:u w:val="none" w:color="auto"/>
                      <w:lang w:val="en-US" w:eastAsia="zh-CN"/>
                    </w:rPr>
                    <w:t>Leq</w:t>
                  </w:r>
                  <w:r>
                    <w:rPr>
                      <w:rFonts w:hint="eastAsia"/>
                      <w:color w:val="auto"/>
                      <w:highlight w:val="none"/>
                      <w:u w:val="none" w:color="auto"/>
                      <w:lang w:val="en-US" w:eastAsia="zh-CN"/>
                    </w:rPr>
                    <w:t>（</w:t>
                  </w:r>
                  <w:r>
                    <w:rPr>
                      <w:rFonts w:hint="default"/>
                      <w:color w:val="auto"/>
                      <w:highlight w:val="none"/>
                      <w:u w:val="none" w:color="auto"/>
                      <w:lang w:val="en-US" w:eastAsia="zh-CN"/>
                    </w:rPr>
                    <w:t>A</w:t>
                  </w:r>
                  <w:r>
                    <w:rPr>
                      <w:rFonts w:hint="eastAsia"/>
                      <w:color w:val="auto"/>
                      <w:highlight w:val="none"/>
                      <w:u w:val="none" w:color="auto"/>
                      <w:lang w:val="en-US" w:eastAsia="zh-CN"/>
                    </w:rPr>
                    <w:t>）</w:t>
                  </w:r>
                </w:p>
              </w:tc>
              <w:tc>
                <w:tcPr>
                  <w:tcW w:w="812" w:type="pct"/>
                  <w:tcBorders>
                    <w:top w:val="single" w:color="auto" w:sz="4" w:space="0"/>
                    <w:left w:val="single" w:color="auto" w:sz="4" w:space="0"/>
                    <w:bottom w:val="single" w:color="auto" w:sz="4" w:space="0"/>
                    <w:right w:val="single" w:color="auto" w:sz="4" w:space="0"/>
                  </w:tcBorders>
                  <w:shd w:val="clear" w:color="auto" w:fill="auto"/>
                  <w:vAlign w:val="center"/>
                </w:tcPr>
                <w:p w14:paraId="14F43AF1">
                  <w:pPr>
                    <w:pStyle w:val="37"/>
                    <w:keepNext w:val="0"/>
                    <w:keepLines w:val="0"/>
                    <w:suppressLineNumbers w:val="0"/>
                    <w:bidi w:val="0"/>
                    <w:spacing w:before="0" w:beforeAutospacing="0" w:after="0" w:afterAutospacing="0"/>
                    <w:ind w:left="0" w:right="0"/>
                    <w:rPr>
                      <w:rFonts w:hint="default"/>
                      <w:color w:val="auto"/>
                      <w:highlight w:val="none"/>
                      <w:u w:val="none" w:color="auto"/>
                      <w:lang w:val="en-US"/>
                    </w:rPr>
                  </w:pPr>
                  <w:r>
                    <w:rPr>
                      <w:rFonts w:hint="default"/>
                      <w:color w:val="auto"/>
                      <w:highlight w:val="none"/>
                      <w:u w:val="none" w:color="auto"/>
                      <w:lang w:val="en-US" w:eastAsia="zh-CN"/>
                    </w:rPr>
                    <w:t>1</w:t>
                  </w:r>
                  <w:r>
                    <w:rPr>
                      <w:rFonts w:hint="eastAsia"/>
                      <w:color w:val="auto"/>
                      <w:highlight w:val="none"/>
                      <w:u w:val="none" w:color="auto"/>
                      <w:lang w:val="en-US" w:eastAsia="zh-CN"/>
                    </w:rPr>
                    <w:t>次</w:t>
                  </w:r>
                  <w:r>
                    <w:rPr>
                      <w:rFonts w:hint="default"/>
                      <w:color w:val="auto"/>
                      <w:highlight w:val="none"/>
                      <w:u w:val="none" w:color="auto"/>
                      <w:lang w:val="en-US" w:eastAsia="zh-CN"/>
                    </w:rPr>
                    <w:t>/</w:t>
                  </w:r>
                  <w:r>
                    <w:rPr>
                      <w:rFonts w:hint="eastAsia"/>
                      <w:color w:val="auto"/>
                      <w:highlight w:val="none"/>
                      <w:u w:val="none" w:color="auto"/>
                      <w:lang w:val="en-US" w:eastAsia="zh-CN"/>
                    </w:rPr>
                    <w:t>季度</w:t>
                  </w:r>
                </w:p>
              </w:tc>
              <w:tc>
                <w:tcPr>
                  <w:tcW w:w="1522" w:type="pct"/>
                  <w:tcBorders>
                    <w:top w:val="single" w:color="auto" w:sz="4" w:space="0"/>
                    <w:left w:val="single" w:color="auto" w:sz="4" w:space="0"/>
                    <w:bottom w:val="single" w:color="auto" w:sz="4" w:space="0"/>
                    <w:right w:val="single" w:color="auto" w:sz="4" w:space="0"/>
                  </w:tcBorders>
                  <w:shd w:val="clear" w:color="auto" w:fill="auto"/>
                  <w:vAlign w:val="center"/>
                </w:tcPr>
                <w:p w14:paraId="5CE16805">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p>
              </w:tc>
            </w:tr>
            <w:tr w14:paraId="62363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 w:hRule="atLeast"/>
              </w:trPr>
              <w:tc>
                <w:tcPr>
                  <w:tcW w:w="691" w:type="pct"/>
                  <w:tcBorders>
                    <w:top w:val="single" w:color="auto" w:sz="4" w:space="0"/>
                    <w:left w:val="single" w:color="auto" w:sz="4" w:space="0"/>
                    <w:bottom w:val="single" w:color="auto" w:sz="4" w:space="0"/>
                    <w:right w:val="single" w:color="auto" w:sz="4" w:space="0"/>
                  </w:tcBorders>
                  <w:shd w:val="clear" w:color="auto" w:fill="auto"/>
                  <w:vAlign w:val="center"/>
                </w:tcPr>
                <w:p w14:paraId="5E26FF71">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废水</w:t>
                  </w:r>
                </w:p>
              </w:tc>
              <w:tc>
                <w:tcPr>
                  <w:tcW w:w="671" w:type="pct"/>
                  <w:tcBorders>
                    <w:top w:val="single" w:color="auto" w:sz="4" w:space="0"/>
                    <w:left w:val="single" w:color="auto" w:sz="4" w:space="0"/>
                    <w:bottom w:val="single" w:color="auto" w:sz="4" w:space="0"/>
                    <w:right w:val="single" w:color="auto" w:sz="4" w:space="0"/>
                  </w:tcBorders>
                  <w:shd w:val="clear" w:color="auto" w:fill="auto"/>
                  <w:vAlign w:val="center"/>
                </w:tcPr>
                <w:p w14:paraId="27B3379C">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olor w:val="auto"/>
                      <w:highlight w:val="none"/>
                      <w:u w:val="none" w:color="auto"/>
                      <w:lang w:val="en-US" w:eastAsia="zh-CN"/>
                    </w:rPr>
                    <w:t>废水总排口</w:t>
                  </w:r>
                </w:p>
              </w:tc>
              <w:tc>
                <w:tcPr>
                  <w:tcW w:w="1302" w:type="pct"/>
                  <w:tcBorders>
                    <w:top w:val="single" w:color="auto" w:sz="4" w:space="0"/>
                    <w:left w:val="single" w:color="auto" w:sz="4" w:space="0"/>
                    <w:bottom w:val="single" w:color="auto" w:sz="4" w:space="0"/>
                    <w:right w:val="single" w:color="auto" w:sz="4" w:space="0"/>
                  </w:tcBorders>
                  <w:shd w:val="clear" w:color="auto" w:fill="auto"/>
                  <w:vAlign w:val="center"/>
                </w:tcPr>
                <w:p w14:paraId="1E391212">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eastAsia" w:cs="Times New Roman"/>
                      <w:color w:val="auto"/>
                      <w:kern w:val="0"/>
                      <w:sz w:val="21"/>
                      <w:szCs w:val="21"/>
                      <w:highlight w:val="none"/>
                      <w:lang w:val="en-US" w:eastAsia="zh-CN"/>
                    </w:rPr>
                    <w:t>流量、</w:t>
                  </w:r>
                  <w:r>
                    <w:rPr>
                      <w:rFonts w:hint="default" w:ascii="Times New Roman" w:hAnsi="Times New Roman" w:eastAsia="宋体" w:cs="Times New Roman"/>
                      <w:color w:val="auto"/>
                      <w:kern w:val="0"/>
                      <w:sz w:val="21"/>
                      <w:szCs w:val="21"/>
                      <w:highlight w:val="none"/>
                      <w:lang w:val="en-US" w:eastAsia="zh-CN"/>
                    </w:rPr>
                    <w:t>pH值、</w:t>
                  </w:r>
                  <w:r>
                    <w:rPr>
                      <w:rFonts w:hint="default" w:ascii="Times New Roman" w:hAnsi="Times New Roman" w:eastAsia="宋体" w:cs="Times New Roman"/>
                      <w:color w:val="auto"/>
                      <w:kern w:val="0"/>
                      <w:sz w:val="21"/>
                      <w:szCs w:val="21"/>
                      <w:highlight w:val="none"/>
                    </w:rPr>
                    <w:t>SS、BOD</w:t>
                  </w:r>
                  <w:r>
                    <w:rPr>
                      <w:rFonts w:hint="default" w:ascii="Times New Roman" w:hAnsi="Times New Roman" w:eastAsia="宋体" w:cs="Times New Roman"/>
                      <w:color w:val="auto"/>
                      <w:kern w:val="0"/>
                      <w:sz w:val="21"/>
                      <w:szCs w:val="21"/>
                      <w:highlight w:val="none"/>
                      <w:vertAlign w:val="subscript"/>
                    </w:rPr>
                    <w:t>5</w:t>
                  </w:r>
                  <w:r>
                    <w:rPr>
                      <w:rFonts w:hint="default" w:ascii="Times New Roman" w:hAnsi="Times New Roman" w:eastAsia="宋体" w:cs="Times New Roman"/>
                      <w:color w:val="auto"/>
                      <w:kern w:val="0"/>
                      <w:sz w:val="21"/>
                      <w:szCs w:val="21"/>
                      <w:highlight w:val="none"/>
                    </w:rPr>
                    <w:t>、COD、NH</w:t>
                  </w:r>
                  <w:r>
                    <w:rPr>
                      <w:rFonts w:hint="default" w:ascii="Times New Roman" w:hAnsi="Times New Roman" w:eastAsia="宋体" w:cs="Times New Roman"/>
                      <w:color w:val="auto"/>
                      <w:kern w:val="0"/>
                      <w:sz w:val="21"/>
                      <w:szCs w:val="21"/>
                      <w:highlight w:val="none"/>
                      <w:vertAlign w:val="subscript"/>
                    </w:rPr>
                    <w:t>3</w:t>
                  </w:r>
                  <w:r>
                    <w:rPr>
                      <w:rFonts w:hint="default" w:ascii="Times New Roman" w:hAnsi="Times New Roman" w:eastAsia="宋体" w:cs="Times New Roman"/>
                      <w:color w:val="auto"/>
                      <w:kern w:val="0"/>
                      <w:sz w:val="21"/>
                      <w:szCs w:val="21"/>
                      <w:highlight w:val="none"/>
                    </w:rPr>
                    <w:t>-N</w:t>
                  </w:r>
                  <w:r>
                    <w:rPr>
                      <w:rStyle w:val="34"/>
                      <w:rFonts w:hint="default" w:ascii="Times New Roman" w:hAnsi="Times New Roman" w:eastAsia="宋体" w:cs="Times New Roman"/>
                      <w:color w:val="auto"/>
                      <w:kern w:val="0"/>
                      <w:sz w:val="21"/>
                      <w:szCs w:val="21"/>
                      <w:highlight w:val="none"/>
                      <w:lang w:eastAsia="zh-CN"/>
                    </w:rPr>
                    <w:t>、总磷、总氮</w:t>
                  </w:r>
                  <w:r>
                    <w:rPr>
                      <w:rStyle w:val="34"/>
                      <w:rFonts w:hint="eastAsia" w:cs="Times New Roman"/>
                      <w:color w:val="auto"/>
                      <w:kern w:val="0"/>
                      <w:sz w:val="21"/>
                      <w:szCs w:val="21"/>
                      <w:highlight w:val="none"/>
                      <w:lang w:eastAsia="zh-CN"/>
                    </w:rPr>
                    <w:t>、</w:t>
                  </w:r>
                  <w:r>
                    <w:rPr>
                      <w:rStyle w:val="34"/>
                      <w:rFonts w:hint="eastAsia" w:cs="Times New Roman"/>
                      <w:color w:val="auto"/>
                      <w:kern w:val="0"/>
                      <w:sz w:val="21"/>
                      <w:szCs w:val="21"/>
                      <w:highlight w:val="none"/>
                      <w:lang w:val="en-US" w:eastAsia="zh-CN"/>
                    </w:rPr>
                    <w:t>硫酸盐</w:t>
                  </w:r>
                </w:p>
              </w:tc>
              <w:tc>
                <w:tcPr>
                  <w:tcW w:w="812" w:type="pct"/>
                  <w:tcBorders>
                    <w:top w:val="single" w:color="auto" w:sz="4" w:space="0"/>
                    <w:left w:val="single" w:color="auto" w:sz="4" w:space="0"/>
                    <w:bottom w:val="single" w:color="auto" w:sz="4" w:space="0"/>
                    <w:right w:val="single" w:color="auto" w:sz="4" w:space="0"/>
                  </w:tcBorders>
                  <w:shd w:val="clear" w:color="auto" w:fill="auto"/>
                  <w:vAlign w:val="center"/>
                </w:tcPr>
                <w:p w14:paraId="2DD04A95">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r>
                    <w:rPr>
                      <w:rFonts w:hint="default"/>
                      <w:color w:val="auto"/>
                      <w:highlight w:val="none"/>
                      <w:u w:val="none" w:color="auto"/>
                      <w:lang w:val="en-US" w:eastAsia="zh-CN"/>
                    </w:rPr>
                    <w:t>1</w:t>
                  </w:r>
                  <w:r>
                    <w:rPr>
                      <w:rFonts w:hint="eastAsia"/>
                      <w:color w:val="auto"/>
                      <w:highlight w:val="none"/>
                      <w:u w:val="none" w:color="auto"/>
                      <w:lang w:val="en-US" w:eastAsia="zh-CN"/>
                    </w:rPr>
                    <w:t>次</w:t>
                  </w:r>
                  <w:r>
                    <w:rPr>
                      <w:rFonts w:hint="default"/>
                      <w:color w:val="auto"/>
                      <w:highlight w:val="none"/>
                      <w:u w:val="none" w:color="auto"/>
                      <w:lang w:val="en-US" w:eastAsia="zh-CN"/>
                    </w:rPr>
                    <w:t>/</w:t>
                  </w:r>
                  <w:r>
                    <w:rPr>
                      <w:rFonts w:hint="eastAsia"/>
                      <w:color w:val="auto"/>
                      <w:highlight w:val="none"/>
                      <w:u w:val="none" w:color="auto"/>
                      <w:lang w:val="en-US" w:eastAsia="zh-CN"/>
                    </w:rPr>
                    <w:t>半年</w:t>
                  </w:r>
                </w:p>
              </w:tc>
              <w:tc>
                <w:tcPr>
                  <w:tcW w:w="1522" w:type="pct"/>
                  <w:tcBorders>
                    <w:top w:val="single" w:color="auto" w:sz="4" w:space="0"/>
                    <w:left w:val="single" w:color="auto" w:sz="4" w:space="0"/>
                    <w:bottom w:val="single" w:color="auto" w:sz="4" w:space="0"/>
                    <w:right w:val="single" w:color="auto" w:sz="4" w:space="0"/>
                  </w:tcBorders>
                  <w:shd w:val="clear" w:color="auto" w:fill="auto"/>
                  <w:vAlign w:val="center"/>
                </w:tcPr>
                <w:p w14:paraId="391A71CB">
                  <w:pPr>
                    <w:pStyle w:val="37"/>
                    <w:keepNext w:val="0"/>
                    <w:keepLines w:val="0"/>
                    <w:suppressLineNumbers w:val="0"/>
                    <w:bidi w:val="0"/>
                    <w:spacing w:before="0" w:beforeAutospacing="0" w:after="0" w:afterAutospacing="0"/>
                    <w:ind w:left="0" w:right="0"/>
                    <w:rPr>
                      <w:rFonts w:hint="default"/>
                      <w:color w:val="auto"/>
                      <w:highlight w:val="none"/>
                      <w:u w:val="none" w:color="auto"/>
                      <w:lang w:val="en-US" w:eastAsia="zh-CN"/>
                    </w:rPr>
                  </w:pPr>
                </w:p>
              </w:tc>
            </w:tr>
          </w:tbl>
          <w:p w14:paraId="26235708">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4"/>
                <w:highlight w:val="none"/>
              </w:rPr>
            </w:pPr>
          </w:p>
          <w:p w14:paraId="4DCBAE19">
            <w:pPr>
              <w:keepNext w:val="0"/>
              <w:keepLines w:val="0"/>
              <w:numPr>
                <w:ilvl w:val="0"/>
                <w:numId w:val="0"/>
              </w:numPr>
              <w:suppressLineNumbers w:val="0"/>
              <w:spacing w:before="0" w:beforeAutospacing="0" w:after="0" w:afterAutospacing="0" w:line="360" w:lineRule="auto"/>
              <w:ind w:left="0" w:right="0"/>
              <w:rPr>
                <w:rFonts w:hint="default" w:ascii="Times New Roman" w:hAnsi="Times New Roman" w:eastAsia="宋体" w:cs="Times New Roman"/>
                <w:b/>
                <w:bCs/>
                <w:color w:val="auto"/>
                <w:sz w:val="24"/>
                <w:highlight w:val="none"/>
              </w:rPr>
            </w:pPr>
            <w:r>
              <w:rPr>
                <w:rFonts w:hint="eastAsia" w:cs="Times New Roman"/>
                <w:b/>
                <w:bCs/>
                <w:color w:val="auto"/>
                <w:sz w:val="24"/>
                <w:highlight w:val="none"/>
                <w:lang w:val="en-US" w:eastAsia="zh-CN"/>
              </w:rPr>
              <w:t>9</w:t>
            </w:r>
            <w:r>
              <w:rPr>
                <w:rFonts w:hint="default" w:ascii="Times New Roman" w:hAnsi="Times New Roman" w:eastAsia="宋体" w:cs="Times New Roman"/>
                <w:b/>
                <w:bCs/>
                <w:color w:val="auto"/>
                <w:sz w:val="24"/>
                <w:highlight w:val="none"/>
                <w:lang w:val="en-US" w:eastAsia="zh-CN"/>
              </w:rPr>
              <w:t>、</w:t>
            </w:r>
            <w:r>
              <w:rPr>
                <w:rFonts w:hint="default" w:ascii="Times New Roman" w:hAnsi="Times New Roman" w:eastAsia="宋体" w:cs="Times New Roman"/>
                <w:b/>
                <w:bCs/>
                <w:color w:val="auto"/>
                <w:sz w:val="24"/>
                <w:highlight w:val="none"/>
              </w:rPr>
              <w:t>环保投资估算</w:t>
            </w:r>
          </w:p>
          <w:p w14:paraId="1AFA406F">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eastAsia" w:ascii="Times New Roman" w:hAnsi="Times New Roman" w:eastAsia="宋体" w:cs="宋体"/>
                <w:color w:val="auto"/>
                <w:kern w:val="2"/>
                <w:sz w:val="24"/>
                <w:szCs w:val="32"/>
                <w:highlight w:val="none"/>
                <w:u w:val="none" w:color="auto"/>
                <w:lang w:val="en-US" w:eastAsia="zh-CN" w:bidi="ar"/>
              </w:rPr>
              <w:t>本项目总投资</w:t>
            </w:r>
            <w:r>
              <w:rPr>
                <w:rFonts w:hint="eastAsia" w:ascii="Times New Roman" w:hAnsi="Times New Roman" w:cs="宋体"/>
                <w:color w:val="auto"/>
                <w:kern w:val="2"/>
                <w:sz w:val="24"/>
                <w:szCs w:val="32"/>
                <w:highlight w:val="none"/>
                <w:u w:val="none" w:color="auto"/>
                <w:lang w:val="en-US" w:eastAsia="zh-CN" w:bidi="ar"/>
              </w:rPr>
              <w:t>2600</w:t>
            </w:r>
            <w:r>
              <w:rPr>
                <w:rFonts w:hint="eastAsia" w:ascii="Times New Roman" w:hAnsi="Times New Roman" w:eastAsia="宋体" w:cs="宋体"/>
                <w:color w:val="auto"/>
                <w:kern w:val="2"/>
                <w:sz w:val="24"/>
                <w:szCs w:val="32"/>
                <w:highlight w:val="none"/>
                <w:u w:val="none" w:color="auto"/>
                <w:lang w:val="en-US" w:eastAsia="zh-CN" w:bidi="ar"/>
              </w:rPr>
              <w:t>万元，其中环保投资</w:t>
            </w:r>
            <w:r>
              <w:rPr>
                <w:rFonts w:hint="eastAsia" w:ascii="Times New Roman" w:hAnsi="Times New Roman" w:cs="宋体"/>
                <w:color w:val="auto"/>
                <w:kern w:val="2"/>
                <w:sz w:val="24"/>
                <w:szCs w:val="32"/>
                <w:highlight w:val="none"/>
                <w:u w:val="none" w:color="auto"/>
                <w:lang w:val="en-US" w:eastAsia="zh-CN" w:bidi="ar"/>
              </w:rPr>
              <w:t>约为</w:t>
            </w:r>
            <w:r>
              <w:rPr>
                <w:rFonts w:hint="eastAsia" w:cs="Times New Roman"/>
                <w:color w:val="auto"/>
                <w:kern w:val="2"/>
                <w:sz w:val="24"/>
                <w:szCs w:val="32"/>
                <w:highlight w:val="none"/>
                <w:u w:val="none" w:color="auto"/>
                <w:lang w:val="en-US" w:eastAsia="zh-CN" w:bidi="ar"/>
              </w:rPr>
              <w:t>255</w:t>
            </w:r>
            <w:r>
              <w:rPr>
                <w:rFonts w:hint="eastAsia" w:ascii="Times New Roman" w:hAnsi="Times New Roman" w:eastAsia="宋体" w:cs="宋体"/>
                <w:color w:val="auto"/>
                <w:kern w:val="2"/>
                <w:sz w:val="24"/>
                <w:szCs w:val="32"/>
                <w:highlight w:val="none"/>
                <w:u w:val="none" w:color="auto"/>
                <w:lang w:val="en-US" w:eastAsia="zh-CN" w:bidi="ar"/>
              </w:rPr>
              <w:t>万元，占项目总投资</w:t>
            </w:r>
            <w:r>
              <w:rPr>
                <w:rFonts w:hint="eastAsia" w:cs="Times New Roman"/>
                <w:color w:val="auto"/>
                <w:kern w:val="2"/>
                <w:sz w:val="24"/>
                <w:szCs w:val="32"/>
                <w:highlight w:val="none"/>
                <w:u w:val="none" w:color="auto"/>
                <w:lang w:val="en-US" w:eastAsia="zh-CN" w:bidi="ar"/>
              </w:rPr>
              <w:t>9.8</w:t>
            </w:r>
            <w:r>
              <w:rPr>
                <w:rFonts w:hint="default" w:ascii="Times New Roman" w:hAnsi="Times New Roman" w:eastAsia="宋体" w:cs="Times New Roman"/>
                <w:color w:val="auto"/>
                <w:kern w:val="2"/>
                <w:sz w:val="24"/>
                <w:szCs w:val="32"/>
                <w:highlight w:val="none"/>
                <w:u w:val="none" w:color="auto"/>
                <w:lang w:val="en-US" w:eastAsia="zh-CN" w:bidi="ar"/>
              </w:rPr>
              <w:t>%</w:t>
            </w:r>
            <w:r>
              <w:rPr>
                <w:rFonts w:hint="default" w:ascii="Times New Roman" w:hAnsi="Times New Roman" w:eastAsia="宋体" w:cs="Times New Roman"/>
                <w:color w:val="auto"/>
                <w:sz w:val="24"/>
                <w:highlight w:val="none"/>
              </w:rPr>
              <w:t>本项目环保投资见下表。</w:t>
            </w:r>
          </w:p>
          <w:p w14:paraId="052F9080">
            <w:pPr>
              <w:pStyle w:val="111"/>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textAlignment w:val="auto"/>
              <w:rPr>
                <w:rFonts w:hint="default" w:ascii="Times New Roman" w:hAnsi="Times New Roman" w:eastAsia="宋体" w:cs="宋体"/>
                <w:b/>
                <w:bCs/>
                <w:color w:val="auto"/>
                <w:kern w:val="2"/>
                <w:sz w:val="21"/>
                <w:szCs w:val="21"/>
                <w:highlight w:val="none"/>
                <w:u w:val="none" w:color="auto"/>
                <w:lang w:val="en-US" w:eastAsia="zh-CN" w:bidi="ar"/>
              </w:rPr>
            </w:pPr>
            <w:r>
              <w:rPr>
                <w:rFonts w:hint="default" w:ascii="Times New Roman" w:hAnsi="Times New Roman" w:eastAsia="宋体" w:cs="宋体"/>
                <w:b/>
                <w:bCs/>
                <w:color w:val="auto"/>
                <w:kern w:val="2"/>
                <w:sz w:val="21"/>
                <w:szCs w:val="21"/>
                <w:highlight w:val="none"/>
                <w:u w:val="none" w:color="auto"/>
                <w:lang w:val="en-US" w:eastAsia="zh-CN" w:bidi="ar"/>
              </w:rPr>
              <w:t>表</w:t>
            </w:r>
            <w:r>
              <w:rPr>
                <w:rFonts w:hint="eastAsia" w:ascii="Times New Roman" w:hAnsi="Times New Roman" w:eastAsia="宋体" w:cs="宋体"/>
                <w:b/>
                <w:bCs/>
                <w:color w:val="auto"/>
                <w:kern w:val="2"/>
                <w:sz w:val="21"/>
                <w:szCs w:val="21"/>
                <w:highlight w:val="none"/>
                <w:u w:val="none" w:color="auto"/>
                <w:lang w:val="en-US" w:eastAsia="zh-CN" w:bidi="ar"/>
              </w:rPr>
              <w:t>4-2</w:t>
            </w:r>
            <w:r>
              <w:rPr>
                <w:rFonts w:hint="eastAsia" w:cs="宋体"/>
                <w:b/>
                <w:bCs/>
                <w:color w:val="auto"/>
                <w:kern w:val="2"/>
                <w:sz w:val="21"/>
                <w:szCs w:val="21"/>
                <w:highlight w:val="none"/>
                <w:u w:val="none" w:color="auto"/>
                <w:lang w:val="en-US" w:eastAsia="zh-CN" w:bidi="ar"/>
              </w:rPr>
              <w:t>7</w:t>
            </w:r>
            <w:r>
              <w:rPr>
                <w:rFonts w:hint="default" w:ascii="Times New Roman" w:hAnsi="Times New Roman" w:eastAsia="宋体" w:cs="宋体"/>
                <w:b/>
                <w:bCs/>
                <w:color w:val="auto"/>
                <w:kern w:val="2"/>
                <w:sz w:val="21"/>
                <w:szCs w:val="21"/>
                <w:highlight w:val="none"/>
                <w:u w:val="none" w:color="auto"/>
                <w:lang w:val="en-US" w:eastAsia="zh-CN" w:bidi="ar"/>
              </w:rPr>
              <w:t xml:space="preserve">   污染治理投资估算</w:t>
            </w:r>
          </w:p>
          <w:tbl>
            <w:tblPr>
              <w:tblStyle w:val="28"/>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2"/>
              <w:gridCol w:w="5928"/>
              <w:gridCol w:w="1254"/>
            </w:tblGrid>
            <w:tr w14:paraId="5EDDE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146" w:type="dxa"/>
                  <w:vAlign w:val="center"/>
                </w:tcPr>
                <w:p w14:paraId="7C9FAD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u w:val="none"/>
                    </w:rPr>
                  </w:pPr>
                  <w:r>
                    <w:rPr>
                      <w:rFonts w:hint="default" w:ascii="Times New Roman" w:hAnsi="Times New Roman" w:eastAsia="宋体" w:cs="Times New Roman"/>
                      <w:b/>
                      <w:bCs/>
                      <w:color w:val="auto"/>
                      <w:sz w:val="21"/>
                      <w:szCs w:val="21"/>
                      <w:highlight w:val="none"/>
                      <w:u w:val="none"/>
                    </w:rPr>
                    <w:t>项目</w:t>
                  </w:r>
                </w:p>
              </w:tc>
              <w:tc>
                <w:tcPr>
                  <w:tcW w:w="5898" w:type="dxa"/>
                  <w:vAlign w:val="center"/>
                </w:tcPr>
                <w:p w14:paraId="286A40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u w:val="none"/>
                    </w:rPr>
                  </w:pPr>
                  <w:r>
                    <w:rPr>
                      <w:rFonts w:hint="default" w:ascii="Times New Roman" w:hAnsi="Times New Roman" w:eastAsia="宋体" w:cs="Times New Roman"/>
                      <w:b/>
                      <w:bCs/>
                      <w:color w:val="auto"/>
                      <w:sz w:val="21"/>
                      <w:szCs w:val="21"/>
                      <w:highlight w:val="none"/>
                      <w:u w:val="none"/>
                    </w:rPr>
                    <w:t>内容</w:t>
                  </w:r>
                </w:p>
              </w:tc>
              <w:tc>
                <w:tcPr>
                  <w:tcW w:w="1248" w:type="dxa"/>
                  <w:vAlign w:val="center"/>
                </w:tcPr>
                <w:p w14:paraId="1BB8A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u w:val="none"/>
                    </w:rPr>
                  </w:pPr>
                  <w:r>
                    <w:rPr>
                      <w:rFonts w:hint="default" w:ascii="Times New Roman" w:hAnsi="Times New Roman" w:eastAsia="宋体" w:cs="Times New Roman"/>
                      <w:b/>
                      <w:bCs/>
                      <w:color w:val="auto"/>
                      <w:sz w:val="21"/>
                      <w:szCs w:val="21"/>
                      <w:highlight w:val="none"/>
                      <w:u w:val="none"/>
                    </w:rPr>
                    <w:t>投资(万元)</w:t>
                  </w:r>
                </w:p>
              </w:tc>
            </w:tr>
            <w:tr w14:paraId="3D0B4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0" w:hRule="atLeast"/>
                <w:jc w:val="center"/>
              </w:trPr>
              <w:tc>
                <w:tcPr>
                  <w:tcW w:w="1146" w:type="dxa"/>
                  <w:vAlign w:val="center"/>
                </w:tcPr>
                <w:p w14:paraId="0F1FA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废气治理</w:t>
                  </w:r>
                </w:p>
              </w:tc>
              <w:tc>
                <w:tcPr>
                  <w:tcW w:w="5898" w:type="dxa"/>
                  <w:tcBorders>
                    <w:bottom w:val="single" w:color="auto" w:sz="4" w:space="0"/>
                  </w:tcBorders>
                  <w:vAlign w:val="center"/>
                </w:tcPr>
                <w:p w14:paraId="127E35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cs="Times New Roman"/>
                      <w:color w:val="auto"/>
                      <w:sz w:val="21"/>
                      <w:szCs w:val="21"/>
                      <w:highlight w:val="none"/>
                      <w:u w:val="none"/>
                      <w:lang w:val="en-US" w:eastAsia="zh-CN"/>
                    </w:rPr>
                    <w:t>旋风+布袋除尘+30m排气筒</w:t>
                  </w:r>
                </w:p>
              </w:tc>
              <w:tc>
                <w:tcPr>
                  <w:tcW w:w="1248" w:type="dxa"/>
                  <w:vAlign w:val="center"/>
                </w:tcPr>
                <w:p w14:paraId="0DBCC9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cs="Times New Roman"/>
                      <w:color w:val="auto"/>
                      <w:sz w:val="21"/>
                      <w:szCs w:val="21"/>
                      <w:highlight w:val="none"/>
                      <w:u w:val="none"/>
                      <w:lang w:val="en-US" w:eastAsia="zh-CN"/>
                    </w:rPr>
                    <w:t>30</w:t>
                  </w:r>
                </w:p>
              </w:tc>
            </w:tr>
            <w:tr w14:paraId="04A4E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146" w:type="dxa"/>
                  <w:vAlign w:val="center"/>
                </w:tcPr>
                <w:p w14:paraId="03D340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废水治理</w:t>
                  </w:r>
                </w:p>
              </w:tc>
              <w:tc>
                <w:tcPr>
                  <w:tcW w:w="5898" w:type="dxa"/>
                  <w:tcBorders>
                    <w:bottom w:val="single" w:color="auto" w:sz="4" w:space="0"/>
                  </w:tcBorders>
                  <w:vAlign w:val="center"/>
                </w:tcPr>
                <w:p w14:paraId="6BE0AC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eastAsia="zh-CN"/>
                    </w:rPr>
                    <w:t>化粪池、</w:t>
                  </w:r>
                  <w:r>
                    <w:rPr>
                      <w:rFonts w:hint="eastAsia" w:cs="Times New Roman"/>
                      <w:color w:val="auto"/>
                      <w:sz w:val="21"/>
                      <w:szCs w:val="21"/>
                      <w:highlight w:val="none"/>
                      <w:u w:val="none"/>
                      <w:lang w:val="en-US" w:eastAsia="zh-CN"/>
                    </w:rPr>
                    <w:t>污水处理站、污水管网、车间废水收集暂存桶</w:t>
                  </w:r>
                  <w:r>
                    <w:rPr>
                      <w:rFonts w:hint="default" w:ascii="Times New Roman" w:hAnsi="Times New Roman" w:eastAsia="宋体" w:cs="Times New Roman"/>
                      <w:color w:val="auto"/>
                      <w:sz w:val="21"/>
                      <w:szCs w:val="21"/>
                      <w:highlight w:val="none"/>
                      <w:u w:val="none"/>
                      <w:lang w:val="en-US" w:eastAsia="zh-CN"/>
                    </w:rPr>
                    <w:t>、</w:t>
                  </w:r>
                  <w:r>
                    <w:rPr>
                      <w:rFonts w:hint="default" w:ascii="Times New Roman" w:hAnsi="Times New Roman" w:eastAsia="宋体" w:cs="Times New Roman"/>
                      <w:color w:val="auto"/>
                      <w:sz w:val="21"/>
                      <w:szCs w:val="21"/>
                      <w:highlight w:val="none"/>
                      <w:u w:val="none"/>
                      <w:lang w:eastAsia="zh-CN"/>
                    </w:rPr>
                    <w:t>车间内的废水收集沟</w:t>
                  </w:r>
                  <w:r>
                    <w:rPr>
                      <w:rFonts w:hint="default" w:ascii="Times New Roman" w:hAnsi="Times New Roman" w:eastAsia="宋体" w:cs="Times New Roman"/>
                      <w:color w:val="auto"/>
                      <w:sz w:val="21"/>
                      <w:szCs w:val="21"/>
                      <w:highlight w:val="none"/>
                      <w:u w:val="none"/>
                      <w:lang w:val="en-US" w:eastAsia="zh-CN"/>
                    </w:rPr>
                    <w:t>等</w:t>
                  </w:r>
                </w:p>
              </w:tc>
              <w:tc>
                <w:tcPr>
                  <w:tcW w:w="1248" w:type="dxa"/>
                  <w:vAlign w:val="center"/>
                </w:tcPr>
                <w:p w14:paraId="25B3CE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cs="Times New Roman"/>
                      <w:color w:val="auto"/>
                      <w:sz w:val="21"/>
                      <w:szCs w:val="21"/>
                      <w:highlight w:val="none"/>
                      <w:u w:val="none"/>
                      <w:lang w:val="en-US" w:eastAsia="zh-CN"/>
                    </w:rPr>
                    <w:t>200</w:t>
                  </w:r>
                </w:p>
              </w:tc>
            </w:tr>
            <w:tr w14:paraId="7C41D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146" w:type="dxa"/>
                  <w:vAlign w:val="center"/>
                </w:tcPr>
                <w:p w14:paraId="02AD6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噪声治理</w:t>
                  </w:r>
                </w:p>
              </w:tc>
              <w:tc>
                <w:tcPr>
                  <w:tcW w:w="5898" w:type="dxa"/>
                  <w:vAlign w:val="center"/>
                </w:tcPr>
                <w:p w14:paraId="6BB52E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隔声降噪减震措施</w:t>
                  </w:r>
                </w:p>
              </w:tc>
              <w:tc>
                <w:tcPr>
                  <w:tcW w:w="1248" w:type="dxa"/>
                  <w:vMerge w:val="restart"/>
                  <w:vAlign w:val="center"/>
                </w:tcPr>
                <w:p w14:paraId="40DB4C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5</w:t>
                  </w:r>
                </w:p>
              </w:tc>
            </w:tr>
            <w:tr w14:paraId="0EF04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1146" w:type="dxa"/>
                  <w:vAlign w:val="center"/>
                </w:tcPr>
                <w:p w14:paraId="176B1E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固废处置</w:t>
                  </w:r>
                </w:p>
              </w:tc>
              <w:tc>
                <w:tcPr>
                  <w:tcW w:w="5898" w:type="dxa"/>
                  <w:vAlign w:val="center"/>
                </w:tcPr>
                <w:p w14:paraId="04FF02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bCs/>
                      <w:color w:val="auto"/>
                      <w:sz w:val="21"/>
                      <w:szCs w:val="21"/>
                      <w:highlight w:val="none"/>
                      <w:u w:val="none"/>
                    </w:rPr>
                    <w:t>垃圾箱</w:t>
                  </w:r>
                  <w:r>
                    <w:rPr>
                      <w:rFonts w:hint="eastAsia" w:cs="Times New Roman"/>
                      <w:bCs/>
                      <w:color w:val="auto"/>
                      <w:sz w:val="21"/>
                      <w:szCs w:val="21"/>
                      <w:highlight w:val="none"/>
                      <w:u w:val="none"/>
                      <w:lang w:eastAsia="zh-CN"/>
                    </w:rPr>
                    <w:t>、</w:t>
                  </w:r>
                  <w:r>
                    <w:rPr>
                      <w:rFonts w:hint="eastAsia" w:cs="Times New Roman"/>
                      <w:bCs/>
                      <w:color w:val="auto"/>
                      <w:sz w:val="21"/>
                      <w:szCs w:val="21"/>
                      <w:highlight w:val="none"/>
                      <w:u w:val="none"/>
                      <w:lang w:val="en-US" w:eastAsia="zh-CN"/>
                    </w:rPr>
                    <w:t>危废暂存间</w:t>
                  </w:r>
                </w:p>
              </w:tc>
              <w:tc>
                <w:tcPr>
                  <w:tcW w:w="1248" w:type="dxa"/>
                  <w:vMerge w:val="continue"/>
                  <w:vAlign w:val="center"/>
                </w:tcPr>
                <w:p w14:paraId="1CA61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u w:val="none"/>
                    </w:rPr>
                  </w:pPr>
                </w:p>
              </w:tc>
            </w:tr>
            <w:tr w14:paraId="141E3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1146" w:type="dxa"/>
                  <w:vAlign w:val="center"/>
                </w:tcPr>
                <w:p w14:paraId="2A3AF4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highlight w:val="none"/>
                      <w:u w:val="none"/>
                      <w:lang w:val="en-US" w:eastAsia="zh-CN"/>
                    </w:rPr>
                  </w:pPr>
                  <w:r>
                    <w:rPr>
                      <w:rFonts w:hint="eastAsia" w:cs="Times New Roman"/>
                      <w:color w:val="auto"/>
                      <w:sz w:val="21"/>
                      <w:szCs w:val="21"/>
                      <w:highlight w:val="none"/>
                      <w:u w:val="none"/>
                      <w:lang w:val="en-US" w:eastAsia="zh-CN"/>
                    </w:rPr>
                    <w:t>风险</w:t>
                  </w:r>
                </w:p>
              </w:tc>
              <w:tc>
                <w:tcPr>
                  <w:tcW w:w="5898" w:type="dxa"/>
                  <w:vAlign w:val="center"/>
                </w:tcPr>
                <w:p w14:paraId="2E5A45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highlight w:val="none"/>
                      <w:u w:val="none"/>
                      <w:lang w:val="en-US" w:eastAsia="zh-CN"/>
                    </w:rPr>
                  </w:pPr>
                  <w:r>
                    <w:rPr>
                      <w:rFonts w:hint="eastAsia" w:cs="Times New Roman"/>
                      <w:bCs/>
                      <w:color w:val="auto"/>
                      <w:sz w:val="21"/>
                      <w:szCs w:val="21"/>
                      <w:highlight w:val="none"/>
                      <w:u w:val="none"/>
                      <w:lang w:val="en-US" w:eastAsia="zh-CN"/>
                    </w:rPr>
                    <w:t>1座事故应急池（260m</w:t>
                  </w:r>
                  <w:r>
                    <w:rPr>
                      <w:rFonts w:hint="eastAsia" w:cs="Times New Roman"/>
                      <w:bCs/>
                      <w:color w:val="auto"/>
                      <w:sz w:val="21"/>
                      <w:szCs w:val="21"/>
                      <w:highlight w:val="none"/>
                      <w:u w:val="none"/>
                      <w:vertAlign w:val="superscript"/>
                      <w:lang w:val="en-US" w:eastAsia="zh-CN"/>
                    </w:rPr>
                    <w:t>3</w:t>
                  </w:r>
                  <w:r>
                    <w:rPr>
                      <w:rFonts w:hint="eastAsia" w:cs="Times New Roman"/>
                      <w:bCs/>
                      <w:color w:val="auto"/>
                      <w:sz w:val="21"/>
                      <w:szCs w:val="21"/>
                      <w:highlight w:val="none"/>
                      <w:u w:val="none"/>
                      <w:lang w:val="en-US" w:eastAsia="zh-CN"/>
                    </w:rPr>
                    <w:t>）</w:t>
                  </w:r>
                </w:p>
              </w:tc>
              <w:tc>
                <w:tcPr>
                  <w:tcW w:w="1248" w:type="dxa"/>
                  <w:vAlign w:val="center"/>
                </w:tcPr>
                <w:p w14:paraId="53F2CD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cs="Times New Roman"/>
                      <w:color w:val="auto"/>
                      <w:sz w:val="21"/>
                      <w:szCs w:val="21"/>
                      <w:highlight w:val="none"/>
                      <w:u w:val="none"/>
                      <w:lang w:val="en-US" w:eastAsia="zh-CN"/>
                    </w:rPr>
                    <w:t>20</w:t>
                  </w:r>
                </w:p>
              </w:tc>
            </w:tr>
            <w:tr w14:paraId="7FD24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7044" w:type="dxa"/>
                  <w:gridSpan w:val="2"/>
                  <w:vAlign w:val="center"/>
                </w:tcPr>
                <w:p w14:paraId="57752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合    计</w:t>
                  </w:r>
                </w:p>
              </w:tc>
              <w:tc>
                <w:tcPr>
                  <w:tcW w:w="1248" w:type="dxa"/>
                  <w:vAlign w:val="center"/>
                </w:tcPr>
                <w:p w14:paraId="04E0FF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cs="Times New Roman"/>
                      <w:color w:val="auto"/>
                      <w:sz w:val="21"/>
                      <w:szCs w:val="21"/>
                      <w:highlight w:val="none"/>
                      <w:u w:val="none"/>
                      <w:lang w:val="en-US" w:eastAsia="zh-CN"/>
                    </w:rPr>
                    <w:t>255</w:t>
                  </w:r>
                </w:p>
              </w:tc>
            </w:tr>
          </w:tbl>
          <w:p w14:paraId="16ECA8A9">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p w14:paraId="20810314">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p w14:paraId="44A62036">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p w14:paraId="50C9A4D1">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p w14:paraId="53CD9598">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p w14:paraId="2F1BCBDF">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p w14:paraId="6B040879">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p w14:paraId="0C8FBE1E">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p w14:paraId="539640C9">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p w14:paraId="5BDB1E91">
            <w:pPr>
              <w:pStyle w:val="106"/>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14:textFill>
                  <w14:solidFill>
                    <w14:schemeClr w14:val="tx1"/>
                  </w14:solidFill>
                </w14:textFill>
              </w:rPr>
            </w:pPr>
          </w:p>
        </w:tc>
      </w:tr>
    </w:tbl>
    <w:p w14:paraId="6DEBDC8F">
      <w:pPr>
        <w:bidi w:val="0"/>
        <w:rPr>
          <w:rFonts w:hint="eastAsia"/>
        </w:rPr>
      </w:pPr>
    </w:p>
    <w:p w14:paraId="4FC5FDAC">
      <w:pPr>
        <w:adjustRightInd w:val="0"/>
        <w:snapToGrid w:val="0"/>
        <w:spacing w:line="360" w:lineRule="auto"/>
        <w:rPr>
          <w:rFonts w:hint="eastAsia" w:ascii="宋体" w:cs="宋体"/>
          <w:b/>
          <w:color w:val="auto"/>
          <w:kern w:val="0"/>
          <w:sz w:val="28"/>
          <w:szCs w:val="28"/>
          <w:highlight w:val="yellow"/>
        </w:rPr>
        <w:sectPr>
          <w:pgSz w:w="11907" w:h="16840"/>
          <w:pgMar w:top="1701" w:right="1531" w:bottom="2127"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4D70B907">
      <w:pPr>
        <w:pStyle w:val="24"/>
        <w:jc w:val="center"/>
        <w:outlineLvl w:val="0"/>
        <w:rPr>
          <w:rFonts w:ascii="黑体" w:hAnsi="黑体" w:eastAsia="黑体"/>
          <w:snapToGrid w:val="0"/>
          <w:color w:val="auto"/>
          <w:sz w:val="32"/>
          <w:szCs w:val="32"/>
          <w:highlight w:val="yellow"/>
        </w:rPr>
      </w:pPr>
      <w:bookmarkStart w:id="35" w:name="_Toc28415"/>
      <w:r>
        <w:rPr>
          <w:rFonts w:hint="eastAsia" w:ascii="黑体" w:hAnsi="黑体" w:eastAsia="黑体"/>
          <w:snapToGrid w:val="0"/>
          <w:color w:val="auto"/>
          <w:sz w:val="32"/>
          <w:szCs w:val="32"/>
          <w:highlight w:val="none"/>
        </w:rPr>
        <w:t>五、</w:t>
      </w:r>
      <w:bookmarkStart w:id="36" w:name="_Hlk54167917"/>
      <w:r>
        <w:rPr>
          <w:rFonts w:hint="eastAsia" w:ascii="黑体" w:hAnsi="黑体" w:eastAsia="黑体"/>
          <w:snapToGrid w:val="0"/>
          <w:color w:val="auto"/>
          <w:sz w:val="32"/>
          <w:szCs w:val="32"/>
          <w:highlight w:val="none"/>
        </w:rPr>
        <w:t>环境保护措施监督检查清单</w:t>
      </w:r>
      <w:bookmarkEnd w:id="35"/>
      <w:bookmarkEnd w:id="36"/>
    </w:p>
    <w:tbl>
      <w:tblPr>
        <w:tblStyle w:val="28"/>
        <w:tblW w:w="4965"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363"/>
        <w:gridCol w:w="833"/>
        <w:gridCol w:w="1186"/>
        <w:gridCol w:w="1371"/>
        <w:gridCol w:w="2003"/>
        <w:gridCol w:w="2242"/>
      </w:tblGrid>
      <w:tr w14:paraId="274780D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tcBorders>
              <w:top w:val="single" w:color="auto" w:sz="8" w:space="0"/>
              <w:left w:val="single" w:color="auto" w:sz="8" w:space="0"/>
              <w:bottom w:val="single" w:color="auto" w:sz="4" w:space="0"/>
              <w:right w:val="single" w:color="auto" w:sz="4" w:space="0"/>
              <w:tl2br w:val="single" w:color="auto" w:sz="4" w:space="0"/>
            </w:tcBorders>
            <w:shd w:val="clear" w:color="auto" w:fill="auto"/>
            <w:vAlign w:val="top"/>
          </w:tcPr>
          <w:p w14:paraId="39A562D5">
            <w:pPr>
              <w:pStyle w:val="37"/>
              <w:keepNext w:val="0"/>
              <w:keepLines w:val="0"/>
              <w:suppressLineNumbers w:val="0"/>
              <w:bidi w:val="0"/>
              <w:spacing w:before="0" w:beforeAutospacing="0" w:after="0" w:afterAutospacing="0"/>
              <w:ind w:left="0" w:right="0"/>
              <w:jc w:val="right"/>
              <w:rPr>
                <w:rFonts w:hint="default"/>
                <w:b/>
                <w:bCs/>
                <w:color w:val="auto"/>
                <w:sz w:val="24"/>
                <w:szCs w:val="24"/>
                <w:highlight w:val="none"/>
                <w:lang w:val="en-US"/>
              </w:rPr>
            </w:pPr>
            <w:r>
              <w:rPr>
                <w:rFonts w:hint="eastAsia"/>
                <w:b/>
                <w:bCs/>
                <w:color w:val="auto"/>
                <w:sz w:val="24"/>
                <w:szCs w:val="24"/>
                <w:highlight w:val="none"/>
                <w:lang w:val="en-US" w:eastAsia="zh-CN"/>
              </w:rPr>
              <w:t>内容</w:t>
            </w:r>
          </w:p>
          <w:p w14:paraId="71DC6EA9">
            <w:pPr>
              <w:pStyle w:val="37"/>
              <w:keepNext w:val="0"/>
              <w:keepLines w:val="0"/>
              <w:suppressLineNumbers w:val="0"/>
              <w:bidi w:val="0"/>
              <w:spacing w:before="0" w:beforeAutospacing="0" w:after="0" w:afterAutospacing="0"/>
              <w:ind w:left="0" w:right="0"/>
              <w:jc w:val="left"/>
              <w:rPr>
                <w:rFonts w:hint="default"/>
                <w:b/>
                <w:bCs/>
                <w:color w:val="auto"/>
                <w:sz w:val="24"/>
                <w:szCs w:val="24"/>
                <w:highlight w:val="none"/>
                <w:lang w:val="en-US"/>
              </w:rPr>
            </w:pPr>
            <w:r>
              <w:rPr>
                <w:rFonts w:hint="eastAsia"/>
                <w:b/>
                <w:bCs/>
                <w:color w:val="auto"/>
                <w:sz w:val="24"/>
                <w:szCs w:val="24"/>
                <w:highlight w:val="none"/>
                <w:lang w:val="en-US" w:eastAsia="zh-CN"/>
              </w:rPr>
              <w:t>要素</w:t>
            </w:r>
          </w:p>
        </w:tc>
        <w:tc>
          <w:tcPr>
            <w:tcW w:w="1121" w:type="pct"/>
            <w:gridSpan w:val="2"/>
            <w:tcBorders>
              <w:top w:val="single" w:color="auto" w:sz="8" w:space="0"/>
              <w:left w:val="single" w:color="auto" w:sz="4" w:space="0"/>
              <w:bottom w:val="single" w:color="auto" w:sz="4" w:space="0"/>
              <w:right w:val="single" w:color="auto" w:sz="4" w:space="0"/>
            </w:tcBorders>
            <w:shd w:val="clear" w:color="auto" w:fill="auto"/>
            <w:vAlign w:val="center"/>
          </w:tcPr>
          <w:p w14:paraId="753C630A">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排放口</w:t>
            </w:r>
            <w:r>
              <w:rPr>
                <w:rFonts w:hint="default"/>
                <w:b/>
                <w:bCs/>
                <w:color w:val="auto"/>
                <w:sz w:val="24"/>
                <w:szCs w:val="24"/>
                <w:highlight w:val="none"/>
                <w:lang w:val="en-US" w:eastAsia="zh-CN"/>
              </w:rPr>
              <w:t>(</w:t>
            </w:r>
            <w:r>
              <w:rPr>
                <w:rFonts w:hint="eastAsia"/>
                <w:b/>
                <w:bCs/>
                <w:color w:val="auto"/>
                <w:sz w:val="24"/>
                <w:szCs w:val="24"/>
                <w:highlight w:val="none"/>
                <w:lang w:val="en-US" w:eastAsia="zh-CN"/>
              </w:rPr>
              <w:t>编号、名称</w:t>
            </w:r>
            <w:r>
              <w:rPr>
                <w:rFonts w:hint="default"/>
                <w:b/>
                <w:bCs/>
                <w:color w:val="auto"/>
                <w:sz w:val="24"/>
                <w:szCs w:val="24"/>
                <w:highlight w:val="none"/>
                <w:lang w:val="en-US" w:eastAsia="zh-CN"/>
              </w:rPr>
              <w:t>)/</w:t>
            </w:r>
            <w:r>
              <w:rPr>
                <w:rFonts w:hint="eastAsia"/>
                <w:b/>
                <w:bCs/>
                <w:color w:val="auto"/>
                <w:sz w:val="24"/>
                <w:szCs w:val="24"/>
                <w:highlight w:val="none"/>
                <w:lang w:val="en-US" w:eastAsia="zh-CN"/>
              </w:rPr>
              <w:t>污染源</w:t>
            </w:r>
          </w:p>
        </w:tc>
        <w:tc>
          <w:tcPr>
            <w:tcW w:w="761" w:type="pct"/>
            <w:tcBorders>
              <w:top w:val="single" w:color="auto" w:sz="8" w:space="0"/>
              <w:left w:val="single" w:color="auto" w:sz="4" w:space="0"/>
              <w:bottom w:val="single" w:color="auto" w:sz="4" w:space="0"/>
              <w:right w:val="single" w:color="auto" w:sz="4" w:space="0"/>
            </w:tcBorders>
            <w:shd w:val="clear" w:color="auto" w:fill="auto"/>
            <w:vAlign w:val="center"/>
          </w:tcPr>
          <w:p w14:paraId="7FCB3EC3">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污染物项目</w:t>
            </w:r>
          </w:p>
        </w:tc>
        <w:tc>
          <w:tcPr>
            <w:tcW w:w="1113" w:type="pct"/>
            <w:tcBorders>
              <w:top w:val="single" w:color="auto" w:sz="8" w:space="0"/>
              <w:left w:val="single" w:color="auto" w:sz="4" w:space="0"/>
              <w:bottom w:val="single" w:color="auto" w:sz="4" w:space="0"/>
              <w:right w:val="single" w:color="auto" w:sz="4" w:space="0"/>
            </w:tcBorders>
            <w:shd w:val="clear" w:color="auto" w:fill="auto"/>
            <w:vAlign w:val="center"/>
          </w:tcPr>
          <w:p w14:paraId="0D42338C">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环境保护措施</w:t>
            </w:r>
          </w:p>
        </w:tc>
        <w:tc>
          <w:tcPr>
            <w:tcW w:w="1245" w:type="pct"/>
            <w:tcBorders>
              <w:top w:val="single" w:color="auto" w:sz="8" w:space="0"/>
              <w:left w:val="single" w:color="auto" w:sz="4" w:space="0"/>
              <w:bottom w:val="single" w:color="auto" w:sz="4" w:space="0"/>
              <w:right w:val="single" w:color="auto" w:sz="8" w:space="0"/>
            </w:tcBorders>
            <w:shd w:val="clear" w:color="auto" w:fill="auto"/>
            <w:vAlign w:val="center"/>
          </w:tcPr>
          <w:p w14:paraId="4E6D9D9C">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执行标准</w:t>
            </w:r>
          </w:p>
        </w:tc>
      </w:tr>
      <w:tr w14:paraId="09D683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restart"/>
            <w:tcBorders>
              <w:top w:val="single" w:color="auto" w:sz="4" w:space="0"/>
              <w:left w:val="single" w:color="auto" w:sz="8" w:space="0"/>
              <w:right w:val="single" w:color="auto" w:sz="4" w:space="0"/>
            </w:tcBorders>
            <w:shd w:val="clear" w:color="auto" w:fill="auto"/>
            <w:vAlign w:val="center"/>
          </w:tcPr>
          <w:p w14:paraId="5ED0FEFB">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eastAsia="zh-CN"/>
              </w:rPr>
            </w:pPr>
            <w:r>
              <w:rPr>
                <w:rFonts w:hint="eastAsia"/>
                <w:b/>
                <w:bCs/>
                <w:color w:val="auto"/>
                <w:sz w:val="24"/>
                <w:szCs w:val="24"/>
                <w:highlight w:val="none"/>
                <w:lang w:val="en-US" w:eastAsia="zh-CN"/>
              </w:rPr>
              <w:t>大气环境</w:t>
            </w:r>
          </w:p>
        </w:tc>
        <w:tc>
          <w:tcPr>
            <w:tcW w:w="462" w:type="pct"/>
            <w:vMerge w:val="restart"/>
            <w:tcBorders>
              <w:top w:val="single" w:color="auto" w:sz="4" w:space="0"/>
              <w:left w:val="single" w:color="auto" w:sz="4" w:space="0"/>
              <w:right w:val="single" w:color="auto" w:sz="4" w:space="0"/>
            </w:tcBorders>
            <w:shd w:val="clear" w:color="auto" w:fill="auto"/>
            <w:vAlign w:val="center"/>
          </w:tcPr>
          <w:p w14:paraId="1A21C202">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DA001</w:t>
            </w:r>
          </w:p>
        </w:tc>
        <w:tc>
          <w:tcPr>
            <w:tcW w:w="659" w:type="pct"/>
            <w:vMerge w:val="restart"/>
            <w:tcBorders>
              <w:top w:val="single" w:color="auto" w:sz="4" w:space="0"/>
              <w:left w:val="single" w:color="auto" w:sz="4" w:space="0"/>
              <w:right w:val="single" w:color="auto" w:sz="4" w:space="0"/>
            </w:tcBorders>
            <w:shd w:val="clear" w:color="auto" w:fill="auto"/>
            <w:vAlign w:val="center"/>
          </w:tcPr>
          <w:p w14:paraId="70ECE6E7">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生物质锅炉燃烧废气</w:t>
            </w:r>
          </w:p>
        </w:tc>
        <w:tc>
          <w:tcPr>
            <w:tcW w:w="761" w:type="pct"/>
            <w:tcBorders>
              <w:top w:val="single" w:color="auto" w:sz="4" w:space="0"/>
              <w:left w:val="single" w:color="auto" w:sz="4" w:space="0"/>
              <w:bottom w:val="single" w:color="auto" w:sz="4" w:space="0"/>
              <w:right w:val="single" w:color="auto" w:sz="4" w:space="0"/>
            </w:tcBorders>
            <w:shd w:val="clear" w:color="auto" w:fill="auto"/>
            <w:vAlign w:val="center"/>
          </w:tcPr>
          <w:p w14:paraId="2BC4DA6B">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颗粒物</w:t>
            </w:r>
          </w:p>
        </w:tc>
        <w:tc>
          <w:tcPr>
            <w:tcW w:w="1113" w:type="pct"/>
            <w:vMerge w:val="restart"/>
            <w:tcBorders>
              <w:top w:val="single" w:color="auto" w:sz="4" w:space="0"/>
              <w:left w:val="single" w:color="auto" w:sz="4" w:space="0"/>
              <w:right w:val="single" w:color="auto" w:sz="4" w:space="0"/>
            </w:tcBorders>
            <w:shd w:val="clear" w:color="auto" w:fill="auto"/>
            <w:vAlign w:val="center"/>
          </w:tcPr>
          <w:p w14:paraId="2768EEFE">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旋风+布袋除尘+30m高排气筒（DA001）</w:t>
            </w:r>
          </w:p>
        </w:tc>
        <w:tc>
          <w:tcPr>
            <w:tcW w:w="1245" w:type="pct"/>
            <w:vMerge w:val="restart"/>
            <w:tcBorders>
              <w:top w:val="single" w:color="auto" w:sz="4" w:space="0"/>
              <w:left w:val="single" w:color="auto" w:sz="4" w:space="0"/>
              <w:right w:val="single" w:color="auto" w:sz="8" w:space="0"/>
            </w:tcBorders>
            <w:shd w:val="clear" w:color="auto" w:fill="auto"/>
            <w:vAlign w:val="center"/>
          </w:tcPr>
          <w:p w14:paraId="1F71EF36">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default"/>
                <w:color w:val="auto"/>
                <w:sz w:val="24"/>
                <w:szCs w:val="24"/>
                <w:highlight w:val="none"/>
                <w:lang w:val="en-US" w:eastAsia="zh-CN"/>
              </w:rPr>
              <w:t>参照</w:t>
            </w:r>
            <w:r>
              <w:rPr>
                <w:rFonts w:hint="default"/>
                <w:color w:val="auto"/>
                <w:sz w:val="24"/>
                <w:szCs w:val="24"/>
                <w:highlight w:val="none"/>
                <w:lang w:val="en-US"/>
              </w:rPr>
              <w:t>执行《锅炉大气污染物排放标准》（GB13271-2014）中表2燃煤锅炉标准</w:t>
            </w:r>
          </w:p>
        </w:tc>
      </w:tr>
      <w:tr w14:paraId="1AAC0F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continue"/>
            <w:tcBorders>
              <w:left w:val="single" w:color="auto" w:sz="8" w:space="0"/>
              <w:right w:val="single" w:color="auto" w:sz="4" w:space="0"/>
            </w:tcBorders>
            <w:shd w:val="clear" w:color="auto" w:fill="auto"/>
            <w:vAlign w:val="center"/>
          </w:tcPr>
          <w:p w14:paraId="5DC57FCA">
            <w:pPr>
              <w:pStyle w:val="37"/>
              <w:keepNext w:val="0"/>
              <w:keepLines w:val="0"/>
              <w:suppressLineNumbers w:val="0"/>
              <w:bidi w:val="0"/>
              <w:spacing w:before="0" w:beforeAutospacing="0" w:after="0" w:afterAutospacing="0"/>
              <w:ind w:left="0" w:right="0"/>
              <w:rPr>
                <w:rFonts w:hint="eastAsia"/>
                <w:b/>
                <w:bCs/>
                <w:color w:val="auto"/>
                <w:sz w:val="24"/>
                <w:szCs w:val="24"/>
                <w:highlight w:val="none"/>
                <w:lang w:val="en-US" w:eastAsia="zh-CN"/>
              </w:rPr>
            </w:pPr>
          </w:p>
        </w:tc>
        <w:tc>
          <w:tcPr>
            <w:tcW w:w="462" w:type="pct"/>
            <w:vMerge w:val="continue"/>
            <w:tcBorders>
              <w:left w:val="single" w:color="auto" w:sz="4" w:space="0"/>
              <w:right w:val="single" w:color="auto" w:sz="4" w:space="0"/>
            </w:tcBorders>
            <w:shd w:val="clear" w:color="auto" w:fill="auto"/>
            <w:vAlign w:val="center"/>
          </w:tcPr>
          <w:p w14:paraId="5C896848">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c>
          <w:tcPr>
            <w:tcW w:w="659" w:type="pct"/>
            <w:vMerge w:val="continue"/>
            <w:tcBorders>
              <w:left w:val="single" w:color="auto" w:sz="4" w:space="0"/>
              <w:right w:val="single" w:color="auto" w:sz="4" w:space="0"/>
            </w:tcBorders>
            <w:shd w:val="clear" w:color="auto" w:fill="auto"/>
            <w:vAlign w:val="center"/>
          </w:tcPr>
          <w:p w14:paraId="04AC5E10">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c>
          <w:tcPr>
            <w:tcW w:w="761" w:type="pct"/>
            <w:tcBorders>
              <w:top w:val="single" w:color="auto" w:sz="4" w:space="0"/>
              <w:left w:val="single" w:color="auto" w:sz="4" w:space="0"/>
              <w:bottom w:val="single" w:color="auto" w:sz="4" w:space="0"/>
              <w:right w:val="single" w:color="auto" w:sz="4" w:space="0"/>
            </w:tcBorders>
            <w:shd w:val="clear" w:color="auto" w:fill="auto"/>
            <w:vAlign w:val="center"/>
          </w:tcPr>
          <w:p w14:paraId="6DCDDC7C">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r>
              <w:rPr>
                <w:rFonts w:hint="eastAsia"/>
                <w:color w:val="auto"/>
                <w:sz w:val="24"/>
                <w:szCs w:val="24"/>
                <w:highlight w:val="none"/>
                <w:lang w:val="en-US" w:eastAsia="zh-CN"/>
              </w:rPr>
              <w:t>二氧化硫</w:t>
            </w:r>
          </w:p>
        </w:tc>
        <w:tc>
          <w:tcPr>
            <w:tcW w:w="1113" w:type="pct"/>
            <w:vMerge w:val="continue"/>
            <w:tcBorders>
              <w:left w:val="single" w:color="auto" w:sz="4" w:space="0"/>
              <w:right w:val="single" w:color="auto" w:sz="4" w:space="0"/>
            </w:tcBorders>
            <w:shd w:val="clear" w:color="auto" w:fill="auto"/>
            <w:vAlign w:val="center"/>
          </w:tcPr>
          <w:p w14:paraId="67B87749">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c>
          <w:tcPr>
            <w:tcW w:w="1245" w:type="pct"/>
            <w:vMerge w:val="continue"/>
            <w:tcBorders>
              <w:left w:val="single" w:color="auto" w:sz="4" w:space="0"/>
              <w:right w:val="single" w:color="auto" w:sz="8" w:space="0"/>
            </w:tcBorders>
            <w:shd w:val="clear" w:color="auto" w:fill="auto"/>
            <w:vAlign w:val="center"/>
          </w:tcPr>
          <w:p w14:paraId="298C1A86">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r>
      <w:tr w14:paraId="11EB87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continue"/>
            <w:tcBorders>
              <w:left w:val="single" w:color="auto" w:sz="8" w:space="0"/>
              <w:right w:val="single" w:color="auto" w:sz="4" w:space="0"/>
            </w:tcBorders>
            <w:shd w:val="clear" w:color="auto" w:fill="auto"/>
            <w:vAlign w:val="center"/>
          </w:tcPr>
          <w:p w14:paraId="7E9194B2">
            <w:pPr>
              <w:pStyle w:val="37"/>
              <w:keepNext w:val="0"/>
              <w:keepLines w:val="0"/>
              <w:suppressLineNumbers w:val="0"/>
              <w:bidi w:val="0"/>
              <w:spacing w:before="0" w:beforeAutospacing="0" w:after="0" w:afterAutospacing="0"/>
              <w:ind w:left="0" w:right="0"/>
              <w:rPr>
                <w:rFonts w:hint="eastAsia"/>
                <w:b/>
                <w:bCs/>
                <w:color w:val="auto"/>
                <w:sz w:val="24"/>
                <w:szCs w:val="24"/>
                <w:highlight w:val="none"/>
                <w:lang w:val="en-US" w:eastAsia="zh-CN"/>
              </w:rPr>
            </w:pPr>
          </w:p>
        </w:tc>
        <w:tc>
          <w:tcPr>
            <w:tcW w:w="462" w:type="pct"/>
            <w:vMerge w:val="continue"/>
            <w:tcBorders>
              <w:left w:val="single" w:color="auto" w:sz="4" w:space="0"/>
              <w:right w:val="single" w:color="auto" w:sz="4" w:space="0"/>
            </w:tcBorders>
            <w:shd w:val="clear" w:color="auto" w:fill="auto"/>
            <w:vAlign w:val="center"/>
          </w:tcPr>
          <w:p w14:paraId="2FF6243E">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c>
          <w:tcPr>
            <w:tcW w:w="659" w:type="pct"/>
            <w:vMerge w:val="continue"/>
            <w:tcBorders>
              <w:left w:val="single" w:color="auto" w:sz="4" w:space="0"/>
              <w:right w:val="single" w:color="auto" w:sz="4" w:space="0"/>
            </w:tcBorders>
            <w:shd w:val="clear" w:color="auto" w:fill="auto"/>
            <w:vAlign w:val="center"/>
          </w:tcPr>
          <w:p w14:paraId="78AABB7F">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c>
          <w:tcPr>
            <w:tcW w:w="761" w:type="pct"/>
            <w:tcBorders>
              <w:top w:val="single" w:color="auto" w:sz="4" w:space="0"/>
              <w:left w:val="single" w:color="auto" w:sz="4" w:space="0"/>
              <w:bottom w:val="single" w:color="auto" w:sz="4" w:space="0"/>
              <w:right w:val="single" w:color="auto" w:sz="4" w:space="0"/>
            </w:tcBorders>
            <w:shd w:val="clear" w:color="auto" w:fill="auto"/>
            <w:vAlign w:val="center"/>
          </w:tcPr>
          <w:p w14:paraId="76EC7173">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r>
              <w:rPr>
                <w:rFonts w:hint="eastAsia"/>
                <w:color w:val="auto"/>
                <w:sz w:val="24"/>
                <w:szCs w:val="24"/>
                <w:highlight w:val="none"/>
                <w:lang w:val="en-US" w:eastAsia="zh-CN"/>
              </w:rPr>
              <w:t>氮氧化物</w:t>
            </w:r>
          </w:p>
        </w:tc>
        <w:tc>
          <w:tcPr>
            <w:tcW w:w="1113" w:type="pct"/>
            <w:vMerge w:val="continue"/>
            <w:tcBorders>
              <w:left w:val="single" w:color="auto" w:sz="4" w:space="0"/>
              <w:right w:val="single" w:color="auto" w:sz="4" w:space="0"/>
            </w:tcBorders>
            <w:shd w:val="clear" w:color="auto" w:fill="auto"/>
            <w:vAlign w:val="center"/>
          </w:tcPr>
          <w:p w14:paraId="53C8AC89">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c>
          <w:tcPr>
            <w:tcW w:w="1245" w:type="pct"/>
            <w:vMerge w:val="continue"/>
            <w:tcBorders>
              <w:left w:val="single" w:color="auto" w:sz="4" w:space="0"/>
              <w:right w:val="single" w:color="auto" w:sz="8" w:space="0"/>
            </w:tcBorders>
            <w:shd w:val="clear" w:color="auto" w:fill="auto"/>
            <w:vAlign w:val="center"/>
          </w:tcPr>
          <w:p w14:paraId="61A4CF31">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r>
      <w:tr w14:paraId="26890E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7" w:type="pct"/>
            <w:vMerge w:val="continue"/>
            <w:tcBorders>
              <w:left w:val="single" w:color="auto" w:sz="8" w:space="0"/>
              <w:right w:val="single" w:color="auto" w:sz="4" w:space="0"/>
            </w:tcBorders>
            <w:shd w:val="clear" w:color="auto" w:fill="auto"/>
            <w:vAlign w:val="center"/>
          </w:tcPr>
          <w:p w14:paraId="58AFB68E">
            <w:pPr>
              <w:pStyle w:val="37"/>
              <w:keepNext w:val="0"/>
              <w:keepLines w:val="0"/>
              <w:suppressLineNumbers w:val="0"/>
              <w:bidi w:val="0"/>
              <w:spacing w:before="0" w:beforeAutospacing="0" w:after="0" w:afterAutospacing="0"/>
              <w:ind w:left="0" w:right="0"/>
              <w:rPr>
                <w:rFonts w:hint="eastAsia"/>
                <w:b/>
                <w:bCs/>
                <w:color w:val="auto"/>
                <w:sz w:val="24"/>
                <w:szCs w:val="24"/>
                <w:highlight w:val="none"/>
                <w:lang w:val="en-US" w:eastAsia="zh-CN"/>
              </w:rPr>
            </w:pPr>
          </w:p>
        </w:tc>
        <w:tc>
          <w:tcPr>
            <w:tcW w:w="462" w:type="pct"/>
            <w:vMerge w:val="restart"/>
            <w:tcBorders>
              <w:left w:val="single" w:color="auto" w:sz="4" w:space="0"/>
              <w:right w:val="single" w:color="auto" w:sz="4" w:space="0"/>
            </w:tcBorders>
            <w:shd w:val="clear" w:color="auto" w:fill="auto"/>
            <w:vAlign w:val="center"/>
          </w:tcPr>
          <w:p w14:paraId="12B4E34E">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厂界无组织废气</w:t>
            </w:r>
          </w:p>
        </w:tc>
        <w:tc>
          <w:tcPr>
            <w:tcW w:w="659" w:type="pct"/>
            <w:tcBorders>
              <w:left w:val="single" w:color="auto" w:sz="4" w:space="0"/>
              <w:right w:val="single" w:color="auto" w:sz="4" w:space="0"/>
            </w:tcBorders>
            <w:shd w:val="clear" w:color="auto" w:fill="auto"/>
            <w:vAlign w:val="center"/>
          </w:tcPr>
          <w:p w14:paraId="4FCBBB02">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干黄花菜生产杀青、烘干工序</w:t>
            </w:r>
          </w:p>
        </w:tc>
        <w:tc>
          <w:tcPr>
            <w:tcW w:w="761" w:type="pct"/>
            <w:tcBorders>
              <w:top w:val="single" w:color="auto" w:sz="4" w:space="0"/>
              <w:left w:val="single" w:color="auto" w:sz="4" w:space="0"/>
              <w:bottom w:val="single" w:color="auto" w:sz="4" w:space="0"/>
              <w:right w:val="single" w:color="auto" w:sz="4" w:space="0"/>
            </w:tcBorders>
            <w:shd w:val="clear" w:color="auto" w:fill="auto"/>
            <w:vAlign w:val="center"/>
          </w:tcPr>
          <w:p w14:paraId="391C600A">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VOCs</w:t>
            </w:r>
          </w:p>
        </w:tc>
        <w:tc>
          <w:tcPr>
            <w:tcW w:w="1113" w:type="pct"/>
            <w:tcBorders>
              <w:left w:val="single" w:color="auto" w:sz="4" w:space="0"/>
              <w:right w:val="single" w:color="auto" w:sz="4" w:space="0"/>
            </w:tcBorders>
            <w:shd w:val="clear" w:color="auto" w:fill="auto"/>
            <w:vAlign w:val="center"/>
          </w:tcPr>
          <w:p w14:paraId="2EF9F98B">
            <w:pPr>
              <w:pStyle w:val="37"/>
              <w:keepNext w:val="0"/>
              <w:keepLines w:val="0"/>
              <w:suppressLineNumbers w:val="0"/>
              <w:bidi w:val="0"/>
              <w:spacing w:before="0" w:beforeAutospacing="0" w:after="0" w:afterAutospacing="0"/>
              <w:ind w:left="0" w:right="0"/>
              <w:rPr>
                <w:rFonts w:hint="default" w:eastAsia="宋体"/>
                <w:color w:val="auto"/>
                <w:sz w:val="24"/>
                <w:szCs w:val="24"/>
                <w:highlight w:val="none"/>
                <w:lang w:val="en-US" w:eastAsia="zh-CN"/>
              </w:rPr>
            </w:pPr>
            <w:r>
              <w:rPr>
                <w:rFonts w:hint="eastAsia"/>
                <w:color w:val="auto"/>
                <w:sz w:val="24"/>
                <w:szCs w:val="24"/>
                <w:highlight w:val="none"/>
                <w:lang w:val="en-US" w:eastAsia="zh-CN"/>
              </w:rPr>
              <w:t>车间通风</w:t>
            </w:r>
          </w:p>
        </w:tc>
        <w:tc>
          <w:tcPr>
            <w:tcW w:w="1245" w:type="pct"/>
            <w:tcBorders>
              <w:left w:val="single" w:color="auto" w:sz="4" w:space="0"/>
              <w:right w:val="single" w:color="auto" w:sz="8" w:space="0"/>
            </w:tcBorders>
            <w:shd w:val="clear" w:color="auto" w:fill="auto"/>
            <w:vAlign w:val="center"/>
          </w:tcPr>
          <w:p w14:paraId="76BB4EBF">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default"/>
                <w:color w:val="auto"/>
                <w:sz w:val="24"/>
                <w:szCs w:val="24"/>
                <w:highlight w:val="none"/>
                <w:lang w:val="en-US" w:eastAsia="zh-CN"/>
              </w:rPr>
              <w:t>执行《大气污染物综合排放标准》（16297-1996）表2中无组织监控浓度限值（参照非甲烷总烃）</w:t>
            </w:r>
          </w:p>
        </w:tc>
      </w:tr>
      <w:tr w14:paraId="115F2A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7" w:type="pct"/>
            <w:vMerge w:val="continue"/>
            <w:tcBorders>
              <w:left w:val="single" w:color="auto" w:sz="8" w:space="0"/>
              <w:right w:val="single" w:color="auto" w:sz="4" w:space="0"/>
            </w:tcBorders>
            <w:shd w:val="clear" w:color="auto" w:fill="auto"/>
            <w:vAlign w:val="center"/>
          </w:tcPr>
          <w:p w14:paraId="127165BA">
            <w:pPr>
              <w:pStyle w:val="37"/>
              <w:keepNext w:val="0"/>
              <w:keepLines w:val="0"/>
              <w:suppressLineNumbers w:val="0"/>
              <w:bidi w:val="0"/>
              <w:spacing w:before="0" w:beforeAutospacing="0" w:after="0" w:afterAutospacing="0"/>
              <w:ind w:left="0" w:right="0"/>
              <w:rPr>
                <w:rFonts w:hint="eastAsia"/>
                <w:b/>
                <w:bCs/>
                <w:color w:val="auto"/>
                <w:sz w:val="24"/>
                <w:szCs w:val="24"/>
                <w:highlight w:val="none"/>
                <w:lang w:val="en-US" w:eastAsia="zh-CN"/>
              </w:rPr>
            </w:pPr>
          </w:p>
        </w:tc>
        <w:tc>
          <w:tcPr>
            <w:tcW w:w="462" w:type="pct"/>
            <w:vMerge w:val="continue"/>
            <w:tcBorders>
              <w:left w:val="single" w:color="auto" w:sz="4" w:space="0"/>
              <w:right w:val="single" w:color="auto" w:sz="4" w:space="0"/>
            </w:tcBorders>
            <w:shd w:val="clear" w:color="auto" w:fill="auto"/>
            <w:vAlign w:val="center"/>
          </w:tcPr>
          <w:p w14:paraId="55A658C3">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p>
        </w:tc>
        <w:tc>
          <w:tcPr>
            <w:tcW w:w="659" w:type="pct"/>
            <w:tcBorders>
              <w:top w:val="single" w:color="auto" w:sz="4" w:space="0"/>
              <w:left w:val="single" w:color="auto" w:sz="4" w:space="0"/>
              <w:bottom w:val="single" w:color="auto" w:sz="4" w:space="0"/>
              <w:right w:val="single" w:color="auto" w:sz="4" w:space="0"/>
            </w:tcBorders>
            <w:shd w:val="clear" w:color="auto" w:fill="auto"/>
            <w:vAlign w:val="center"/>
          </w:tcPr>
          <w:p w14:paraId="7091B81A">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污水处理站恶臭</w:t>
            </w:r>
          </w:p>
        </w:tc>
        <w:tc>
          <w:tcPr>
            <w:tcW w:w="761" w:type="pct"/>
            <w:tcBorders>
              <w:top w:val="single" w:color="auto" w:sz="4" w:space="0"/>
              <w:left w:val="single" w:color="auto" w:sz="4" w:space="0"/>
              <w:bottom w:val="single" w:color="auto" w:sz="4" w:space="0"/>
              <w:right w:val="single" w:color="auto" w:sz="4" w:space="0"/>
            </w:tcBorders>
            <w:shd w:val="clear" w:color="auto" w:fill="auto"/>
            <w:vAlign w:val="center"/>
          </w:tcPr>
          <w:p w14:paraId="48245231">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r>
              <w:rPr>
                <w:rFonts w:hint="eastAsia"/>
                <w:color w:val="auto"/>
                <w:sz w:val="24"/>
                <w:szCs w:val="24"/>
                <w:highlight w:val="none"/>
                <w:lang w:val="en-US" w:eastAsia="zh-CN"/>
              </w:rPr>
              <w:t>氨</w:t>
            </w:r>
            <w:r>
              <w:rPr>
                <w:rFonts w:hint="eastAsia"/>
                <w:highlight w:val="none"/>
                <w:lang w:eastAsia="zh-CN"/>
              </w:rPr>
              <w:t>、</w:t>
            </w:r>
            <w:r>
              <w:rPr>
                <w:rFonts w:hint="eastAsia"/>
                <w:color w:val="auto"/>
                <w:sz w:val="24"/>
                <w:szCs w:val="24"/>
                <w:highlight w:val="none"/>
                <w:lang w:val="en-US" w:eastAsia="zh-CN"/>
              </w:rPr>
              <w:t>硫化氢</w:t>
            </w:r>
          </w:p>
        </w:tc>
        <w:tc>
          <w:tcPr>
            <w:tcW w:w="1113" w:type="pct"/>
            <w:tcBorders>
              <w:top w:val="single" w:color="auto" w:sz="4" w:space="0"/>
              <w:left w:val="single" w:color="auto" w:sz="4" w:space="0"/>
              <w:right w:val="single" w:color="auto" w:sz="4" w:space="0"/>
            </w:tcBorders>
            <w:shd w:val="clear" w:color="auto" w:fill="auto"/>
            <w:vAlign w:val="center"/>
          </w:tcPr>
          <w:p w14:paraId="1B6A15AA">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s="Times New Roman"/>
                <w:color w:val="auto"/>
                <w:sz w:val="24"/>
                <w:szCs w:val="24"/>
                <w:highlight w:val="none"/>
                <w:lang w:val="en-US" w:eastAsia="zh-CN"/>
              </w:rPr>
              <w:t>定期喷洒除臭剂</w:t>
            </w:r>
          </w:p>
        </w:tc>
        <w:tc>
          <w:tcPr>
            <w:tcW w:w="1245" w:type="pct"/>
            <w:tcBorders>
              <w:top w:val="single" w:color="auto" w:sz="4" w:space="0"/>
              <w:left w:val="single" w:color="auto" w:sz="4" w:space="0"/>
              <w:right w:val="single" w:color="auto" w:sz="8" w:space="0"/>
            </w:tcBorders>
            <w:shd w:val="clear" w:color="auto" w:fill="auto"/>
            <w:vAlign w:val="center"/>
          </w:tcPr>
          <w:p w14:paraId="18E7A160">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eastAsia"/>
                <w:color w:val="auto"/>
                <w:sz w:val="24"/>
                <w:szCs w:val="24"/>
                <w:highlight w:val="none"/>
                <w:lang w:val="en-US" w:eastAsia="zh-CN"/>
              </w:rPr>
              <w:t>执行</w:t>
            </w:r>
            <w:r>
              <w:rPr>
                <w:rFonts w:hint="default"/>
                <w:color w:val="auto"/>
                <w:sz w:val="24"/>
                <w:szCs w:val="24"/>
                <w:highlight w:val="none"/>
                <w:lang w:val="en-US"/>
              </w:rPr>
              <w:t>《恶臭污染物排放标准》（GB14554-93）</w:t>
            </w:r>
            <w:r>
              <w:rPr>
                <w:rFonts w:hint="eastAsia"/>
                <w:color w:val="auto"/>
                <w:sz w:val="24"/>
                <w:szCs w:val="24"/>
                <w:highlight w:val="none"/>
                <w:lang w:val="en-US" w:eastAsia="zh-CN"/>
              </w:rPr>
              <w:t>表1新改扩建二级</w:t>
            </w:r>
            <w:r>
              <w:rPr>
                <w:rFonts w:hint="default"/>
                <w:color w:val="auto"/>
                <w:sz w:val="24"/>
                <w:szCs w:val="24"/>
                <w:highlight w:val="none"/>
                <w:lang w:val="en-US"/>
              </w:rPr>
              <w:t>标准</w:t>
            </w:r>
          </w:p>
        </w:tc>
      </w:tr>
      <w:tr w14:paraId="785092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tcBorders>
              <w:top w:val="single" w:color="auto" w:sz="4" w:space="0"/>
              <w:left w:val="single" w:color="auto" w:sz="8" w:space="0"/>
              <w:bottom w:val="single" w:color="auto" w:sz="4" w:space="0"/>
              <w:right w:val="single" w:color="auto" w:sz="4" w:space="0"/>
            </w:tcBorders>
            <w:shd w:val="clear" w:color="auto" w:fill="auto"/>
            <w:vAlign w:val="center"/>
          </w:tcPr>
          <w:p w14:paraId="73B28CCA">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地表水环境</w:t>
            </w: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CDBD820">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生产、</w:t>
            </w:r>
            <w:r>
              <w:rPr>
                <w:rFonts w:hint="default"/>
                <w:color w:val="auto"/>
                <w:sz w:val="24"/>
                <w:szCs w:val="24"/>
                <w:highlight w:val="none"/>
                <w:lang w:val="en-US" w:eastAsia="zh-CN"/>
              </w:rPr>
              <w:t>生活</w:t>
            </w:r>
            <w:r>
              <w:rPr>
                <w:rFonts w:hint="eastAsia"/>
                <w:color w:val="auto"/>
                <w:sz w:val="24"/>
                <w:szCs w:val="24"/>
                <w:highlight w:val="none"/>
                <w:lang w:val="en-US" w:eastAsia="zh-CN"/>
              </w:rPr>
              <w:t>废水</w:t>
            </w:r>
          </w:p>
        </w:tc>
        <w:tc>
          <w:tcPr>
            <w:tcW w:w="761" w:type="pct"/>
            <w:tcBorders>
              <w:top w:val="single" w:color="auto" w:sz="4" w:space="0"/>
              <w:left w:val="single" w:color="auto" w:sz="4" w:space="0"/>
              <w:bottom w:val="single" w:color="auto" w:sz="4" w:space="0"/>
              <w:right w:val="single" w:color="auto" w:sz="4" w:space="0"/>
            </w:tcBorders>
            <w:shd w:val="clear" w:color="auto" w:fill="auto"/>
            <w:vAlign w:val="center"/>
          </w:tcPr>
          <w:p w14:paraId="36D6041D">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eastAsia"/>
                <w:color w:val="auto"/>
                <w:sz w:val="24"/>
                <w:szCs w:val="24"/>
                <w:highlight w:val="none"/>
                <w:lang w:val="en-US" w:eastAsia="zh-CN"/>
              </w:rPr>
              <w:t>COD、氨氮、SS、硫酸盐、TN、TP等</w:t>
            </w:r>
          </w:p>
        </w:tc>
        <w:tc>
          <w:tcPr>
            <w:tcW w:w="1113" w:type="pct"/>
            <w:tcBorders>
              <w:top w:val="single" w:color="auto" w:sz="4" w:space="0"/>
              <w:left w:val="single" w:color="auto" w:sz="4" w:space="0"/>
              <w:bottom w:val="single" w:color="auto" w:sz="4" w:space="0"/>
              <w:right w:val="single" w:color="auto" w:sz="4" w:space="0"/>
            </w:tcBorders>
            <w:shd w:val="clear" w:color="auto" w:fill="auto"/>
            <w:vAlign w:val="center"/>
          </w:tcPr>
          <w:p w14:paraId="54739C56">
            <w:pPr>
              <w:pStyle w:val="37"/>
              <w:keepNext w:val="0"/>
              <w:keepLines w:val="0"/>
              <w:suppressLineNumbers w:val="0"/>
              <w:bidi w:val="0"/>
              <w:spacing w:before="0" w:beforeAutospacing="0" w:after="0" w:afterAutospacing="0"/>
              <w:ind w:left="0" w:right="0"/>
              <w:rPr>
                <w:rFonts w:hint="default" w:eastAsia="宋体"/>
                <w:color w:val="auto"/>
                <w:sz w:val="24"/>
                <w:szCs w:val="24"/>
                <w:highlight w:val="none"/>
                <w:lang w:val="en-US" w:eastAsia="zh-CN"/>
              </w:rPr>
            </w:pPr>
            <w:r>
              <w:rPr>
                <w:rFonts w:hint="eastAsia"/>
                <w:color w:val="auto"/>
                <w:sz w:val="24"/>
                <w:szCs w:val="24"/>
                <w:highlight w:val="none"/>
                <w:lang w:val="en-US" w:eastAsia="zh-CN"/>
              </w:rPr>
              <w:t>自建污水处理站（设计处理能力120t/d，工艺：格栅+调节池兼预曝气氧化池+一级水解酸化池+AO池+混凝池+沉淀池+清水池）</w:t>
            </w:r>
          </w:p>
        </w:tc>
        <w:tc>
          <w:tcPr>
            <w:tcW w:w="1245" w:type="pct"/>
            <w:tcBorders>
              <w:top w:val="single" w:color="auto" w:sz="4" w:space="0"/>
              <w:left w:val="single" w:color="auto" w:sz="4" w:space="0"/>
              <w:bottom w:val="single" w:color="auto" w:sz="4" w:space="0"/>
              <w:right w:val="single" w:color="auto" w:sz="8" w:space="0"/>
            </w:tcBorders>
            <w:shd w:val="clear" w:color="auto" w:fill="auto"/>
            <w:vAlign w:val="center"/>
          </w:tcPr>
          <w:p w14:paraId="333B962D">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eastAsia"/>
                <w:color w:val="auto"/>
                <w:sz w:val="24"/>
                <w:szCs w:val="24"/>
                <w:highlight w:val="none"/>
                <w:lang w:val="en-US" w:eastAsia="zh-CN"/>
              </w:rPr>
              <w:t>执行官家嘴镇污水处理站纳管标准</w:t>
            </w:r>
          </w:p>
        </w:tc>
      </w:tr>
      <w:tr w14:paraId="6E621E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tcBorders>
              <w:top w:val="single" w:color="auto" w:sz="4" w:space="0"/>
              <w:left w:val="single" w:color="auto" w:sz="8" w:space="0"/>
              <w:bottom w:val="single" w:color="auto" w:sz="4" w:space="0"/>
              <w:right w:val="single" w:color="auto" w:sz="4" w:space="0"/>
            </w:tcBorders>
            <w:shd w:val="clear" w:color="auto" w:fill="auto"/>
            <w:vAlign w:val="center"/>
          </w:tcPr>
          <w:p w14:paraId="12635AB2">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声环境</w:t>
            </w: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383088F">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rPr>
            </w:pPr>
            <w:r>
              <w:rPr>
                <w:rFonts w:hint="eastAsia"/>
                <w:color w:val="auto"/>
                <w:sz w:val="24"/>
                <w:szCs w:val="24"/>
                <w:highlight w:val="none"/>
                <w:lang w:val="en-US" w:eastAsia="zh-CN"/>
              </w:rPr>
              <w:t>生产设备</w:t>
            </w:r>
          </w:p>
        </w:tc>
        <w:tc>
          <w:tcPr>
            <w:tcW w:w="761" w:type="pct"/>
            <w:tcBorders>
              <w:top w:val="single" w:color="auto" w:sz="4" w:space="0"/>
              <w:left w:val="single" w:color="auto" w:sz="4" w:space="0"/>
              <w:bottom w:val="single" w:color="auto" w:sz="4" w:space="0"/>
              <w:right w:val="single" w:color="auto" w:sz="4" w:space="0"/>
            </w:tcBorders>
            <w:shd w:val="clear" w:color="auto" w:fill="auto"/>
            <w:vAlign w:val="center"/>
          </w:tcPr>
          <w:p w14:paraId="7247DBEF">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rPr>
            </w:pPr>
            <w:r>
              <w:rPr>
                <w:rFonts w:hint="eastAsia"/>
                <w:color w:val="auto"/>
                <w:sz w:val="24"/>
                <w:szCs w:val="24"/>
                <w:highlight w:val="none"/>
                <w:lang w:val="en-US" w:eastAsia="zh-CN"/>
              </w:rPr>
              <w:t>设备噪声</w:t>
            </w:r>
          </w:p>
        </w:tc>
        <w:tc>
          <w:tcPr>
            <w:tcW w:w="1113" w:type="pct"/>
            <w:tcBorders>
              <w:top w:val="single" w:color="auto" w:sz="4" w:space="0"/>
              <w:left w:val="single" w:color="auto" w:sz="4" w:space="0"/>
              <w:bottom w:val="single" w:color="auto" w:sz="4" w:space="0"/>
              <w:right w:val="single" w:color="auto" w:sz="4" w:space="0"/>
            </w:tcBorders>
            <w:shd w:val="clear" w:color="auto" w:fill="auto"/>
            <w:vAlign w:val="center"/>
          </w:tcPr>
          <w:p w14:paraId="1B130A47">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eastAsia"/>
                <w:color w:val="auto"/>
                <w:sz w:val="24"/>
                <w:szCs w:val="24"/>
                <w:highlight w:val="none"/>
                <w:lang w:val="en-US" w:eastAsia="zh-CN"/>
              </w:rPr>
              <w:t>隔音、减振、消音等措施</w:t>
            </w:r>
          </w:p>
        </w:tc>
        <w:tc>
          <w:tcPr>
            <w:tcW w:w="1245" w:type="pct"/>
            <w:tcBorders>
              <w:top w:val="single" w:color="auto" w:sz="4" w:space="0"/>
              <w:left w:val="single" w:color="auto" w:sz="4" w:space="0"/>
              <w:bottom w:val="single" w:color="auto" w:sz="4" w:space="0"/>
              <w:right w:val="single" w:color="auto" w:sz="8" w:space="0"/>
            </w:tcBorders>
            <w:shd w:val="clear" w:color="auto" w:fill="auto"/>
            <w:vAlign w:val="center"/>
          </w:tcPr>
          <w:p w14:paraId="1E6A6D95">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eastAsia"/>
                <w:color w:val="auto"/>
                <w:sz w:val="24"/>
                <w:szCs w:val="24"/>
                <w:highlight w:val="none"/>
                <w:lang w:val="en-US" w:eastAsia="zh-CN"/>
              </w:rPr>
              <w:t>执行《工业企业厂界环境噪声排放标准》（</w:t>
            </w:r>
            <w:r>
              <w:rPr>
                <w:rFonts w:hint="default"/>
                <w:color w:val="auto"/>
                <w:sz w:val="24"/>
                <w:szCs w:val="24"/>
                <w:highlight w:val="none"/>
                <w:lang w:val="en-US" w:eastAsia="zh-CN"/>
              </w:rPr>
              <w:t>GB12348-2008</w:t>
            </w:r>
            <w:r>
              <w:rPr>
                <w:rFonts w:hint="eastAsia"/>
                <w:color w:val="auto"/>
                <w:sz w:val="24"/>
                <w:szCs w:val="24"/>
                <w:highlight w:val="none"/>
                <w:lang w:val="en-US" w:eastAsia="zh-CN"/>
              </w:rPr>
              <w:t>）中2类标准</w:t>
            </w:r>
          </w:p>
        </w:tc>
      </w:tr>
      <w:tr w14:paraId="30A9F7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restart"/>
            <w:tcBorders>
              <w:top w:val="single" w:color="auto" w:sz="4" w:space="0"/>
              <w:left w:val="single" w:color="auto" w:sz="8" w:space="0"/>
              <w:right w:val="single" w:color="auto" w:sz="4" w:space="0"/>
            </w:tcBorders>
            <w:shd w:val="clear" w:color="auto" w:fill="auto"/>
            <w:vAlign w:val="center"/>
          </w:tcPr>
          <w:p w14:paraId="3E316A30">
            <w:pPr>
              <w:pStyle w:val="37"/>
              <w:keepNext w:val="0"/>
              <w:keepLines w:val="0"/>
              <w:suppressLineNumbers w:val="0"/>
              <w:bidi w:val="0"/>
              <w:spacing w:before="0" w:beforeAutospacing="0" w:after="0" w:afterAutospacing="0"/>
              <w:ind w:left="0" w:right="0"/>
              <w:rPr>
                <w:rFonts w:hint="eastAsia"/>
                <w:b/>
                <w:bCs/>
                <w:color w:val="auto"/>
                <w:sz w:val="24"/>
                <w:szCs w:val="24"/>
                <w:highlight w:val="none"/>
                <w:lang w:val="en-US" w:eastAsia="zh-CN"/>
              </w:rPr>
            </w:pPr>
            <w:r>
              <w:rPr>
                <w:rFonts w:hint="eastAsia"/>
                <w:b/>
                <w:bCs/>
                <w:color w:val="auto"/>
                <w:sz w:val="24"/>
                <w:szCs w:val="24"/>
                <w:highlight w:val="none"/>
                <w:lang w:val="en-US" w:eastAsia="zh-CN"/>
              </w:rPr>
              <w:t>固体废物</w:t>
            </w: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2C5E3A8">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生活垃圾</w:t>
            </w:r>
          </w:p>
        </w:tc>
        <w:tc>
          <w:tcPr>
            <w:tcW w:w="761" w:type="pct"/>
            <w:vMerge w:val="restart"/>
            <w:tcBorders>
              <w:top w:val="single" w:color="auto" w:sz="4" w:space="0"/>
              <w:left w:val="single" w:color="auto" w:sz="4" w:space="0"/>
              <w:right w:val="single" w:color="auto" w:sz="4" w:space="0"/>
            </w:tcBorders>
            <w:shd w:val="clear" w:color="auto" w:fill="auto"/>
            <w:vAlign w:val="center"/>
          </w:tcPr>
          <w:p w14:paraId="4EE95909">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r>
              <w:rPr>
                <w:rFonts w:hint="eastAsia"/>
                <w:color w:val="auto"/>
                <w:sz w:val="24"/>
                <w:szCs w:val="24"/>
                <w:highlight w:val="none"/>
                <w:lang w:val="en-US" w:eastAsia="zh-CN"/>
              </w:rPr>
              <w:t>一般工业固体废物</w:t>
            </w:r>
          </w:p>
        </w:tc>
        <w:tc>
          <w:tcPr>
            <w:tcW w:w="1113" w:type="pct"/>
            <w:tcBorders>
              <w:top w:val="single" w:color="auto" w:sz="4" w:space="0"/>
              <w:left w:val="single" w:color="auto" w:sz="4" w:space="0"/>
              <w:right w:val="single" w:color="auto" w:sz="4" w:space="0"/>
            </w:tcBorders>
            <w:shd w:val="clear" w:color="auto" w:fill="auto"/>
            <w:vAlign w:val="center"/>
          </w:tcPr>
          <w:p w14:paraId="1B89ABC9">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default"/>
                <w:color w:val="auto"/>
                <w:sz w:val="24"/>
                <w:szCs w:val="24"/>
                <w:highlight w:val="none"/>
                <w:lang w:val="en-US"/>
              </w:rPr>
              <w:t>交由环卫部门统一清运处置</w:t>
            </w:r>
          </w:p>
        </w:tc>
        <w:tc>
          <w:tcPr>
            <w:tcW w:w="1245" w:type="pct"/>
            <w:tcBorders>
              <w:top w:val="single" w:color="auto" w:sz="4" w:space="0"/>
              <w:left w:val="single" w:color="auto" w:sz="4" w:space="0"/>
              <w:right w:val="single" w:color="auto" w:sz="8" w:space="0"/>
            </w:tcBorders>
            <w:shd w:val="clear" w:color="auto" w:fill="auto"/>
            <w:vAlign w:val="center"/>
          </w:tcPr>
          <w:p w14:paraId="237A3529">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r>
              <w:rPr>
                <w:rFonts w:hint="eastAsia"/>
                <w:color w:val="auto"/>
                <w:sz w:val="24"/>
                <w:szCs w:val="24"/>
                <w:highlight w:val="none"/>
                <w:lang w:val="en-US" w:eastAsia="zh-CN"/>
              </w:rPr>
              <w:t>/</w:t>
            </w:r>
          </w:p>
        </w:tc>
      </w:tr>
      <w:tr w14:paraId="570D8E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2F9BD8D1">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B7B5D5F">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除尘系统收尘灰</w:t>
            </w:r>
          </w:p>
        </w:tc>
        <w:tc>
          <w:tcPr>
            <w:tcW w:w="761" w:type="pct"/>
            <w:vMerge w:val="continue"/>
            <w:tcBorders>
              <w:left w:val="single" w:color="auto" w:sz="4" w:space="0"/>
              <w:right w:val="single" w:color="auto" w:sz="4" w:space="0"/>
            </w:tcBorders>
            <w:shd w:val="clear" w:color="auto" w:fill="auto"/>
            <w:vAlign w:val="center"/>
          </w:tcPr>
          <w:p w14:paraId="6921E14B">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p>
        </w:tc>
        <w:tc>
          <w:tcPr>
            <w:tcW w:w="1113" w:type="pct"/>
            <w:vMerge w:val="restart"/>
            <w:tcBorders>
              <w:top w:val="single" w:color="auto" w:sz="4" w:space="0"/>
              <w:left w:val="single" w:color="auto" w:sz="4" w:space="0"/>
              <w:right w:val="single" w:color="auto" w:sz="4" w:space="0"/>
            </w:tcBorders>
            <w:shd w:val="clear" w:color="auto" w:fill="auto"/>
            <w:vAlign w:val="center"/>
          </w:tcPr>
          <w:p w14:paraId="702568F2">
            <w:pPr>
              <w:pStyle w:val="37"/>
              <w:keepNext w:val="0"/>
              <w:keepLines w:val="0"/>
              <w:suppressLineNumbers w:val="0"/>
              <w:bidi w:val="0"/>
              <w:spacing w:before="0" w:beforeAutospacing="0" w:after="0" w:afterAutospacing="0"/>
              <w:ind w:left="0" w:right="0"/>
              <w:rPr>
                <w:rFonts w:hint="default" w:eastAsia="宋体"/>
                <w:color w:val="auto"/>
                <w:sz w:val="24"/>
                <w:szCs w:val="24"/>
                <w:highlight w:val="none"/>
                <w:lang w:val="en-US" w:eastAsia="zh-CN"/>
              </w:rPr>
            </w:pPr>
            <w:r>
              <w:rPr>
                <w:rFonts w:hint="eastAsia"/>
                <w:color w:val="auto"/>
                <w:sz w:val="24"/>
                <w:szCs w:val="24"/>
                <w:highlight w:val="none"/>
                <w:lang w:val="en-US" w:eastAsia="zh-CN"/>
              </w:rPr>
              <w:t>用作农肥</w:t>
            </w:r>
          </w:p>
        </w:tc>
        <w:tc>
          <w:tcPr>
            <w:tcW w:w="1245" w:type="pct"/>
            <w:vMerge w:val="restart"/>
            <w:tcBorders>
              <w:top w:val="single" w:color="auto" w:sz="4" w:space="0"/>
              <w:left w:val="single" w:color="auto" w:sz="4" w:space="0"/>
              <w:right w:val="single" w:color="auto" w:sz="8" w:space="0"/>
            </w:tcBorders>
            <w:shd w:val="clear" w:color="auto" w:fill="auto"/>
            <w:vAlign w:val="center"/>
          </w:tcPr>
          <w:p w14:paraId="4C88FA21">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r>
              <w:rPr>
                <w:rFonts w:hint="eastAsia"/>
                <w:color w:val="auto"/>
                <w:sz w:val="24"/>
                <w:szCs w:val="24"/>
                <w:highlight w:val="none"/>
                <w:lang w:val="en-US" w:eastAsia="zh-CN"/>
              </w:rPr>
              <w:t>贮存要求执行《一般工业固体废物贮存和填埋污染控制标准》（GB18599-2020）</w:t>
            </w:r>
          </w:p>
        </w:tc>
      </w:tr>
      <w:tr w14:paraId="57A218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1995D887">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5CBBB0">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生物质锅炉炉渣</w:t>
            </w:r>
          </w:p>
        </w:tc>
        <w:tc>
          <w:tcPr>
            <w:tcW w:w="761" w:type="pct"/>
            <w:vMerge w:val="continue"/>
            <w:tcBorders>
              <w:left w:val="single" w:color="auto" w:sz="4" w:space="0"/>
              <w:right w:val="single" w:color="auto" w:sz="4" w:space="0"/>
            </w:tcBorders>
            <w:shd w:val="clear" w:color="auto" w:fill="auto"/>
            <w:vAlign w:val="center"/>
          </w:tcPr>
          <w:p w14:paraId="1BBBDD2E">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p>
        </w:tc>
        <w:tc>
          <w:tcPr>
            <w:tcW w:w="1113" w:type="pct"/>
            <w:vMerge w:val="continue"/>
            <w:tcBorders>
              <w:left w:val="single" w:color="auto" w:sz="4" w:space="0"/>
              <w:right w:val="single" w:color="auto" w:sz="4" w:space="0"/>
            </w:tcBorders>
            <w:shd w:val="clear" w:color="auto" w:fill="auto"/>
            <w:vAlign w:val="center"/>
          </w:tcPr>
          <w:p w14:paraId="706F8D0F">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c>
          <w:tcPr>
            <w:tcW w:w="1245" w:type="pct"/>
            <w:vMerge w:val="continue"/>
            <w:tcBorders>
              <w:left w:val="single" w:color="auto" w:sz="4" w:space="0"/>
              <w:right w:val="single" w:color="auto" w:sz="8" w:space="0"/>
            </w:tcBorders>
            <w:shd w:val="clear" w:color="auto" w:fill="auto"/>
            <w:vAlign w:val="center"/>
          </w:tcPr>
          <w:p w14:paraId="376C3A4C">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r>
      <w:tr w14:paraId="42950C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245F6CA5">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1AF8419">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废包装袋</w:t>
            </w:r>
          </w:p>
        </w:tc>
        <w:tc>
          <w:tcPr>
            <w:tcW w:w="761" w:type="pct"/>
            <w:vMerge w:val="continue"/>
            <w:tcBorders>
              <w:left w:val="single" w:color="auto" w:sz="4" w:space="0"/>
              <w:right w:val="single" w:color="auto" w:sz="4" w:space="0"/>
            </w:tcBorders>
            <w:shd w:val="clear" w:color="auto" w:fill="auto"/>
            <w:vAlign w:val="center"/>
          </w:tcPr>
          <w:p w14:paraId="0CCD9803">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p>
        </w:tc>
        <w:tc>
          <w:tcPr>
            <w:tcW w:w="1113" w:type="pct"/>
            <w:tcBorders>
              <w:left w:val="single" w:color="auto" w:sz="4" w:space="0"/>
              <w:bottom w:val="single" w:color="auto" w:sz="4" w:space="0"/>
              <w:right w:val="single" w:color="auto" w:sz="4" w:space="0"/>
            </w:tcBorders>
            <w:shd w:val="clear" w:color="auto" w:fill="auto"/>
            <w:vAlign w:val="center"/>
          </w:tcPr>
          <w:p w14:paraId="5AB10423">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default"/>
                <w:color w:val="auto"/>
                <w:sz w:val="24"/>
                <w:szCs w:val="24"/>
                <w:highlight w:val="none"/>
                <w:lang w:val="en-US"/>
              </w:rPr>
              <w:t>外售综合利用</w:t>
            </w:r>
          </w:p>
        </w:tc>
        <w:tc>
          <w:tcPr>
            <w:tcW w:w="1245" w:type="pct"/>
            <w:vMerge w:val="continue"/>
            <w:tcBorders>
              <w:left w:val="single" w:color="auto" w:sz="4" w:space="0"/>
              <w:right w:val="single" w:color="auto" w:sz="8" w:space="0"/>
            </w:tcBorders>
            <w:shd w:val="clear" w:color="auto" w:fill="auto"/>
            <w:vAlign w:val="center"/>
          </w:tcPr>
          <w:p w14:paraId="1BE4AEAC">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r>
      <w:tr w14:paraId="3C596F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5FF79ABF">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D197CA1">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废活性炭</w:t>
            </w:r>
          </w:p>
        </w:tc>
        <w:tc>
          <w:tcPr>
            <w:tcW w:w="761" w:type="pct"/>
            <w:vMerge w:val="continue"/>
            <w:tcBorders>
              <w:left w:val="single" w:color="auto" w:sz="4" w:space="0"/>
              <w:right w:val="single" w:color="auto" w:sz="4" w:space="0"/>
            </w:tcBorders>
            <w:shd w:val="clear" w:color="auto" w:fill="auto"/>
            <w:vAlign w:val="center"/>
          </w:tcPr>
          <w:p w14:paraId="232B2C2A">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p>
        </w:tc>
        <w:tc>
          <w:tcPr>
            <w:tcW w:w="1113" w:type="pct"/>
            <w:vMerge w:val="restart"/>
            <w:tcBorders>
              <w:left w:val="single" w:color="auto" w:sz="4" w:space="0"/>
              <w:right w:val="single" w:color="auto" w:sz="4" w:space="0"/>
            </w:tcBorders>
            <w:shd w:val="clear" w:color="auto" w:fill="auto"/>
            <w:vAlign w:val="center"/>
          </w:tcPr>
          <w:p w14:paraId="08F3112D">
            <w:pPr>
              <w:pStyle w:val="37"/>
              <w:keepNext w:val="0"/>
              <w:keepLines w:val="0"/>
              <w:suppressLineNumbers w:val="0"/>
              <w:bidi w:val="0"/>
              <w:spacing w:before="0" w:beforeAutospacing="0" w:after="0" w:afterAutospacing="0"/>
              <w:ind w:left="0" w:right="0"/>
              <w:rPr>
                <w:rFonts w:hint="default" w:eastAsia="宋体"/>
                <w:color w:val="auto"/>
                <w:sz w:val="24"/>
                <w:szCs w:val="24"/>
                <w:highlight w:val="none"/>
                <w:lang w:val="en-US" w:eastAsia="zh-CN"/>
              </w:rPr>
            </w:pPr>
            <w:r>
              <w:rPr>
                <w:rFonts w:hint="eastAsia"/>
                <w:color w:val="auto"/>
                <w:sz w:val="24"/>
                <w:szCs w:val="24"/>
                <w:highlight w:val="none"/>
                <w:lang w:val="en-US" w:eastAsia="zh-CN"/>
              </w:rPr>
              <w:t>交由物质回收单位综合利用</w:t>
            </w:r>
          </w:p>
        </w:tc>
        <w:tc>
          <w:tcPr>
            <w:tcW w:w="1245" w:type="pct"/>
            <w:vMerge w:val="continue"/>
            <w:tcBorders>
              <w:left w:val="single" w:color="auto" w:sz="4" w:space="0"/>
              <w:right w:val="single" w:color="auto" w:sz="8" w:space="0"/>
            </w:tcBorders>
            <w:shd w:val="clear" w:color="auto" w:fill="auto"/>
            <w:vAlign w:val="center"/>
          </w:tcPr>
          <w:p w14:paraId="31E8972C">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r>
      <w:tr w14:paraId="3C161B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07B6E672">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A09E190">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废过滤膜</w:t>
            </w:r>
          </w:p>
        </w:tc>
        <w:tc>
          <w:tcPr>
            <w:tcW w:w="761" w:type="pct"/>
            <w:vMerge w:val="continue"/>
            <w:tcBorders>
              <w:left w:val="single" w:color="auto" w:sz="4" w:space="0"/>
              <w:right w:val="single" w:color="auto" w:sz="4" w:space="0"/>
            </w:tcBorders>
            <w:shd w:val="clear" w:color="auto" w:fill="auto"/>
            <w:vAlign w:val="center"/>
          </w:tcPr>
          <w:p w14:paraId="5647D9C0">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c>
          <w:tcPr>
            <w:tcW w:w="1113" w:type="pct"/>
            <w:vMerge w:val="continue"/>
            <w:tcBorders>
              <w:left w:val="single" w:color="auto" w:sz="4" w:space="0"/>
              <w:right w:val="single" w:color="auto" w:sz="4" w:space="0"/>
            </w:tcBorders>
            <w:shd w:val="clear" w:color="auto" w:fill="auto"/>
            <w:vAlign w:val="center"/>
          </w:tcPr>
          <w:p w14:paraId="1F767B8E">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c>
          <w:tcPr>
            <w:tcW w:w="1245" w:type="pct"/>
            <w:vMerge w:val="continue"/>
            <w:tcBorders>
              <w:left w:val="single" w:color="auto" w:sz="4" w:space="0"/>
              <w:right w:val="single" w:color="auto" w:sz="8" w:space="0"/>
            </w:tcBorders>
            <w:shd w:val="clear" w:color="auto" w:fill="auto"/>
            <w:vAlign w:val="center"/>
          </w:tcPr>
          <w:p w14:paraId="719F6889">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r>
      <w:tr w14:paraId="627E9A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7A4E910B">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552B4A3">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废滤芯</w:t>
            </w:r>
          </w:p>
        </w:tc>
        <w:tc>
          <w:tcPr>
            <w:tcW w:w="761" w:type="pct"/>
            <w:vMerge w:val="continue"/>
            <w:tcBorders>
              <w:left w:val="single" w:color="auto" w:sz="4" w:space="0"/>
              <w:right w:val="single" w:color="auto" w:sz="4" w:space="0"/>
            </w:tcBorders>
            <w:shd w:val="clear" w:color="auto" w:fill="auto"/>
            <w:vAlign w:val="center"/>
          </w:tcPr>
          <w:p w14:paraId="0DCFFF5A">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c>
          <w:tcPr>
            <w:tcW w:w="1113" w:type="pct"/>
            <w:vMerge w:val="continue"/>
            <w:tcBorders>
              <w:left w:val="single" w:color="auto" w:sz="4" w:space="0"/>
              <w:right w:val="single" w:color="auto" w:sz="4" w:space="0"/>
            </w:tcBorders>
            <w:shd w:val="clear" w:color="auto" w:fill="auto"/>
            <w:vAlign w:val="center"/>
          </w:tcPr>
          <w:p w14:paraId="56FB913E">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c>
          <w:tcPr>
            <w:tcW w:w="1245" w:type="pct"/>
            <w:vMerge w:val="continue"/>
            <w:tcBorders>
              <w:left w:val="single" w:color="auto" w:sz="4" w:space="0"/>
              <w:right w:val="single" w:color="auto" w:sz="8" w:space="0"/>
            </w:tcBorders>
            <w:shd w:val="clear" w:color="auto" w:fill="auto"/>
            <w:vAlign w:val="center"/>
          </w:tcPr>
          <w:p w14:paraId="59A1E5BA">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r>
      <w:tr w14:paraId="22ED0F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28B04E1C">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F15340F">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r>
              <w:rPr>
                <w:rFonts w:hint="eastAsia"/>
                <w:color w:val="auto"/>
                <w:sz w:val="24"/>
                <w:szCs w:val="24"/>
                <w:highlight w:val="none"/>
                <w:lang w:val="en-US" w:eastAsia="zh-CN"/>
              </w:rPr>
              <w:t>污水处理站污泥</w:t>
            </w:r>
          </w:p>
        </w:tc>
        <w:tc>
          <w:tcPr>
            <w:tcW w:w="761" w:type="pct"/>
            <w:vMerge w:val="continue"/>
            <w:tcBorders>
              <w:left w:val="single" w:color="auto" w:sz="4" w:space="0"/>
              <w:right w:val="single" w:color="auto" w:sz="4" w:space="0"/>
            </w:tcBorders>
            <w:shd w:val="clear" w:color="auto" w:fill="auto"/>
            <w:vAlign w:val="center"/>
          </w:tcPr>
          <w:p w14:paraId="554CF3CB">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c>
          <w:tcPr>
            <w:tcW w:w="1113" w:type="pct"/>
            <w:vMerge w:val="restart"/>
            <w:tcBorders>
              <w:left w:val="single" w:color="auto" w:sz="4" w:space="0"/>
              <w:right w:val="single" w:color="auto" w:sz="4" w:space="0"/>
            </w:tcBorders>
            <w:shd w:val="clear" w:color="auto" w:fill="auto"/>
            <w:vAlign w:val="center"/>
          </w:tcPr>
          <w:p w14:paraId="56A8BE4B">
            <w:pPr>
              <w:pStyle w:val="37"/>
              <w:keepNext w:val="0"/>
              <w:keepLines w:val="0"/>
              <w:suppressLineNumbers w:val="0"/>
              <w:bidi w:val="0"/>
              <w:spacing w:before="0" w:beforeAutospacing="0" w:after="0" w:afterAutospacing="0"/>
              <w:ind w:left="0" w:right="0"/>
              <w:rPr>
                <w:rFonts w:hint="default" w:eastAsia="宋体"/>
                <w:color w:val="auto"/>
                <w:sz w:val="24"/>
                <w:szCs w:val="24"/>
                <w:highlight w:val="none"/>
                <w:lang w:val="en-US" w:eastAsia="zh-CN"/>
              </w:rPr>
            </w:pPr>
            <w:r>
              <w:rPr>
                <w:rFonts w:hint="eastAsia"/>
                <w:color w:val="auto"/>
                <w:sz w:val="24"/>
                <w:szCs w:val="24"/>
                <w:highlight w:val="none"/>
                <w:lang w:val="en-US" w:eastAsia="zh-CN"/>
              </w:rPr>
              <w:t>送垃圾焚烧发电厂焚烧</w:t>
            </w:r>
          </w:p>
        </w:tc>
        <w:tc>
          <w:tcPr>
            <w:tcW w:w="1245" w:type="pct"/>
            <w:vMerge w:val="continue"/>
            <w:tcBorders>
              <w:left w:val="single" w:color="auto" w:sz="4" w:space="0"/>
              <w:right w:val="single" w:color="auto" w:sz="8" w:space="0"/>
            </w:tcBorders>
            <w:shd w:val="clear" w:color="auto" w:fill="auto"/>
            <w:vAlign w:val="center"/>
          </w:tcPr>
          <w:p w14:paraId="2953B07C">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r>
      <w:tr w14:paraId="143F6C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4AF53783">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22988D4">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栅渣</w:t>
            </w:r>
          </w:p>
        </w:tc>
        <w:tc>
          <w:tcPr>
            <w:tcW w:w="761" w:type="pct"/>
            <w:vMerge w:val="continue"/>
            <w:tcBorders>
              <w:left w:val="single" w:color="auto" w:sz="4" w:space="0"/>
              <w:bottom w:val="single" w:color="auto" w:sz="4" w:space="0"/>
              <w:right w:val="single" w:color="auto" w:sz="4" w:space="0"/>
            </w:tcBorders>
            <w:shd w:val="clear" w:color="auto" w:fill="auto"/>
            <w:vAlign w:val="center"/>
          </w:tcPr>
          <w:p w14:paraId="40951A20">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c>
          <w:tcPr>
            <w:tcW w:w="1113" w:type="pct"/>
            <w:vMerge w:val="continue"/>
            <w:tcBorders>
              <w:left w:val="single" w:color="auto" w:sz="4" w:space="0"/>
              <w:bottom w:val="single" w:color="auto" w:sz="4" w:space="0"/>
              <w:right w:val="single" w:color="auto" w:sz="4" w:space="0"/>
            </w:tcBorders>
            <w:shd w:val="clear" w:color="auto" w:fill="auto"/>
            <w:vAlign w:val="center"/>
          </w:tcPr>
          <w:p w14:paraId="05B54CD2">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c>
          <w:tcPr>
            <w:tcW w:w="1245" w:type="pct"/>
            <w:vMerge w:val="continue"/>
            <w:tcBorders>
              <w:left w:val="single" w:color="auto" w:sz="4" w:space="0"/>
              <w:bottom w:val="single" w:color="auto" w:sz="4" w:space="0"/>
              <w:right w:val="single" w:color="auto" w:sz="8" w:space="0"/>
            </w:tcBorders>
            <w:shd w:val="clear" w:color="auto" w:fill="auto"/>
            <w:vAlign w:val="center"/>
          </w:tcPr>
          <w:p w14:paraId="33BD38C0">
            <w:pPr>
              <w:pStyle w:val="37"/>
              <w:keepNext w:val="0"/>
              <w:keepLines w:val="0"/>
              <w:suppressLineNumbers w:val="0"/>
              <w:bidi w:val="0"/>
              <w:spacing w:before="0" w:beforeAutospacing="0" w:after="0" w:afterAutospacing="0"/>
              <w:ind w:left="0" w:right="0"/>
              <w:rPr>
                <w:rFonts w:hint="eastAsia"/>
                <w:color w:val="auto"/>
                <w:sz w:val="24"/>
                <w:szCs w:val="24"/>
                <w:highlight w:val="none"/>
                <w:lang w:val="en-US" w:eastAsia="zh-CN"/>
              </w:rPr>
            </w:pPr>
          </w:p>
        </w:tc>
      </w:tr>
      <w:tr w14:paraId="06A66B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39F13670">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A0F2C1">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4"/>
                <w:szCs w:val="24"/>
                <w:highlight w:val="none"/>
                <w:lang w:val="en-US" w:eastAsia="zh-CN" w:bidi="ar-SA"/>
              </w:rPr>
            </w:pPr>
            <w:r>
              <w:rPr>
                <w:rFonts w:hint="eastAsia"/>
                <w:color w:val="auto"/>
                <w:sz w:val="24"/>
                <w:szCs w:val="24"/>
                <w:highlight w:val="none"/>
                <w:lang w:val="en-US" w:eastAsia="zh-CN"/>
              </w:rPr>
              <w:t>废机油</w:t>
            </w:r>
          </w:p>
        </w:tc>
        <w:tc>
          <w:tcPr>
            <w:tcW w:w="761" w:type="pct"/>
            <w:vMerge w:val="restart"/>
            <w:tcBorders>
              <w:top w:val="single" w:color="auto" w:sz="4" w:space="0"/>
              <w:left w:val="single" w:color="auto" w:sz="4" w:space="0"/>
              <w:right w:val="single" w:color="auto" w:sz="4" w:space="0"/>
            </w:tcBorders>
            <w:shd w:val="clear" w:color="auto" w:fill="auto"/>
            <w:vAlign w:val="center"/>
          </w:tcPr>
          <w:p w14:paraId="70B0C9DB">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危险废物</w:t>
            </w:r>
          </w:p>
        </w:tc>
        <w:tc>
          <w:tcPr>
            <w:tcW w:w="1113" w:type="pct"/>
            <w:vMerge w:val="restart"/>
            <w:tcBorders>
              <w:top w:val="single" w:color="auto" w:sz="4" w:space="0"/>
              <w:left w:val="single" w:color="auto" w:sz="4" w:space="0"/>
              <w:right w:val="single" w:color="auto" w:sz="4" w:space="0"/>
            </w:tcBorders>
            <w:shd w:val="clear" w:color="auto" w:fill="auto"/>
            <w:vAlign w:val="center"/>
          </w:tcPr>
          <w:p w14:paraId="130227DB">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r>
              <w:rPr>
                <w:rFonts w:hint="eastAsia"/>
                <w:color w:val="auto"/>
                <w:sz w:val="24"/>
                <w:szCs w:val="24"/>
                <w:highlight w:val="none"/>
                <w:lang w:val="en-US" w:eastAsia="zh-CN"/>
              </w:rPr>
              <w:t>暂存于危废暂存间，定期交由有资质单位处置</w:t>
            </w:r>
          </w:p>
        </w:tc>
        <w:tc>
          <w:tcPr>
            <w:tcW w:w="1245" w:type="pct"/>
            <w:vMerge w:val="restart"/>
            <w:tcBorders>
              <w:top w:val="single" w:color="auto" w:sz="4" w:space="0"/>
              <w:left w:val="single" w:color="auto" w:sz="4" w:space="0"/>
              <w:right w:val="single" w:color="auto" w:sz="8" w:space="0"/>
            </w:tcBorders>
            <w:shd w:val="clear" w:color="auto" w:fill="auto"/>
            <w:vAlign w:val="center"/>
          </w:tcPr>
          <w:p w14:paraId="46C42B75">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eastAsia"/>
                <w:color w:val="auto"/>
                <w:sz w:val="24"/>
                <w:szCs w:val="24"/>
                <w:highlight w:val="none"/>
                <w:lang w:val="en-US" w:eastAsia="zh-CN"/>
              </w:rPr>
              <w:t>贮存要求执行《危险废物贮存污染控制标准》（GB18597-2023）</w:t>
            </w:r>
          </w:p>
        </w:tc>
      </w:tr>
      <w:tr w14:paraId="5A5B8F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6AC449D1">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BE1FED0">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4"/>
                <w:szCs w:val="24"/>
                <w:highlight w:val="none"/>
                <w:lang w:val="en-US" w:eastAsia="zh-CN" w:bidi="ar-SA"/>
              </w:rPr>
            </w:pPr>
            <w:r>
              <w:rPr>
                <w:rFonts w:hint="eastAsia"/>
                <w:color w:val="auto"/>
                <w:sz w:val="24"/>
                <w:szCs w:val="24"/>
                <w:highlight w:val="none"/>
                <w:lang w:val="en-US" w:eastAsia="zh-CN"/>
              </w:rPr>
              <w:t>废油桶</w:t>
            </w:r>
          </w:p>
        </w:tc>
        <w:tc>
          <w:tcPr>
            <w:tcW w:w="761" w:type="pct"/>
            <w:vMerge w:val="continue"/>
            <w:tcBorders>
              <w:left w:val="single" w:color="auto" w:sz="4" w:space="0"/>
              <w:right w:val="single" w:color="auto" w:sz="4" w:space="0"/>
            </w:tcBorders>
            <w:shd w:val="clear" w:color="auto" w:fill="auto"/>
            <w:vAlign w:val="center"/>
          </w:tcPr>
          <w:p w14:paraId="31D58CC1">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p>
        </w:tc>
        <w:tc>
          <w:tcPr>
            <w:tcW w:w="1113" w:type="pct"/>
            <w:vMerge w:val="continue"/>
            <w:tcBorders>
              <w:left w:val="single" w:color="auto" w:sz="4" w:space="0"/>
              <w:right w:val="single" w:color="auto" w:sz="4" w:space="0"/>
            </w:tcBorders>
            <w:shd w:val="clear" w:color="auto" w:fill="auto"/>
            <w:vAlign w:val="center"/>
          </w:tcPr>
          <w:p w14:paraId="6FE9977B">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p>
        </w:tc>
        <w:tc>
          <w:tcPr>
            <w:tcW w:w="1245" w:type="pct"/>
            <w:vMerge w:val="continue"/>
            <w:tcBorders>
              <w:left w:val="single" w:color="auto" w:sz="4" w:space="0"/>
              <w:right w:val="single" w:color="auto" w:sz="8" w:space="0"/>
            </w:tcBorders>
            <w:shd w:val="clear" w:color="auto" w:fill="auto"/>
            <w:vAlign w:val="center"/>
          </w:tcPr>
          <w:p w14:paraId="32285681">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r>
      <w:tr w14:paraId="64F884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74E061CD">
            <w:pPr>
              <w:pStyle w:val="37"/>
              <w:keepNext w:val="0"/>
              <w:keepLines w:val="0"/>
              <w:suppressLineNumbers w:val="0"/>
              <w:bidi w:val="0"/>
              <w:spacing w:before="0" w:beforeAutospacing="0" w:after="0" w:afterAutospacing="0"/>
              <w:ind w:left="0" w:right="0"/>
              <w:rPr>
                <w:rFonts w:hint="default"/>
                <w:b/>
                <w:bCs/>
                <w:color w:val="auto"/>
                <w:sz w:val="24"/>
                <w:szCs w:val="24"/>
                <w:highlight w:val="none"/>
              </w:rPr>
            </w:pPr>
          </w:p>
        </w:tc>
        <w:tc>
          <w:tcPr>
            <w:tcW w:w="112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D1C8533">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4"/>
                <w:szCs w:val="24"/>
                <w:highlight w:val="none"/>
                <w:lang w:val="en-US" w:eastAsia="zh-CN" w:bidi="ar-SA"/>
              </w:rPr>
            </w:pPr>
            <w:r>
              <w:rPr>
                <w:rFonts w:hint="eastAsia"/>
                <w:color w:val="auto"/>
                <w:sz w:val="24"/>
                <w:szCs w:val="24"/>
                <w:highlight w:val="none"/>
                <w:lang w:val="en-US" w:eastAsia="zh-CN"/>
              </w:rPr>
              <w:t>含油抹布及手套</w:t>
            </w:r>
          </w:p>
        </w:tc>
        <w:tc>
          <w:tcPr>
            <w:tcW w:w="761" w:type="pct"/>
            <w:vMerge w:val="continue"/>
            <w:tcBorders>
              <w:left w:val="single" w:color="auto" w:sz="4" w:space="0"/>
              <w:right w:val="single" w:color="auto" w:sz="4" w:space="0"/>
            </w:tcBorders>
            <w:shd w:val="clear" w:color="auto" w:fill="auto"/>
            <w:vAlign w:val="center"/>
          </w:tcPr>
          <w:p w14:paraId="4BA900E3">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eastAsia="zh-CN"/>
              </w:rPr>
            </w:pPr>
          </w:p>
        </w:tc>
        <w:tc>
          <w:tcPr>
            <w:tcW w:w="1113" w:type="pct"/>
            <w:vMerge w:val="continue"/>
            <w:tcBorders>
              <w:left w:val="single" w:color="auto" w:sz="4" w:space="0"/>
              <w:right w:val="single" w:color="auto" w:sz="4" w:space="0"/>
            </w:tcBorders>
            <w:shd w:val="clear" w:color="auto" w:fill="auto"/>
            <w:vAlign w:val="center"/>
          </w:tcPr>
          <w:p w14:paraId="6EED2D5C">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c>
          <w:tcPr>
            <w:tcW w:w="1245" w:type="pct"/>
            <w:vMerge w:val="continue"/>
            <w:tcBorders>
              <w:left w:val="single" w:color="auto" w:sz="4" w:space="0"/>
              <w:right w:val="single" w:color="auto" w:sz="8" w:space="0"/>
            </w:tcBorders>
            <w:shd w:val="clear" w:color="auto" w:fill="auto"/>
            <w:vAlign w:val="center"/>
          </w:tcPr>
          <w:p w14:paraId="41C343B2">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p>
        </w:tc>
      </w:tr>
      <w:tr w14:paraId="3F3791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7" w:type="pct"/>
            <w:tcBorders>
              <w:top w:val="single" w:color="auto" w:sz="4" w:space="0"/>
              <w:left w:val="single" w:color="auto" w:sz="8" w:space="0"/>
              <w:bottom w:val="single" w:color="auto" w:sz="4" w:space="0"/>
              <w:right w:val="single" w:color="auto" w:sz="4" w:space="0"/>
            </w:tcBorders>
            <w:shd w:val="clear" w:color="auto" w:fill="auto"/>
            <w:vAlign w:val="center"/>
          </w:tcPr>
          <w:p w14:paraId="43F72E60">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电磁辐射</w:t>
            </w:r>
          </w:p>
        </w:tc>
        <w:tc>
          <w:tcPr>
            <w:tcW w:w="4242"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791745E5">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eastAsia"/>
                <w:color w:val="auto"/>
                <w:sz w:val="24"/>
                <w:szCs w:val="24"/>
                <w:highlight w:val="none"/>
                <w:lang w:val="en-US" w:eastAsia="zh-CN"/>
              </w:rPr>
              <w:t>本项目不涉及</w:t>
            </w:r>
          </w:p>
        </w:tc>
      </w:tr>
      <w:tr w14:paraId="6C3D26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tcBorders>
              <w:top w:val="single" w:color="auto" w:sz="4" w:space="0"/>
              <w:left w:val="single" w:color="auto" w:sz="8" w:space="0"/>
              <w:bottom w:val="single" w:color="auto" w:sz="4" w:space="0"/>
              <w:right w:val="single" w:color="auto" w:sz="4" w:space="0"/>
            </w:tcBorders>
            <w:shd w:val="clear" w:color="auto" w:fill="auto"/>
            <w:vAlign w:val="center"/>
          </w:tcPr>
          <w:p w14:paraId="7DF0682C">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土壤及地下水污染防治措施</w:t>
            </w:r>
          </w:p>
        </w:tc>
        <w:tc>
          <w:tcPr>
            <w:tcW w:w="4242"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6E137538">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eastAsia" w:cs="Times New Roman"/>
                <w:color w:val="auto"/>
                <w:sz w:val="24"/>
                <w:szCs w:val="24"/>
                <w:highlight w:val="none"/>
                <w:lang w:val="en-US" w:eastAsia="zh-CN"/>
              </w:rPr>
              <w:t>污水处理站、危废暂存间、事故应急池</w:t>
            </w:r>
            <w:r>
              <w:rPr>
                <w:rFonts w:hint="eastAsia"/>
                <w:color w:val="auto"/>
                <w:sz w:val="24"/>
                <w:szCs w:val="24"/>
                <w:highlight w:val="none"/>
                <w:lang w:val="en-US" w:eastAsia="zh-CN"/>
              </w:rPr>
              <w:t>为重点防渗区域；将生产车间、仓库、锅炉房划分为一般防渗区域；将厂区道路、办公楼等非生产区等划分为简单防渗区域，同时项目危废暂存间等采取防渗、防风、防雨措施，在项目运行过程中，应遵循相关的操作规范和安全规范，严格按照规定的安全制度运行，在采取上述措施后，项目运营期不会造成地下水、土壤污染。</w:t>
            </w:r>
          </w:p>
        </w:tc>
      </w:tr>
      <w:tr w14:paraId="4F192F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7" w:type="pct"/>
            <w:tcBorders>
              <w:top w:val="single" w:color="auto" w:sz="4" w:space="0"/>
              <w:left w:val="single" w:color="auto" w:sz="8" w:space="0"/>
              <w:bottom w:val="single" w:color="auto" w:sz="4" w:space="0"/>
              <w:right w:val="single" w:color="auto" w:sz="4" w:space="0"/>
            </w:tcBorders>
            <w:shd w:val="clear" w:color="auto" w:fill="auto"/>
            <w:vAlign w:val="center"/>
          </w:tcPr>
          <w:p w14:paraId="1ADB2070">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生态保护措施</w:t>
            </w:r>
          </w:p>
        </w:tc>
        <w:tc>
          <w:tcPr>
            <w:tcW w:w="4242"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17306F46">
            <w:pPr>
              <w:pStyle w:val="37"/>
              <w:keepNext w:val="0"/>
              <w:keepLines w:val="0"/>
              <w:suppressLineNumbers w:val="0"/>
              <w:bidi w:val="0"/>
              <w:spacing w:before="0" w:beforeAutospacing="0" w:after="0" w:afterAutospacing="0"/>
              <w:ind w:left="0" w:right="0"/>
              <w:rPr>
                <w:rFonts w:hint="default"/>
                <w:color w:val="auto"/>
                <w:sz w:val="24"/>
                <w:szCs w:val="24"/>
                <w:highlight w:val="none"/>
                <w:lang w:val="en-US"/>
              </w:rPr>
            </w:pPr>
            <w:r>
              <w:rPr>
                <w:rFonts w:hint="eastAsia"/>
                <w:color w:val="auto"/>
                <w:sz w:val="24"/>
                <w:szCs w:val="24"/>
                <w:highlight w:val="none"/>
                <w:lang w:val="en-US" w:eastAsia="zh-CN"/>
              </w:rPr>
              <w:t>营运期增强对工作人员的环保意识教育，本项目为黄花菜加工项目，本项目建成后不会对周边生态系统产生较大影响。</w:t>
            </w:r>
          </w:p>
        </w:tc>
      </w:tr>
      <w:tr w14:paraId="1A7398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tcBorders>
              <w:top w:val="single" w:color="auto" w:sz="4" w:space="0"/>
              <w:left w:val="single" w:color="auto" w:sz="8" w:space="0"/>
              <w:bottom w:val="single" w:color="auto" w:sz="4" w:space="0"/>
              <w:right w:val="single" w:color="auto" w:sz="4" w:space="0"/>
            </w:tcBorders>
            <w:shd w:val="clear" w:color="auto" w:fill="auto"/>
            <w:vAlign w:val="center"/>
          </w:tcPr>
          <w:p w14:paraId="108FA2A9">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环境风险</w:t>
            </w:r>
          </w:p>
          <w:p w14:paraId="0100A097">
            <w:pPr>
              <w:pStyle w:val="37"/>
              <w:keepNext w:val="0"/>
              <w:keepLines w:val="0"/>
              <w:suppressLineNumbers w:val="0"/>
              <w:bidi w:val="0"/>
              <w:spacing w:before="0" w:beforeAutospacing="0" w:after="0" w:afterAutospacing="0"/>
              <w:ind w:left="0" w:right="0"/>
              <w:rPr>
                <w:rFonts w:hint="default"/>
                <w:b/>
                <w:bCs/>
                <w:color w:val="auto"/>
                <w:sz w:val="24"/>
                <w:szCs w:val="24"/>
                <w:highlight w:val="none"/>
                <w:lang w:val="en-US"/>
              </w:rPr>
            </w:pPr>
            <w:r>
              <w:rPr>
                <w:rFonts w:hint="eastAsia"/>
                <w:b/>
                <w:bCs/>
                <w:color w:val="auto"/>
                <w:sz w:val="24"/>
                <w:szCs w:val="24"/>
                <w:highlight w:val="none"/>
                <w:lang w:val="en-US" w:eastAsia="zh-CN"/>
              </w:rPr>
              <w:t>防范措施</w:t>
            </w:r>
          </w:p>
        </w:tc>
        <w:tc>
          <w:tcPr>
            <w:tcW w:w="4242"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4FC2AF10">
            <w:pPr>
              <w:pStyle w:val="37"/>
              <w:keepNext w:val="0"/>
              <w:keepLines w:val="0"/>
              <w:suppressLineNumbers w:val="0"/>
              <w:bidi w:val="0"/>
              <w:spacing w:before="0" w:beforeAutospacing="0" w:after="0" w:afterAutospacing="0"/>
              <w:ind w:left="0" w:right="0"/>
              <w:jc w:val="left"/>
              <w:rPr>
                <w:rFonts w:hint="default"/>
                <w:color w:val="auto"/>
                <w:sz w:val="24"/>
                <w:szCs w:val="24"/>
                <w:highlight w:val="none"/>
                <w:lang w:val="en-US"/>
              </w:rPr>
            </w:pPr>
            <w:r>
              <w:rPr>
                <w:rFonts w:hint="eastAsia"/>
                <w:color w:val="auto"/>
                <w:sz w:val="24"/>
                <w:szCs w:val="24"/>
                <w:highlight w:val="none"/>
                <w:lang w:val="en-US" w:eastAsia="zh-CN"/>
              </w:rPr>
              <w:t>本着预防为主、切实降低环境风险的原则，本报告建议建设单位按照相关要求，做好风险防范和减缓措施，主要措施有：</w:t>
            </w:r>
          </w:p>
          <w:p w14:paraId="297E2EF4">
            <w:pPr>
              <w:pStyle w:val="37"/>
              <w:keepNext w:val="0"/>
              <w:keepLines w:val="0"/>
              <w:suppressLineNumbers w:val="0"/>
              <w:bidi w:val="0"/>
              <w:spacing w:before="0" w:beforeAutospacing="0" w:after="0" w:afterAutospacing="0"/>
              <w:ind w:left="0" w:right="0"/>
              <w:jc w:val="left"/>
              <w:rPr>
                <w:rFonts w:hint="default"/>
                <w:color w:val="auto"/>
                <w:sz w:val="24"/>
                <w:szCs w:val="24"/>
                <w:highlight w:val="none"/>
                <w:lang w:val="en-US"/>
              </w:rPr>
            </w:pPr>
            <w:r>
              <w:rPr>
                <w:rFonts w:hint="eastAsia"/>
                <w:color w:val="auto"/>
                <w:sz w:val="24"/>
                <w:szCs w:val="24"/>
                <w:highlight w:val="none"/>
                <w:lang w:val="en-US" w:eastAsia="zh-CN"/>
              </w:rPr>
              <w:t>（</w:t>
            </w:r>
            <w:r>
              <w:rPr>
                <w:rFonts w:hint="default"/>
                <w:color w:val="auto"/>
                <w:sz w:val="24"/>
                <w:szCs w:val="24"/>
                <w:highlight w:val="none"/>
                <w:lang w:val="en-US" w:eastAsia="zh-CN"/>
              </w:rPr>
              <w:t>1</w:t>
            </w:r>
            <w:r>
              <w:rPr>
                <w:rFonts w:hint="eastAsia"/>
                <w:color w:val="auto"/>
                <w:sz w:val="24"/>
                <w:szCs w:val="24"/>
                <w:highlight w:val="none"/>
                <w:lang w:val="en-US" w:eastAsia="zh-CN"/>
              </w:rPr>
              <w:t>）设置安全生产管理机构或者配备专职安全生产管理人员。</w:t>
            </w:r>
          </w:p>
          <w:p w14:paraId="251ACAAA">
            <w:pPr>
              <w:pStyle w:val="37"/>
              <w:keepNext w:val="0"/>
              <w:keepLines w:val="0"/>
              <w:suppressLineNumbers w:val="0"/>
              <w:bidi w:val="0"/>
              <w:spacing w:before="0" w:beforeAutospacing="0" w:after="0" w:afterAutospacing="0"/>
              <w:ind w:left="0" w:right="0"/>
              <w:jc w:val="left"/>
              <w:rPr>
                <w:rFonts w:hint="default"/>
                <w:color w:val="auto"/>
                <w:sz w:val="24"/>
                <w:szCs w:val="24"/>
                <w:highlight w:val="none"/>
                <w:lang w:val="en-US"/>
              </w:rPr>
            </w:pPr>
            <w:r>
              <w:rPr>
                <w:rFonts w:hint="eastAsia"/>
                <w:color w:val="auto"/>
                <w:sz w:val="24"/>
                <w:szCs w:val="24"/>
                <w:highlight w:val="none"/>
                <w:lang w:val="en-US" w:eastAsia="zh-CN"/>
              </w:rPr>
              <w:t>（</w:t>
            </w:r>
            <w:r>
              <w:rPr>
                <w:rFonts w:hint="default"/>
                <w:color w:val="auto"/>
                <w:sz w:val="24"/>
                <w:szCs w:val="24"/>
                <w:highlight w:val="none"/>
                <w:lang w:val="en-US" w:eastAsia="zh-CN"/>
              </w:rPr>
              <w:t>2</w:t>
            </w:r>
            <w:r>
              <w:rPr>
                <w:rFonts w:hint="eastAsia"/>
                <w:color w:val="auto"/>
                <w:sz w:val="24"/>
                <w:szCs w:val="24"/>
                <w:highlight w:val="none"/>
                <w:lang w:val="en-US" w:eastAsia="zh-CN"/>
              </w:rPr>
              <w:t>）定期或不定期对从业人员进行专业技术培训、安全教育培训等。</w:t>
            </w:r>
          </w:p>
          <w:p w14:paraId="312E6580">
            <w:pPr>
              <w:pStyle w:val="37"/>
              <w:keepNext w:val="0"/>
              <w:keepLines w:val="0"/>
              <w:suppressLineNumbers w:val="0"/>
              <w:bidi w:val="0"/>
              <w:spacing w:before="0" w:beforeAutospacing="0" w:after="0" w:afterAutospacing="0"/>
              <w:ind w:left="0" w:right="0"/>
              <w:jc w:val="left"/>
              <w:rPr>
                <w:rFonts w:hint="default"/>
                <w:color w:val="auto"/>
                <w:sz w:val="24"/>
                <w:szCs w:val="24"/>
                <w:highlight w:val="none"/>
                <w:lang w:val="en-US"/>
              </w:rPr>
            </w:pPr>
            <w:r>
              <w:rPr>
                <w:rFonts w:hint="eastAsia"/>
                <w:color w:val="auto"/>
                <w:sz w:val="24"/>
                <w:szCs w:val="24"/>
                <w:highlight w:val="none"/>
                <w:lang w:val="en-US" w:eastAsia="zh-CN"/>
              </w:rPr>
              <w:t>（</w:t>
            </w:r>
            <w:r>
              <w:rPr>
                <w:rFonts w:hint="default"/>
                <w:color w:val="auto"/>
                <w:sz w:val="24"/>
                <w:szCs w:val="24"/>
                <w:highlight w:val="none"/>
                <w:lang w:val="en-US" w:eastAsia="zh-CN"/>
              </w:rPr>
              <w:t>3</w:t>
            </w:r>
            <w:r>
              <w:rPr>
                <w:rFonts w:hint="eastAsia"/>
                <w:color w:val="auto"/>
                <w:sz w:val="24"/>
                <w:szCs w:val="24"/>
                <w:highlight w:val="none"/>
                <w:lang w:val="en-US" w:eastAsia="zh-CN"/>
              </w:rPr>
              <w:t>）配备足够的灭火器、消防栓等灭火设备，杜绝火灾发生。</w:t>
            </w:r>
          </w:p>
          <w:p w14:paraId="25C0DD73">
            <w:pPr>
              <w:pStyle w:val="37"/>
              <w:keepNext w:val="0"/>
              <w:keepLines w:val="0"/>
              <w:suppressLineNumbers w:val="0"/>
              <w:bidi w:val="0"/>
              <w:spacing w:before="0" w:beforeAutospacing="0" w:after="0" w:afterAutospacing="0"/>
              <w:ind w:left="0" w:right="0"/>
              <w:jc w:val="left"/>
              <w:rPr>
                <w:rFonts w:hint="default"/>
                <w:color w:val="auto"/>
                <w:sz w:val="24"/>
                <w:szCs w:val="24"/>
                <w:highlight w:val="none"/>
                <w:lang w:val="en-US"/>
              </w:rPr>
            </w:pPr>
            <w:r>
              <w:rPr>
                <w:rFonts w:hint="eastAsia"/>
                <w:color w:val="auto"/>
                <w:sz w:val="24"/>
                <w:szCs w:val="24"/>
                <w:highlight w:val="none"/>
                <w:lang w:val="en-US" w:eastAsia="zh-CN"/>
              </w:rPr>
              <w:t>（</w:t>
            </w:r>
            <w:r>
              <w:rPr>
                <w:rFonts w:hint="default"/>
                <w:color w:val="auto"/>
                <w:sz w:val="24"/>
                <w:szCs w:val="24"/>
                <w:highlight w:val="none"/>
                <w:lang w:val="en-US" w:eastAsia="zh-CN"/>
              </w:rPr>
              <w:t>4</w:t>
            </w:r>
            <w:r>
              <w:rPr>
                <w:rFonts w:hint="eastAsia"/>
                <w:color w:val="auto"/>
                <w:sz w:val="24"/>
                <w:szCs w:val="24"/>
                <w:highlight w:val="none"/>
                <w:lang w:val="en-US" w:eastAsia="zh-CN"/>
              </w:rPr>
              <w:t>）建设单位应加强管理，提高操作人员业务素质也是重要的降低风险的措施之一。</w:t>
            </w:r>
          </w:p>
          <w:p w14:paraId="735D554E">
            <w:pPr>
              <w:pStyle w:val="37"/>
              <w:keepNext w:val="0"/>
              <w:keepLines w:val="0"/>
              <w:suppressLineNumbers w:val="0"/>
              <w:bidi w:val="0"/>
              <w:spacing w:before="0" w:beforeAutospacing="0" w:after="0" w:afterAutospacing="0"/>
              <w:ind w:left="0" w:right="0"/>
              <w:jc w:val="left"/>
              <w:rPr>
                <w:rFonts w:hint="default"/>
                <w:color w:val="auto"/>
                <w:sz w:val="24"/>
                <w:szCs w:val="24"/>
                <w:highlight w:val="none"/>
                <w:lang w:val="en-US"/>
              </w:rPr>
            </w:pPr>
            <w:r>
              <w:rPr>
                <w:rFonts w:hint="eastAsia"/>
                <w:color w:val="auto"/>
                <w:sz w:val="24"/>
                <w:szCs w:val="24"/>
                <w:highlight w:val="none"/>
                <w:lang w:val="en-US" w:eastAsia="zh-CN"/>
              </w:rPr>
              <w:t>（</w:t>
            </w:r>
            <w:r>
              <w:rPr>
                <w:rFonts w:hint="default"/>
                <w:color w:val="auto"/>
                <w:sz w:val="24"/>
                <w:szCs w:val="24"/>
                <w:highlight w:val="none"/>
                <w:lang w:val="en-US" w:eastAsia="zh-CN"/>
              </w:rPr>
              <w:t>5</w:t>
            </w:r>
            <w:r>
              <w:rPr>
                <w:rFonts w:hint="eastAsia"/>
                <w:color w:val="auto"/>
                <w:sz w:val="24"/>
                <w:szCs w:val="24"/>
                <w:highlight w:val="none"/>
                <w:lang w:val="en-US" w:eastAsia="zh-CN"/>
              </w:rPr>
              <w:t>）定期对突发环境事件应急预案进行修编和更新。</w:t>
            </w:r>
          </w:p>
          <w:p w14:paraId="6DBEE499">
            <w:pPr>
              <w:pStyle w:val="37"/>
              <w:keepNext w:val="0"/>
              <w:keepLines w:val="0"/>
              <w:suppressLineNumbers w:val="0"/>
              <w:bidi w:val="0"/>
              <w:spacing w:before="0" w:beforeAutospacing="0" w:after="0" w:afterAutospacing="0"/>
              <w:ind w:left="0" w:right="0"/>
              <w:jc w:val="left"/>
              <w:rPr>
                <w:rFonts w:hint="default"/>
                <w:color w:val="auto"/>
                <w:sz w:val="24"/>
                <w:szCs w:val="24"/>
                <w:highlight w:val="none"/>
                <w:lang w:val="en-US"/>
              </w:rPr>
            </w:pPr>
            <w:r>
              <w:rPr>
                <w:rFonts w:hint="eastAsia"/>
                <w:color w:val="auto"/>
                <w:sz w:val="24"/>
                <w:szCs w:val="24"/>
                <w:highlight w:val="none"/>
                <w:lang w:val="en-US" w:eastAsia="zh-CN"/>
              </w:rPr>
              <w:t>建设单位在有效落实上述各项风险防范措施情况下，本项目的环境风险可以控制在最低范围，环境风险程度可以接受。</w:t>
            </w:r>
          </w:p>
        </w:tc>
      </w:tr>
      <w:tr w14:paraId="3C3679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7" w:type="pct"/>
            <w:tcBorders>
              <w:top w:val="single" w:color="auto" w:sz="4" w:space="0"/>
              <w:left w:val="single" w:color="auto" w:sz="8" w:space="0"/>
              <w:bottom w:val="single" w:color="auto" w:sz="8" w:space="0"/>
              <w:right w:val="single" w:color="auto" w:sz="4" w:space="0"/>
            </w:tcBorders>
            <w:shd w:val="clear" w:color="auto" w:fill="auto"/>
            <w:vAlign w:val="center"/>
          </w:tcPr>
          <w:p w14:paraId="0B10F3C1">
            <w:pPr>
              <w:pStyle w:val="37"/>
              <w:keepNext w:val="0"/>
              <w:keepLines w:val="0"/>
              <w:suppressLineNumbers w:val="0"/>
              <w:bidi w:val="0"/>
              <w:spacing w:before="0" w:beforeAutospacing="0" w:after="0" w:afterAutospacing="0"/>
              <w:ind w:left="0" w:right="0"/>
              <w:rPr>
                <w:rFonts w:hint="default"/>
                <w:b/>
                <w:bCs/>
                <w:color w:val="auto"/>
                <w:sz w:val="24"/>
                <w:szCs w:val="24"/>
                <w:highlight w:val="none"/>
                <w:u w:val="none"/>
                <w:lang w:val="en-US"/>
              </w:rPr>
            </w:pPr>
            <w:r>
              <w:rPr>
                <w:rFonts w:hint="eastAsia"/>
                <w:b/>
                <w:bCs/>
                <w:color w:val="auto"/>
                <w:sz w:val="24"/>
                <w:szCs w:val="24"/>
                <w:highlight w:val="none"/>
                <w:u w:val="none"/>
                <w:lang w:val="en-US" w:eastAsia="zh-CN"/>
              </w:rPr>
              <w:t>其他环境</w:t>
            </w:r>
          </w:p>
          <w:p w14:paraId="669440F2">
            <w:pPr>
              <w:pStyle w:val="37"/>
              <w:keepNext w:val="0"/>
              <w:keepLines w:val="0"/>
              <w:suppressLineNumbers w:val="0"/>
              <w:bidi w:val="0"/>
              <w:spacing w:before="0" w:beforeAutospacing="0" w:after="0" w:afterAutospacing="0"/>
              <w:ind w:left="0" w:right="0"/>
              <w:rPr>
                <w:rFonts w:hint="default"/>
                <w:b/>
                <w:bCs/>
                <w:color w:val="auto"/>
                <w:sz w:val="24"/>
                <w:szCs w:val="24"/>
                <w:highlight w:val="none"/>
                <w:u w:val="none"/>
                <w:lang w:val="en-US"/>
              </w:rPr>
            </w:pPr>
            <w:r>
              <w:rPr>
                <w:rFonts w:hint="eastAsia"/>
                <w:b/>
                <w:bCs/>
                <w:color w:val="auto"/>
                <w:sz w:val="24"/>
                <w:szCs w:val="24"/>
                <w:highlight w:val="none"/>
                <w:u w:val="none"/>
                <w:lang w:val="en-US" w:eastAsia="zh-CN"/>
              </w:rPr>
              <w:t>管理要求</w:t>
            </w:r>
          </w:p>
        </w:tc>
        <w:tc>
          <w:tcPr>
            <w:tcW w:w="4242" w:type="pct"/>
            <w:gridSpan w:val="5"/>
            <w:tcBorders>
              <w:top w:val="single" w:color="auto" w:sz="4" w:space="0"/>
              <w:left w:val="single" w:color="auto" w:sz="4" w:space="0"/>
              <w:bottom w:val="single" w:color="auto" w:sz="8" w:space="0"/>
              <w:right w:val="single" w:color="auto" w:sz="8" w:space="0"/>
            </w:tcBorders>
            <w:shd w:val="clear" w:color="auto" w:fill="auto"/>
            <w:vAlign w:val="center"/>
          </w:tcPr>
          <w:p w14:paraId="2CD6E5D2">
            <w:pPr>
              <w:pStyle w:val="37"/>
              <w:keepNext w:val="0"/>
              <w:keepLines w:val="0"/>
              <w:suppressLineNumbers w:val="0"/>
              <w:bidi w:val="0"/>
              <w:spacing w:before="0" w:beforeAutospacing="0" w:after="0" w:afterAutospacing="0"/>
              <w:ind w:left="0" w:right="0"/>
              <w:jc w:val="left"/>
              <w:rPr>
                <w:rFonts w:hint="eastAsia"/>
                <w:b/>
                <w:bCs/>
                <w:color w:val="auto"/>
                <w:sz w:val="24"/>
                <w:szCs w:val="24"/>
                <w:highlight w:val="none"/>
                <w:u w:val="none"/>
                <w:lang w:val="en-US" w:eastAsia="zh-CN"/>
              </w:rPr>
            </w:pPr>
            <w:r>
              <w:rPr>
                <w:rFonts w:hint="eastAsia"/>
                <w:b/>
                <w:bCs/>
                <w:color w:val="auto"/>
                <w:sz w:val="24"/>
                <w:szCs w:val="24"/>
                <w:highlight w:val="none"/>
                <w:u w:val="none"/>
                <w:lang w:val="en-US" w:eastAsia="zh-CN"/>
              </w:rPr>
              <w:t>1、排污许可</w:t>
            </w:r>
          </w:p>
          <w:p w14:paraId="6E33FD7F">
            <w:pPr>
              <w:pStyle w:val="37"/>
              <w:keepNext w:val="0"/>
              <w:keepLines w:val="0"/>
              <w:suppressLineNumbers w:val="0"/>
              <w:bidi w:val="0"/>
              <w:spacing w:before="0" w:beforeAutospacing="0" w:after="0" w:afterAutospacing="0"/>
              <w:ind w:left="0" w:right="0" w:firstLine="480" w:firstLineChars="200"/>
              <w:jc w:val="left"/>
              <w:rPr>
                <w:rFonts w:hint="default"/>
                <w:color w:val="auto"/>
                <w:sz w:val="24"/>
                <w:szCs w:val="24"/>
                <w:highlight w:val="none"/>
                <w:u w:val="none"/>
                <w:lang w:val="en-US"/>
              </w:rPr>
            </w:pPr>
            <w:r>
              <w:rPr>
                <w:rFonts w:hint="default"/>
                <w:color w:val="auto"/>
                <w:sz w:val="24"/>
                <w:szCs w:val="24"/>
                <w:highlight w:val="none"/>
                <w:u w:val="none"/>
                <w:lang w:val="en-US"/>
              </w:rPr>
              <w:t>建设项目应根据《排污许可管理办法（试行）》，对照《固定污染源排污许可分类管理名录》（2019 年版），当在启动生产设施或者发生实际排污之前申请取得排污许可证或者填报排污登记表。</w:t>
            </w:r>
          </w:p>
          <w:p w14:paraId="539AC4ED">
            <w:pPr>
              <w:pStyle w:val="37"/>
              <w:keepNext w:val="0"/>
              <w:keepLines w:val="0"/>
              <w:suppressLineNumbers w:val="0"/>
              <w:bidi w:val="0"/>
              <w:spacing w:before="0" w:beforeAutospacing="0" w:after="0" w:afterAutospacing="0"/>
              <w:ind w:left="0" w:right="0" w:firstLine="480" w:firstLineChars="200"/>
              <w:jc w:val="left"/>
              <w:rPr>
                <w:rFonts w:hint="default"/>
                <w:color w:val="auto"/>
                <w:sz w:val="24"/>
                <w:szCs w:val="24"/>
                <w:highlight w:val="none"/>
                <w:u w:val="none"/>
                <w:lang w:val="en-US"/>
              </w:rPr>
            </w:pPr>
            <w:r>
              <w:rPr>
                <w:rFonts w:hint="default"/>
                <w:color w:val="auto"/>
                <w:sz w:val="24"/>
                <w:szCs w:val="24"/>
                <w:highlight w:val="none"/>
                <w:u w:val="none"/>
                <w:lang w:val="en-US"/>
              </w:rPr>
              <w:t>根据《固定污染源排污许可分类管理名录（2019年版）》，</w:t>
            </w:r>
            <w:r>
              <w:rPr>
                <w:rFonts w:hint="eastAsia"/>
                <w:color w:val="auto"/>
                <w:sz w:val="24"/>
                <w:szCs w:val="24"/>
                <w:highlight w:val="none"/>
                <w:u w:val="none"/>
                <w:lang w:val="en-US" w:eastAsia="zh-CN"/>
              </w:rPr>
              <w:t>本</w:t>
            </w:r>
            <w:r>
              <w:rPr>
                <w:rFonts w:hint="default"/>
                <w:color w:val="auto"/>
                <w:sz w:val="24"/>
                <w:szCs w:val="24"/>
                <w:highlight w:val="none"/>
                <w:u w:val="none"/>
                <w:lang w:val="en-US"/>
              </w:rPr>
              <w:t>项目所属行业类别为</w:t>
            </w:r>
            <w:r>
              <w:rPr>
                <w:rFonts w:hint="default"/>
                <w:color w:val="auto"/>
                <w:sz w:val="24"/>
                <w:szCs w:val="24"/>
                <w:highlight w:val="none"/>
                <w:u w:val="none"/>
                <w:lang w:val="en-US" w:eastAsia="zh-CN"/>
              </w:rPr>
              <w:t>蔬菜、菌类、水果和坚果加工137</w:t>
            </w:r>
            <w:r>
              <w:rPr>
                <w:rFonts w:hint="default"/>
                <w:color w:val="auto"/>
                <w:sz w:val="24"/>
                <w:szCs w:val="24"/>
                <w:highlight w:val="none"/>
                <w:u w:val="none"/>
                <w:lang w:val="en-US"/>
              </w:rPr>
              <w:t>，属于排污许可</w:t>
            </w:r>
            <w:r>
              <w:rPr>
                <w:rFonts w:hint="eastAsia"/>
                <w:color w:val="auto"/>
                <w:sz w:val="24"/>
                <w:szCs w:val="24"/>
                <w:highlight w:val="none"/>
                <w:u w:val="none"/>
                <w:lang w:val="en-US" w:eastAsia="zh-CN"/>
              </w:rPr>
              <w:t>登记</w:t>
            </w:r>
            <w:r>
              <w:rPr>
                <w:rFonts w:hint="default"/>
                <w:color w:val="auto"/>
                <w:sz w:val="24"/>
                <w:szCs w:val="24"/>
                <w:highlight w:val="none"/>
                <w:u w:val="none"/>
                <w:lang w:val="en-US"/>
              </w:rPr>
              <w:t>管理单位。</w:t>
            </w:r>
          </w:p>
          <w:p w14:paraId="0F4CE244">
            <w:pPr>
              <w:pStyle w:val="37"/>
              <w:keepNext w:val="0"/>
              <w:keepLines w:val="0"/>
              <w:suppressLineNumbers w:val="0"/>
              <w:bidi w:val="0"/>
              <w:spacing w:before="0" w:beforeAutospacing="0" w:after="0" w:afterAutospacing="0"/>
              <w:ind w:left="0" w:right="0"/>
              <w:jc w:val="left"/>
              <w:rPr>
                <w:rFonts w:hint="eastAsia" w:eastAsia="宋体"/>
                <w:b/>
                <w:bCs/>
                <w:color w:val="auto"/>
                <w:sz w:val="24"/>
                <w:szCs w:val="24"/>
                <w:highlight w:val="none"/>
                <w:u w:val="none"/>
                <w:lang w:val="en-US" w:eastAsia="zh-CN"/>
              </w:rPr>
            </w:pPr>
            <w:r>
              <w:rPr>
                <w:rFonts w:hint="eastAsia" w:eastAsia="宋体"/>
                <w:b/>
                <w:bCs/>
                <w:color w:val="auto"/>
                <w:sz w:val="24"/>
                <w:szCs w:val="24"/>
                <w:highlight w:val="none"/>
                <w:u w:val="none"/>
                <w:lang w:val="en-US" w:eastAsia="zh-CN"/>
              </w:rPr>
              <w:t>2、建设项目竣工环保验收</w:t>
            </w:r>
          </w:p>
          <w:p w14:paraId="4C19EBF6">
            <w:pPr>
              <w:pStyle w:val="37"/>
              <w:keepNext w:val="0"/>
              <w:keepLines w:val="0"/>
              <w:suppressLineNumbers w:val="0"/>
              <w:bidi w:val="0"/>
              <w:spacing w:before="0" w:beforeAutospacing="0" w:after="0" w:afterAutospacing="0"/>
              <w:ind w:left="0" w:right="0" w:firstLine="480" w:firstLineChars="200"/>
              <w:jc w:val="left"/>
              <w:rPr>
                <w:rFonts w:hint="default"/>
                <w:color w:val="auto"/>
                <w:sz w:val="24"/>
                <w:szCs w:val="24"/>
                <w:highlight w:val="none"/>
                <w:u w:val="none"/>
                <w:lang w:val="en-US" w:eastAsia="zh-CN"/>
              </w:rPr>
            </w:pPr>
            <w:r>
              <w:rPr>
                <w:rFonts w:hint="default" w:eastAsia="宋体"/>
                <w:color w:val="auto"/>
                <w:sz w:val="24"/>
                <w:szCs w:val="24"/>
                <w:highlight w:val="none"/>
                <w:u w:val="none"/>
                <w:lang w:val="en-US" w:eastAsia="zh-CN"/>
              </w:rPr>
              <w:t>根据《建设项目环境保护管理条例》</w:t>
            </w:r>
            <w:r>
              <w:rPr>
                <w:rFonts w:hint="eastAsia" w:eastAsia="宋体"/>
                <w:color w:val="auto"/>
                <w:sz w:val="24"/>
                <w:szCs w:val="24"/>
                <w:highlight w:val="none"/>
                <w:u w:val="none"/>
                <w:lang w:val="en-US" w:eastAsia="zh-CN"/>
              </w:rPr>
              <w:t>、</w:t>
            </w:r>
            <w:r>
              <w:rPr>
                <w:rFonts w:hint="default" w:eastAsia="宋体"/>
                <w:color w:val="auto"/>
                <w:sz w:val="24"/>
                <w:szCs w:val="24"/>
                <w:highlight w:val="none"/>
                <w:u w:val="none"/>
                <w:lang w:val="en-US" w:eastAsia="zh-CN"/>
              </w:rPr>
              <w:t>《建设项目竣工环境保护验收暂行办法》（国环规环评[2017]4 号），建设单位是建设项目竣工环境保护验收的责任主体。</w:t>
            </w:r>
            <w:r>
              <w:rPr>
                <w:rFonts w:hint="eastAsia" w:eastAsia="宋体"/>
                <w:color w:val="auto"/>
                <w:sz w:val="24"/>
                <w:szCs w:val="24"/>
                <w:highlight w:val="none"/>
                <w:u w:val="none"/>
                <w:lang w:val="en-US" w:eastAsia="zh-CN"/>
              </w:rPr>
              <w:t>本</w:t>
            </w:r>
            <w:r>
              <w:rPr>
                <w:rFonts w:hint="default" w:eastAsia="宋体"/>
                <w:color w:val="auto"/>
                <w:sz w:val="24"/>
                <w:szCs w:val="24"/>
                <w:highlight w:val="none"/>
                <w:u w:val="none"/>
                <w:lang w:val="en-US" w:eastAsia="zh-CN"/>
              </w:rPr>
              <w:t>项目建设后，应当按照《暂行办法》规定的程序和标准，组织对配套建设的环境保护设施进行验收，编制验收报告，公开相关信息，接受社会监督，确保建设项目需要配套建设的环境保护设施与主体工程同时投产或者使用，并对验收内容、结论和所公开信息的真实性、准确性和完整性负责，不得在验收过程中弄虚作假。</w:t>
            </w:r>
          </w:p>
        </w:tc>
      </w:tr>
    </w:tbl>
    <w:p w14:paraId="1B0ABF04">
      <w:pPr>
        <w:pStyle w:val="24"/>
        <w:jc w:val="center"/>
        <w:outlineLvl w:val="0"/>
        <w:rPr>
          <w:rFonts w:ascii="黑体" w:hAnsi="黑体" w:eastAsia="黑体"/>
          <w:snapToGrid w:val="0"/>
          <w:color w:val="auto"/>
          <w:sz w:val="30"/>
          <w:szCs w:val="30"/>
          <w:highlight w:val="yellow"/>
        </w:rPr>
      </w:pPr>
      <w:r>
        <w:rPr>
          <w:snapToGrid w:val="0"/>
          <w:color w:val="auto"/>
          <w:highlight w:val="yellow"/>
        </w:rPr>
        <w:br w:type="page"/>
      </w:r>
      <w:bookmarkStart w:id="37" w:name="_Toc14499"/>
      <w:r>
        <w:rPr>
          <w:rFonts w:hint="eastAsia" w:ascii="黑体" w:hAnsi="黑体" w:eastAsia="黑体"/>
          <w:snapToGrid w:val="0"/>
          <w:color w:val="auto"/>
          <w:sz w:val="30"/>
          <w:szCs w:val="30"/>
          <w:highlight w:val="none"/>
        </w:rPr>
        <w:t>六、结论</w:t>
      </w:r>
      <w:bookmarkEnd w:id="37"/>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14:paraId="638638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1991" w:hRule="atLeast"/>
          <w:jc w:val="center"/>
        </w:trPr>
        <w:tc>
          <w:tcPr>
            <w:tcW w:w="8865" w:type="dxa"/>
            <w:noWrap w:val="0"/>
            <w:vAlign w:val="center"/>
          </w:tcPr>
          <w:p w14:paraId="5F577804">
            <w:pPr>
              <w:keepNext w:val="0"/>
              <w:keepLines w:val="0"/>
              <w:suppressLineNumbers w:val="0"/>
              <w:bidi w:val="0"/>
              <w:spacing w:before="0" w:beforeAutospacing="0" w:after="0" w:afterAutospacing="0"/>
              <w:ind w:left="0" w:right="0" w:firstLine="480" w:firstLineChars="200"/>
              <w:rPr>
                <w:rFonts w:hint="default" w:ascii="宋体" w:cs="宋体"/>
                <w:color w:val="auto"/>
                <w:highlight w:val="yellow"/>
              </w:rPr>
            </w:pPr>
            <w:r>
              <w:rPr>
                <w:rFonts w:hint="eastAsia" w:ascii="Times New Roman" w:hAnsi="Times New Roman" w:eastAsia="宋体" w:cs="Times New Roman"/>
                <w:color w:val="auto"/>
                <w:kern w:val="2"/>
                <w:sz w:val="24"/>
                <w:szCs w:val="24"/>
                <w:highlight w:val="none"/>
                <w:lang w:val="en-US" w:eastAsia="zh-CN" w:bidi="ar"/>
              </w:rPr>
              <w:t>项目用地选址合理可行，符合国家产业政策，总平面布置合理可行；区域无明显环境制约因子。项目运营后，具有良好的社会效益，可带动当地经济发展。在切实落实本报告提出的各项污染防治措施后，能够实现污染物稳定达标排放，项目对周围环境影响可控，从环境保护的角度分析，本项目的建设是可行的。</w:t>
            </w:r>
          </w:p>
        </w:tc>
      </w:tr>
    </w:tbl>
    <w:p w14:paraId="1697CF3C">
      <w:pPr>
        <w:rPr>
          <w:rFonts w:ascii="宋体"/>
          <w:color w:val="auto"/>
          <w:highlight w:val="yellow"/>
        </w:rPr>
        <w:sectPr>
          <w:pgSz w:w="11906" w:h="16838"/>
          <w:pgMar w:top="1701" w:right="1531" w:bottom="1701"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236B7092">
      <w:pPr>
        <w:pStyle w:val="24"/>
        <w:adjustRightInd w:val="0"/>
        <w:snapToGrid w:val="0"/>
        <w:spacing w:before="0" w:beforeAutospacing="0" w:after="0" w:afterAutospacing="0" w:line="648" w:lineRule="auto"/>
        <w:outlineLvl w:val="0"/>
        <w:rPr>
          <w:rFonts w:ascii="黑体" w:hAnsi="黑体" w:eastAsia="黑体"/>
          <w:snapToGrid w:val="0"/>
          <w:color w:val="auto"/>
          <w:sz w:val="32"/>
          <w:szCs w:val="32"/>
          <w:highlight w:val="none"/>
        </w:rPr>
      </w:pPr>
      <w:bookmarkStart w:id="38" w:name="_Toc19523"/>
      <w:r>
        <w:rPr>
          <w:rFonts w:hint="eastAsia" w:ascii="黑体" w:hAnsi="黑体" w:eastAsia="黑体"/>
          <w:snapToGrid w:val="0"/>
          <w:color w:val="auto"/>
          <w:sz w:val="32"/>
          <w:szCs w:val="32"/>
          <w:highlight w:val="none"/>
        </w:rPr>
        <w:t>附表</w:t>
      </w:r>
      <w:bookmarkEnd w:id="38"/>
    </w:p>
    <w:p w14:paraId="32D6F1FB">
      <w:pPr>
        <w:pStyle w:val="24"/>
        <w:adjustRightInd w:val="0"/>
        <w:snapToGrid w:val="0"/>
        <w:spacing w:before="0" w:beforeAutospacing="0" w:after="0" w:afterAutospacing="0" w:line="552" w:lineRule="auto"/>
        <w:jc w:val="center"/>
        <w:outlineLvl w:val="0"/>
        <w:rPr>
          <w:rFonts w:hint="eastAsia" w:ascii="方正小标宋_GBK" w:hAnsi="黑体" w:eastAsia="方正小标宋_GBK"/>
          <w:snapToGrid w:val="0"/>
          <w:color w:val="auto"/>
          <w:sz w:val="38"/>
          <w:szCs w:val="38"/>
          <w:highlight w:val="none"/>
          <w:u w:val="none"/>
        </w:rPr>
      </w:pPr>
      <w:bookmarkStart w:id="39" w:name="_Toc2540"/>
      <w:bookmarkStart w:id="40" w:name="_GoBack"/>
      <w:bookmarkEnd w:id="40"/>
      <w:r>
        <w:rPr>
          <w:rFonts w:hint="eastAsia" w:ascii="方正小标宋_GBK" w:hAnsi="黑体" w:eastAsia="方正小标宋_GBK"/>
          <w:snapToGrid w:val="0"/>
          <w:color w:val="auto"/>
          <w:sz w:val="38"/>
          <w:szCs w:val="38"/>
          <w:highlight w:val="none"/>
          <w:u w:val="none"/>
        </w:rPr>
        <w:t>建设项目污染物排放量汇总表</w:t>
      </w:r>
      <w:bookmarkEnd w:id="39"/>
    </w:p>
    <w:tbl>
      <w:tblPr>
        <w:tblStyle w:val="28"/>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283"/>
        <w:gridCol w:w="1722"/>
        <w:gridCol w:w="1835"/>
        <w:gridCol w:w="1142"/>
        <w:gridCol w:w="1701"/>
        <w:gridCol w:w="1559"/>
        <w:gridCol w:w="1761"/>
        <w:gridCol w:w="1812"/>
        <w:gridCol w:w="973"/>
      </w:tblGrid>
      <w:tr w14:paraId="03CF3E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tcBorders>
              <w:tl2br w:val="single" w:color="auto" w:sz="4" w:space="0"/>
            </w:tcBorders>
            <w:noWrap w:val="0"/>
            <w:tcMar>
              <w:left w:w="28" w:type="dxa"/>
              <w:right w:w="28" w:type="dxa"/>
            </w:tcMar>
            <w:vAlign w:val="center"/>
          </w:tcPr>
          <w:p w14:paraId="15CB5C7E">
            <w:pPr>
              <w:pStyle w:val="37"/>
              <w:keepNext w:val="0"/>
              <w:keepLines w:val="0"/>
              <w:suppressLineNumbers w:val="0"/>
              <w:spacing w:before="0" w:beforeLines="0" w:beforeAutospacing="0" w:after="0" w:afterLines="0" w:afterAutospacing="0" w:line="240" w:lineRule="auto"/>
              <w:ind w:left="0" w:right="0"/>
              <w:jc w:val="right"/>
              <w:rPr>
                <w:rFonts w:hint="eastAsia" w:ascii="黑体" w:hAnsi="黑体" w:eastAsia="黑体" w:cs="宋体"/>
                <w:b/>
                <w:bCs/>
                <w:snapToGrid w:val="0"/>
                <w:color w:val="auto"/>
                <w:spacing w:val="-6"/>
                <w:kern w:val="21"/>
                <w:szCs w:val="21"/>
                <w:highlight w:val="none"/>
                <w:u w:val="none"/>
              </w:rPr>
            </w:pPr>
            <w:r>
              <w:rPr>
                <w:rFonts w:hint="eastAsia" w:ascii="黑体" w:hAnsi="黑体" w:eastAsia="黑体" w:cs="宋体"/>
                <w:b/>
                <w:bCs/>
                <w:snapToGrid w:val="0"/>
                <w:color w:val="auto"/>
                <w:spacing w:val="-6"/>
                <w:kern w:val="21"/>
                <w:szCs w:val="21"/>
                <w:highlight w:val="none"/>
                <w:u w:val="none"/>
              </w:rPr>
              <w:t>项目</w:t>
            </w:r>
          </w:p>
          <w:p w14:paraId="7EC1F966">
            <w:pPr>
              <w:pStyle w:val="37"/>
              <w:keepNext w:val="0"/>
              <w:keepLines w:val="0"/>
              <w:suppressLineNumbers w:val="0"/>
              <w:spacing w:before="0" w:beforeLines="0" w:beforeAutospacing="0" w:after="0" w:afterLines="0" w:afterAutospacing="0" w:line="240" w:lineRule="auto"/>
              <w:ind w:left="0" w:right="0"/>
              <w:jc w:val="left"/>
              <w:rPr>
                <w:rFonts w:hint="eastAsia" w:ascii="黑体" w:hAnsi="黑体" w:eastAsia="黑体" w:cs="宋体"/>
                <w:b/>
                <w:bCs/>
                <w:snapToGrid w:val="0"/>
                <w:color w:val="auto"/>
                <w:spacing w:val="-6"/>
                <w:kern w:val="21"/>
                <w:szCs w:val="21"/>
                <w:highlight w:val="none"/>
                <w:u w:val="none"/>
              </w:rPr>
            </w:pPr>
            <w:r>
              <w:rPr>
                <w:rFonts w:hint="eastAsia" w:ascii="黑体" w:hAnsi="黑体" w:eastAsia="黑体" w:cs="宋体"/>
                <w:b/>
                <w:bCs/>
                <w:snapToGrid w:val="0"/>
                <w:color w:val="auto"/>
                <w:spacing w:val="-6"/>
                <w:kern w:val="21"/>
                <w:szCs w:val="21"/>
                <w:highlight w:val="none"/>
                <w:u w:val="none"/>
              </w:rPr>
              <w:t>分类</w:t>
            </w:r>
          </w:p>
        </w:tc>
        <w:tc>
          <w:tcPr>
            <w:tcW w:w="1722" w:type="dxa"/>
            <w:noWrap w:val="0"/>
            <w:tcMar>
              <w:left w:w="28" w:type="dxa"/>
              <w:right w:w="28" w:type="dxa"/>
            </w:tcMar>
            <w:vAlign w:val="center"/>
          </w:tcPr>
          <w:p w14:paraId="18BC8BFF">
            <w:pPr>
              <w:pStyle w:val="37"/>
              <w:keepNext w:val="0"/>
              <w:keepLines w:val="0"/>
              <w:suppressLineNumbers w:val="0"/>
              <w:spacing w:before="0" w:beforeLines="0" w:beforeAutospacing="0" w:after="0" w:afterLines="0" w:afterAutospacing="0" w:line="240" w:lineRule="auto"/>
              <w:ind w:left="0" w:right="0"/>
              <w:rPr>
                <w:rFonts w:hint="eastAsia" w:ascii="黑体" w:hAnsi="黑体" w:eastAsia="黑体" w:cs="宋体"/>
                <w:b/>
                <w:bCs/>
                <w:snapToGrid w:val="0"/>
                <w:color w:val="auto"/>
                <w:spacing w:val="-6"/>
                <w:kern w:val="21"/>
                <w:szCs w:val="21"/>
                <w:highlight w:val="none"/>
                <w:u w:val="none"/>
              </w:rPr>
            </w:pPr>
            <w:r>
              <w:rPr>
                <w:rFonts w:hint="eastAsia" w:ascii="黑体" w:hAnsi="黑体" w:eastAsia="黑体" w:cs="宋体"/>
                <w:b/>
                <w:bCs/>
                <w:snapToGrid w:val="0"/>
                <w:color w:val="auto"/>
                <w:spacing w:val="-6"/>
                <w:kern w:val="21"/>
                <w:szCs w:val="21"/>
                <w:highlight w:val="none"/>
                <w:u w:val="none"/>
              </w:rPr>
              <w:t>污染物名称</w:t>
            </w:r>
          </w:p>
        </w:tc>
        <w:tc>
          <w:tcPr>
            <w:tcW w:w="1835" w:type="dxa"/>
            <w:noWrap w:val="0"/>
            <w:tcMar>
              <w:left w:w="28" w:type="dxa"/>
              <w:right w:w="28" w:type="dxa"/>
            </w:tcMar>
            <w:vAlign w:val="center"/>
          </w:tcPr>
          <w:p w14:paraId="56A3E79F">
            <w:pPr>
              <w:pStyle w:val="37"/>
              <w:keepNext w:val="0"/>
              <w:keepLines w:val="0"/>
              <w:suppressLineNumbers w:val="0"/>
              <w:spacing w:before="0" w:beforeLines="0" w:beforeAutospacing="0" w:after="0" w:afterLines="0" w:afterAutospacing="0" w:line="240" w:lineRule="auto"/>
              <w:ind w:left="0" w:right="0"/>
              <w:rPr>
                <w:rFonts w:hint="eastAsia"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t>现有工程</w:t>
            </w:r>
          </w:p>
          <w:p w14:paraId="7396A730">
            <w:pPr>
              <w:pStyle w:val="37"/>
              <w:keepNext w:val="0"/>
              <w:keepLines w:val="0"/>
              <w:suppressLineNumbers w:val="0"/>
              <w:spacing w:before="0" w:beforeLines="0" w:beforeAutospacing="0" w:after="0" w:afterLines="0" w:afterAutospacing="0" w:line="240" w:lineRule="auto"/>
              <w:ind w:left="0" w:right="0"/>
              <w:rPr>
                <w:rFonts w:hint="default"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t>排放量（固</w:t>
            </w:r>
            <w:r>
              <w:rPr>
                <w:rFonts w:hint="eastAsia" w:ascii="黑体" w:hAnsi="黑体" w:eastAsia="黑体"/>
                <w:b/>
                <w:bCs/>
                <w:snapToGrid w:val="0"/>
                <w:color w:val="auto"/>
                <w:spacing w:val="-6"/>
                <w:kern w:val="21"/>
                <w:szCs w:val="21"/>
                <w:highlight w:val="none"/>
                <w:u w:val="none"/>
              </w:rPr>
              <w:t>体</w:t>
            </w:r>
            <w:r>
              <w:rPr>
                <w:rFonts w:hint="default" w:ascii="黑体" w:hAnsi="黑体" w:eastAsia="黑体"/>
                <w:b/>
                <w:bCs/>
                <w:snapToGrid w:val="0"/>
                <w:color w:val="auto"/>
                <w:spacing w:val="-6"/>
                <w:kern w:val="21"/>
                <w:szCs w:val="21"/>
                <w:highlight w:val="none"/>
                <w:u w:val="none"/>
              </w:rPr>
              <w:t>废</w:t>
            </w:r>
            <w:r>
              <w:rPr>
                <w:rFonts w:hint="eastAsia" w:ascii="黑体" w:hAnsi="黑体" w:eastAsia="黑体"/>
                <w:b/>
                <w:bCs/>
                <w:snapToGrid w:val="0"/>
                <w:color w:val="auto"/>
                <w:spacing w:val="-6"/>
                <w:kern w:val="21"/>
                <w:szCs w:val="21"/>
                <w:highlight w:val="none"/>
                <w:u w:val="none"/>
              </w:rPr>
              <w:t>物</w:t>
            </w:r>
            <w:r>
              <w:rPr>
                <w:rFonts w:hint="default" w:ascii="黑体" w:hAnsi="黑体" w:eastAsia="黑体"/>
                <w:b/>
                <w:bCs/>
                <w:snapToGrid w:val="0"/>
                <w:color w:val="auto"/>
                <w:spacing w:val="-6"/>
                <w:kern w:val="21"/>
                <w:szCs w:val="21"/>
                <w:highlight w:val="none"/>
                <w:u w:val="none"/>
              </w:rPr>
              <w:t>产生量）</w:t>
            </w:r>
            <w:r>
              <w:rPr>
                <w:rFonts w:hint="default" w:ascii="黑体" w:hAnsi="黑体" w:eastAsia="黑体"/>
                <w:b/>
                <w:bCs/>
                <w:snapToGrid w:val="0"/>
                <w:color w:val="auto"/>
                <w:spacing w:val="-6"/>
                <w:kern w:val="21"/>
                <w:szCs w:val="21"/>
                <w:highlight w:val="none"/>
                <w:u w:val="none"/>
              </w:rPr>
              <w:fldChar w:fldCharType="begin"/>
            </w:r>
            <w:r>
              <w:rPr>
                <w:rFonts w:hint="default" w:ascii="黑体" w:hAnsi="黑体" w:eastAsia="黑体"/>
                <w:b/>
                <w:bCs/>
                <w:snapToGrid w:val="0"/>
                <w:color w:val="auto"/>
                <w:spacing w:val="-6"/>
                <w:kern w:val="21"/>
                <w:szCs w:val="21"/>
                <w:highlight w:val="none"/>
                <w:u w:val="none"/>
              </w:rPr>
              <w:instrText xml:space="preserve"> = 1 \* GB3 \* MERGEFORMAT </w:instrText>
            </w:r>
            <w:r>
              <w:rPr>
                <w:rFonts w:hint="default" w:ascii="黑体" w:hAnsi="黑体" w:eastAsia="黑体"/>
                <w:b/>
                <w:bCs/>
                <w:snapToGrid w:val="0"/>
                <w:color w:val="auto"/>
                <w:spacing w:val="-6"/>
                <w:kern w:val="21"/>
                <w:szCs w:val="21"/>
                <w:highlight w:val="none"/>
                <w:u w:val="none"/>
              </w:rPr>
              <w:fldChar w:fldCharType="separate"/>
            </w:r>
            <w:r>
              <w:rPr>
                <w:rFonts w:hint="eastAsia" w:ascii="黑体" w:hAnsi="黑体" w:eastAsia="黑体" w:cs="宋体"/>
                <w:b/>
                <w:bCs/>
                <w:color w:val="auto"/>
                <w:kern w:val="2"/>
                <w:szCs w:val="21"/>
                <w:highlight w:val="none"/>
                <w:u w:val="none"/>
              </w:rPr>
              <w:t>①</w:t>
            </w:r>
            <w:r>
              <w:rPr>
                <w:rFonts w:hint="default" w:ascii="黑体" w:hAnsi="黑体" w:eastAsia="黑体"/>
                <w:b/>
                <w:bCs/>
                <w:snapToGrid w:val="0"/>
                <w:color w:val="auto"/>
                <w:spacing w:val="-6"/>
                <w:kern w:val="21"/>
                <w:szCs w:val="21"/>
                <w:highlight w:val="none"/>
                <w:u w:val="none"/>
              </w:rPr>
              <w:fldChar w:fldCharType="end"/>
            </w:r>
          </w:p>
        </w:tc>
        <w:tc>
          <w:tcPr>
            <w:tcW w:w="1142" w:type="dxa"/>
            <w:noWrap w:val="0"/>
            <w:tcMar>
              <w:left w:w="28" w:type="dxa"/>
              <w:right w:w="28" w:type="dxa"/>
            </w:tcMar>
            <w:vAlign w:val="center"/>
          </w:tcPr>
          <w:p w14:paraId="6536B5EE">
            <w:pPr>
              <w:pStyle w:val="37"/>
              <w:keepNext w:val="0"/>
              <w:keepLines w:val="0"/>
              <w:suppressLineNumbers w:val="0"/>
              <w:spacing w:before="0" w:beforeLines="0" w:beforeAutospacing="0" w:after="0" w:afterLines="0" w:afterAutospacing="0" w:line="240" w:lineRule="auto"/>
              <w:ind w:left="0" w:right="0"/>
              <w:rPr>
                <w:rFonts w:hint="default"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t>现有工程</w:t>
            </w:r>
          </w:p>
          <w:p w14:paraId="1A1E0770">
            <w:pPr>
              <w:pStyle w:val="37"/>
              <w:keepNext w:val="0"/>
              <w:keepLines w:val="0"/>
              <w:suppressLineNumbers w:val="0"/>
              <w:spacing w:before="0" w:beforeLines="0" w:beforeAutospacing="0" w:after="0" w:afterLines="0" w:afterAutospacing="0" w:line="240" w:lineRule="auto"/>
              <w:ind w:left="0" w:right="0"/>
              <w:rPr>
                <w:rFonts w:hint="default"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t>许可排放量</w:t>
            </w:r>
          </w:p>
          <w:p w14:paraId="7DF1481A">
            <w:pPr>
              <w:pStyle w:val="37"/>
              <w:keepNext w:val="0"/>
              <w:keepLines w:val="0"/>
              <w:suppressLineNumbers w:val="0"/>
              <w:spacing w:before="0" w:beforeLines="0" w:beforeAutospacing="0" w:after="0" w:afterLines="0" w:afterAutospacing="0"/>
              <w:ind w:left="0" w:right="0"/>
              <w:rPr>
                <w:rFonts w:hint="default"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fldChar w:fldCharType="begin"/>
            </w:r>
            <w:r>
              <w:rPr>
                <w:rFonts w:hint="default" w:ascii="黑体" w:hAnsi="黑体" w:eastAsia="黑体"/>
                <w:b/>
                <w:bCs/>
                <w:snapToGrid w:val="0"/>
                <w:color w:val="auto"/>
                <w:spacing w:val="-6"/>
                <w:kern w:val="21"/>
                <w:szCs w:val="21"/>
                <w:highlight w:val="none"/>
                <w:u w:val="none"/>
              </w:rPr>
              <w:instrText xml:space="preserve"> = 2 \* GB3 \* MERGEFORMAT </w:instrText>
            </w:r>
            <w:r>
              <w:rPr>
                <w:rFonts w:hint="default" w:ascii="黑体" w:hAnsi="黑体" w:eastAsia="黑体"/>
                <w:b/>
                <w:bCs/>
                <w:snapToGrid w:val="0"/>
                <w:color w:val="auto"/>
                <w:spacing w:val="-6"/>
                <w:kern w:val="21"/>
                <w:szCs w:val="21"/>
                <w:highlight w:val="none"/>
                <w:u w:val="none"/>
              </w:rPr>
              <w:fldChar w:fldCharType="separate"/>
            </w:r>
            <w:r>
              <w:rPr>
                <w:rFonts w:hint="eastAsia" w:ascii="黑体" w:hAnsi="黑体" w:eastAsia="黑体" w:cs="宋体"/>
                <w:b/>
                <w:bCs/>
                <w:snapToGrid w:val="0"/>
                <w:color w:val="auto"/>
                <w:spacing w:val="-6"/>
                <w:kern w:val="21"/>
                <w:szCs w:val="21"/>
                <w:highlight w:val="none"/>
                <w:u w:val="none"/>
              </w:rPr>
              <w:t>②</w:t>
            </w:r>
            <w:r>
              <w:rPr>
                <w:rFonts w:hint="default" w:ascii="黑体" w:hAnsi="黑体" w:eastAsia="黑体"/>
                <w:b/>
                <w:bCs/>
                <w:snapToGrid w:val="0"/>
                <w:color w:val="auto"/>
                <w:spacing w:val="-6"/>
                <w:kern w:val="21"/>
                <w:szCs w:val="21"/>
                <w:highlight w:val="none"/>
                <w:u w:val="none"/>
              </w:rPr>
              <w:fldChar w:fldCharType="end"/>
            </w:r>
          </w:p>
        </w:tc>
        <w:tc>
          <w:tcPr>
            <w:tcW w:w="1701" w:type="dxa"/>
            <w:noWrap w:val="0"/>
            <w:tcMar>
              <w:left w:w="28" w:type="dxa"/>
              <w:right w:w="28" w:type="dxa"/>
            </w:tcMar>
            <w:vAlign w:val="center"/>
          </w:tcPr>
          <w:p w14:paraId="52F99F01">
            <w:pPr>
              <w:pStyle w:val="37"/>
              <w:keepNext w:val="0"/>
              <w:keepLines w:val="0"/>
              <w:suppressLineNumbers w:val="0"/>
              <w:spacing w:before="0" w:beforeLines="0" w:beforeAutospacing="0" w:after="0" w:afterLines="0" w:afterAutospacing="0" w:line="240" w:lineRule="auto"/>
              <w:ind w:left="0" w:right="0"/>
              <w:rPr>
                <w:rFonts w:hint="eastAsia"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t>在建工程</w:t>
            </w:r>
          </w:p>
          <w:p w14:paraId="441D075C">
            <w:pPr>
              <w:pStyle w:val="37"/>
              <w:keepNext w:val="0"/>
              <w:keepLines w:val="0"/>
              <w:suppressLineNumbers w:val="0"/>
              <w:spacing w:before="0" w:beforeLines="0" w:beforeAutospacing="0" w:after="0" w:afterLines="0" w:afterAutospacing="0" w:line="240" w:lineRule="auto"/>
              <w:ind w:left="0" w:right="0"/>
              <w:rPr>
                <w:rFonts w:hint="default"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t>排放量（固</w:t>
            </w:r>
            <w:r>
              <w:rPr>
                <w:rFonts w:hint="eastAsia" w:ascii="黑体" w:hAnsi="黑体" w:eastAsia="黑体"/>
                <w:b/>
                <w:bCs/>
                <w:snapToGrid w:val="0"/>
                <w:color w:val="auto"/>
                <w:spacing w:val="-6"/>
                <w:kern w:val="21"/>
                <w:szCs w:val="21"/>
                <w:highlight w:val="none"/>
                <w:u w:val="none"/>
              </w:rPr>
              <w:t>体</w:t>
            </w:r>
            <w:r>
              <w:rPr>
                <w:rFonts w:hint="default" w:ascii="黑体" w:hAnsi="黑体" w:eastAsia="黑体"/>
                <w:b/>
                <w:bCs/>
                <w:snapToGrid w:val="0"/>
                <w:color w:val="auto"/>
                <w:spacing w:val="-6"/>
                <w:kern w:val="21"/>
                <w:szCs w:val="21"/>
                <w:highlight w:val="none"/>
                <w:u w:val="none"/>
              </w:rPr>
              <w:t>废</w:t>
            </w:r>
            <w:r>
              <w:rPr>
                <w:rFonts w:hint="eastAsia" w:ascii="黑体" w:hAnsi="黑体" w:eastAsia="黑体"/>
                <w:b/>
                <w:bCs/>
                <w:snapToGrid w:val="0"/>
                <w:color w:val="auto"/>
                <w:spacing w:val="-6"/>
                <w:kern w:val="21"/>
                <w:szCs w:val="21"/>
                <w:highlight w:val="none"/>
                <w:u w:val="none"/>
              </w:rPr>
              <w:t>物</w:t>
            </w:r>
            <w:r>
              <w:rPr>
                <w:rFonts w:hint="default" w:ascii="黑体" w:hAnsi="黑体" w:eastAsia="黑体"/>
                <w:b/>
                <w:bCs/>
                <w:snapToGrid w:val="0"/>
                <w:color w:val="auto"/>
                <w:spacing w:val="-6"/>
                <w:kern w:val="21"/>
                <w:szCs w:val="21"/>
                <w:highlight w:val="none"/>
                <w:u w:val="none"/>
              </w:rPr>
              <w:t>产生量）</w:t>
            </w:r>
            <w:r>
              <w:rPr>
                <w:rFonts w:hint="default" w:ascii="黑体" w:hAnsi="黑体" w:eastAsia="黑体"/>
                <w:b/>
                <w:bCs/>
                <w:snapToGrid w:val="0"/>
                <w:color w:val="auto"/>
                <w:spacing w:val="-6"/>
                <w:kern w:val="21"/>
                <w:szCs w:val="21"/>
                <w:highlight w:val="none"/>
                <w:u w:val="none"/>
              </w:rPr>
              <w:fldChar w:fldCharType="begin"/>
            </w:r>
            <w:r>
              <w:rPr>
                <w:rFonts w:hint="default" w:ascii="黑体" w:hAnsi="黑体" w:eastAsia="黑体"/>
                <w:b/>
                <w:bCs/>
                <w:snapToGrid w:val="0"/>
                <w:color w:val="auto"/>
                <w:spacing w:val="-6"/>
                <w:kern w:val="21"/>
                <w:szCs w:val="21"/>
                <w:highlight w:val="none"/>
                <w:u w:val="none"/>
              </w:rPr>
              <w:instrText xml:space="preserve"> = 3 \* GB3 \* MERGEFORMAT </w:instrText>
            </w:r>
            <w:r>
              <w:rPr>
                <w:rFonts w:hint="default" w:ascii="黑体" w:hAnsi="黑体" w:eastAsia="黑体"/>
                <w:b/>
                <w:bCs/>
                <w:snapToGrid w:val="0"/>
                <w:color w:val="auto"/>
                <w:spacing w:val="-6"/>
                <w:kern w:val="21"/>
                <w:szCs w:val="21"/>
                <w:highlight w:val="none"/>
                <w:u w:val="none"/>
              </w:rPr>
              <w:fldChar w:fldCharType="separate"/>
            </w:r>
            <w:r>
              <w:rPr>
                <w:rFonts w:hint="eastAsia" w:ascii="黑体" w:hAnsi="黑体" w:eastAsia="黑体" w:cs="宋体"/>
                <w:b/>
                <w:bCs/>
                <w:color w:val="auto"/>
                <w:kern w:val="2"/>
                <w:szCs w:val="21"/>
                <w:highlight w:val="none"/>
                <w:u w:val="none"/>
              </w:rPr>
              <w:t>③</w:t>
            </w:r>
            <w:r>
              <w:rPr>
                <w:rFonts w:hint="default" w:ascii="黑体" w:hAnsi="黑体" w:eastAsia="黑体"/>
                <w:b/>
                <w:bCs/>
                <w:snapToGrid w:val="0"/>
                <w:color w:val="auto"/>
                <w:spacing w:val="-6"/>
                <w:kern w:val="21"/>
                <w:szCs w:val="21"/>
                <w:highlight w:val="none"/>
                <w:u w:val="none"/>
              </w:rPr>
              <w:fldChar w:fldCharType="end"/>
            </w:r>
          </w:p>
        </w:tc>
        <w:tc>
          <w:tcPr>
            <w:tcW w:w="1559" w:type="dxa"/>
            <w:noWrap w:val="0"/>
            <w:tcMar>
              <w:left w:w="28" w:type="dxa"/>
              <w:right w:w="28" w:type="dxa"/>
            </w:tcMar>
            <w:vAlign w:val="center"/>
          </w:tcPr>
          <w:p w14:paraId="45885C22">
            <w:pPr>
              <w:pStyle w:val="37"/>
              <w:keepNext w:val="0"/>
              <w:keepLines w:val="0"/>
              <w:suppressLineNumbers w:val="0"/>
              <w:spacing w:before="0" w:beforeLines="0" w:beforeAutospacing="0" w:after="0" w:afterLines="0" w:afterAutospacing="0" w:line="240" w:lineRule="auto"/>
              <w:ind w:left="0" w:right="0"/>
              <w:rPr>
                <w:rFonts w:hint="eastAsia"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t>本项目</w:t>
            </w:r>
          </w:p>
          <w:p w14:paraId="754D24C6">
            <w:pPr>
              <w:pStyle w:val="37"/>
              <w:keepNext w:val="0"/>
              <w:keepLines w:val="0"/>
              <w:suppressLineNumbers w:val="0"/>
              <w:spacing w:before="0" w:beforeLines="0" w:beforeAutospacing="0" w:after="0" w:afterLines="0" w:afterAutospacing="0" w:line="240" w:lineRule="auto"/>
              <w:ind w:left="0" w:right="0"/>
              <w:rPr>
                <w:rFonts w:hint="default"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t>排放量（固</w:t>
            </w:r>
            <w:r>
              <w:rPr>
                <w:rFonts w:hint="eastAsia" w:ascii="黑体" w:hAnsi="黑体" w:eastAsia="黑体"/>
                <w:b/>
                <w:bCs/>
                <w:snapToGrid w:val="0"/>
                <w:color w:val="auto"/>
                <w:spacing w:val="-6"/>
                <w:kern w:val="21"/>
                <w:szCs w:val="21"/>
                <w:highlight w:val="none"/>
                <w:u w:val="none"/>
              </w:rPr>
              <w:t>体</w:t>
            </w:r>
            <w:r>
              <w:rPr>
                <w:rFonts w:hint="default" w:ascii="黑体" w:hAnsi="黑体" w:eastAsia="黑体"/>
                <w:b/>
                <w:bCs/>
                <w:snapToGrid w:val="0"/>
                <w:color w:val="auto"/>
                <w:spacing w:val="-6"/>
                <w:kern w:val="21"/>
                <w:szCs w:val="21"/>
                <w:highlight w:val="none"/>
                <w:u w:val="none"/>
              </w:rPr>
              <w:t>废</w:t>
            </w:r>
            <w:r>
              <w:rPr>
                <w:rFonts w:hint="eastAsia" w:ascii="黑体" w:hAnsi="黑体" w:eastAsia="黑体"/>
                <w:b/>
                <w:bCs/>
                <w:snapToGrid w:val="0"/>
                <w:color w:val="auto"/>
                <w:spacing w:val="-6"/>
                <w:kern w:val="21"/>
                <w:szCs w:val="21"/>
                <w:highlight w:val="none"/>
                <w:u w:val="none"/>
              </w:rPr>
              <w:t>物</w:t>
            </w:r>
            <w:r>
              <w:rPr>
                <w:rFonts w:hint="default" w:ascii="黑体" w:hAnsi="黑体" w:eastAsia="黑体"/>
                <w:b/>
                <w:bCs/>
                <w:snapToGrid w:val="0"/>
                <w:color w:val="auto"/>
                <w:spacing w:val="-6"/>
                <w:kern w:val="21"/>
                <w:szCs w:val="21"/>
                <w:highlight w:val="none"/>
                <w:u w:val="none"/>
              </w:rPr>
              <w:t>产生量）</w:t>
            </w:r>
            <w:r>
              <w:rPr>
                <w:rFonts w:hint="default" w:ascii="黑体" w:hAnsi="黑体" w:eastAsia="黑体"/>
                <w:b/>
                <w:bCs/>
                <w:snapToGrid w:val="0"/>
                <w:color w:val="auto"/>
                <w:spacing w:val="-6"/>
                <w:kern w:val="21"/>
                <w:szCs w:val="21"/>
                <w:highlight w:val="none"/>
                <w:u w:val="none"/>
              </w:rPr>
              <w:fldChar w:fldCharType="begin"/>
            </w:r>
            <w:r>
              <w:rPr>
                <w:rFonts w:hint="default" w:ascii="黑体" w:hAnsi="黑体" w:eastAsia="黑体"/>
                <w:b/>
                <w:bCs/>
                <w:snapToGrid w:val="0"/>
                <w:color w:val="auto"/>
                <w:spacing w:val="-6"/>
                <w:kern w:val="21"/>
                <w:szCs w:val="21"/>
                <w:highlight w:val="none"/>
                <w:u w:val="none"/>
              </w:rPr>
              <w:instrText xml:space="preserve"> = 4 \* GB3 \* MERGEFORMAT </w:instrText>
            </w:r>
            <w:r>
              <w:rPr>
                <w:rFonts w:hint="default" w:ascii="黑体" w:hAnsi="黑体" w:eastAsia="黑体"/>
                <w:b/>
                <w:bCs/>
                <w:snapToGrid w:val="0"/>
                <w:color w:val="auto"/>
                <w:spacing w:val="-6"/>
                <w:kern w:val="21"/>
                <w:szCs w:val="21"/>
                <w:highlight w:val="none"/>
                <w:u w:val="none"/>
              </w:rPr>
              <w:fldChar w:fldCharType="separate"/>
            </w:r>
            <w:r>
              <w:rPr>
                <w:rFonts w:hint="eastAsia" w:ascii="黑体" w:hAnsi="黑体" w:eastAsia="黑体" w:cs="宋体"/>
                <w:b/>
                <w:bCs/>
                <w:color w:val="auto"/>
                <w:kern w:val="2"/>
                <w:szCs w:val="21"/>
                <w:highlight w:val="none"/>
                <w:u w:val="none"/>
              </w:rPr>
              <w:t>④</w:t>
            </w:r>
            <w:r>
              <w:rPr>
                <w:rFonts w:hint="default" w:ascii="黑体" w:hAnsi="黑体" w:eastAsia="黑体"/>
                <w:b/>
                <w:bCs/>
                <w:snapToGrid w:val="0"/>
                <w:color w:val="auto"/>
                <w:spacing w:val="-6"/>
                <w:kern w:val="21"/>
                <w:szCs w:val="21"/>
                <w:highlight w:val="none"/>
                <w:u w:val="none"/>
              </w:rPr>
              <w:fldChar w:fldCharType="end"/>
            </w:r>
          </w:p>
        </w:tc>
        <w:tc>
          <w:tcPr>
            <w:tcW w:w="1761" w:type="dxa"/>
            <w:noWrap w:val="0"/>
            <w:tcMar>
              <w:left w:w="28" w:type="dxa"/>
              <w:right w:w="28" w:type="dxa"/>
            </w:tcMar>
            <w:vAlign w:val="center"/>
          </w:tcPr>
          <w:p w14:paraId="46F65A2F">
            <w:pPr>
              <w:pStyle w:val="37"/>
              <w:keepNext w:val="0"/>
              <w:keepLines w:val="0"/>
              <w:suppressLineNumbers w:val="0"/>
              <w:spacing w:before="0" w:beforeLines="0" w:beforeAutospacing="0" w:after="0" w:afterLines="0" w:afterAutospacing="0" w:line="240" w:lineRule="auto"/>
              <w:ind w:left="0" w:right="0"/>
              <w:rPr>
                <w:rFonts w:hint="eastAsia" w:ascii="黑体" w:hAnsi="黑体" w:eastAsia="黑体"/>
                <w:b/>
                <w:bCs/>
                <w:snapToGrid w:val="0"/>
                <w:color w:val="auto"/>
                <w:spacing w:val="-16"/>
                <w:kern w:val="21"/>
                <w:szCs w:val="21"/>
                <w:highlight w:val="none"/>
                <w:u w:val="none"/>
              </w:rPr>
            </w:pPr>
            <w:r>
              <w:rPr>
                <w:rFonts w:hint="default" w:ascii="黑体" w:hAnsi="黑体" w:eastAsia="黑体"/>
                <w:b/>
                <w:bCs/>
                <w:snapToGrid w:val="0"/>
                <w:color w:val="auto"/>
                <w:spacing w:val="-16"/>
                <w:kern w:val="21"/>
                <w:szCs w:val="21"/>
                <w:highlight w:val="none"/>
                <w:u w:val="none"/>
              </w:rPr>
              <w:t>以新带老削减量</w:t>
            </w:r>
          </w:p>
          <w:p w14:paraId="5AAFE133">
            <w:pPr>
              <w:pStyle w:val="37"/>
              <w:keepNext w:val="0"/>
              <w:keepLines w:val="0"/>
              <w:suppressLineNumbers w:val="0"/>
              <w:spacing w:before="0" w:beforeLines="0" w:beforeAutospacing="0" w:after="0" w:afterLines="0" w:afterAutospacing="0" w:line="240" w:lineRule="auto"/>
              <w:ind w:left="0" w:right="0"/>
              <w:rPr>
                <w:rFonts w:hint="default" w:ascii="黑体" w:hAnsi="黑体" w:eastAsia="黑体"/>
                <w:b/>
                <w:bCs/>
                <w:snapToGrid w:val="0"/>
                <w:color w:val="auto"/>
                <w:spacing w:val="-16"/>
                <w:kern w:val="21"/>
                <w:szCs w:val="21"/>
                <w:highlight w:val="none"/>
                <w:u w:val="none"/>
              </w:rPr>
            </w:pPr>
            <w:r>
              <w:rPr>
                <w:rFonts w:hint="default" w:ascii="黑体" w:hAnsi="黑体" w:eastAsia="黑体"/>
                <w:b/>
                <w:bCs/>
                <w:snapToGrid w:val="0"/>
                <w:color w:val="auto"/>
                <w:spacing w:val="-16"/>
                <w:kern w:val="21"/>
                <w:szCs w:val="21"/>
                <w:highlight w:val="none"/>
                <w:u w:val="none"/>
              </w:rPr>
              <w:t>（新建项目不填）</w:t>
            </w:r>
            <w:r>
              <w:rPr>
                <w:rFonts w:hint="default" w:ascii="黑体" w:hAnsi="黑体" w:eastAsia="黑体"/>
                <w:b/>
                <w:bCs/>
                <w:snapToGrid w:val="0"/>
                <w:color w:val="auto"/>
                <w:spacing w:val="-16"/>
                <w:kern w:val="21"/>
                <w:szCs w:val="21"/>
                <w:highlight w:val="none"/>
                <w:u w:val="none"/>
              </w:rPr>
              <w:fldChar w:fldCharType="begin"/>
            </w:r>
            <w:r>
              <w:rPr>
                <w:rFonts w:hint="default" w:ascii="黑体" w:hAnsi="黑体" w:eastAsia="黑体"/>
                <w:b/>
                <w:bCs/>
                <w:snapToGrid w:val="0"/>
                <w:color w:val="auto"/>
                <w:spacing w:val="-16"/>
                <w:kern w:val="21"/>
                <w:szCs w:val="21"/>
                <w:highlight w:val="none"/>
                <w:u w:val="none"/>
              </w:rPr>
              <w:instrText xml:space="preserve"> = 5 \* GB3 \* MERGEFORMAT </w:instrText>
            </w:r>
            <w:r>
              <w:rPr>
                <w:rFonts w:hint="default" w:ascii="黑体" w:hAnsi="黑体" w:eastAsia="黑体"/>
                <w:b/>
                <w:bCs/>
                <w:snapToGrid w:val="0"/>
                <w:color w:val="auto"/>
                <w:spacing w:val="-16"/>
                <w:kern w:val="21"/>
                <w:szCs w:val="21"/>
                <w:highlight w:val="none"/>
                <w:u w:val="none"/>
              </w:rPr>
              <w:fldChar w:fldCharType="separate"/>
            </w:r>
            <w:r>
              <w:rPr>
                <w:rFonts w:hint="eastAsia" w:ascii="黑体" w:hAnsi="黑体" w:eastAsia="黑体" w:cs="宋体"/>
                <w:b/>
                <w:bCs/>
                <w:color w:val="auto"/>
                <w:kern w:val="2"/>
                <w:szCs w:val="21"/>
                <w:highlight w:val="none"/>
                <w:u w:val="none"/>
              </w:rPr>
              <w:t>⑤</w:t>
            </w:r>
            <w:r>
              <w:rPr>
                <w:rFonts w:hint="default" w:ascii="黑体" w:hAnsi="黑体" w:eastAsia="黑体"/>
                <w:b/>
                <w:bCs/>
                <w:snapToGrid w:val="0"/>
                <w:color w:val="auto"/>
                <w:spacing w:val="-16"/>
                <w:kern w:val="21"/>
                <w:szCs w:val="21"/>
                <w:highlight w:val="none"/>
                <w:u w:val="none"/>
              </w:rPr>
              <w:fldChar w:fldCharType="end"/>
            </w:r>
          </w:p>
        </w:tc>
        <w:tc>
          <w:tcPr>
            <w:tcW w:w="1812" w:type="dxa"/>
            <w:noWrap w:val="0"/>
            <w:tcMar>
              <w:left w:w="28" w:type="dxa"/>
              <w:right w:w="28" w:type="dxa"/>
            </w:tcMar>
            <w:vAlign w:val="center"/>
          </w:tcPr>
          <w:p w14:paraId="4F305DFA">
            <w:pPr>
              <w:pStyle w:val="37"/>
              <w:keepNext w:val="0"/>
              <w:keepLines w:val="0"/>
              <w:suppressLineNumbers w:val="0"/>
              <w:spacing w:before="0" w:beforeLines="0" w:beforeAutospacing="0" w:after="0" w:afterLines="0" w:afterAutospacing="0" w:line="240" w:lineRule="auto"/>
              <w:ind w:left="0" w:right="0"/>
              <w:rPr>
                <w:rFonts w:hint="eastAsia" w:ascii="黑体" w:hAnsi="黑体" w:eastAsia="黑体"/>
                <w:b/>
                <w:bCs/>
                <w:snapToGrid w:val="0"/>
                <w:color w:val="auto"/>
                <w:spacing w:val="-16"/>
                <w:kern w:val="21"/>
                <w:szCs w:val="21"/>
                <w:highlight w:val="none"/>
                <w:u w:val="none"/>
              </w:rPr>
            </w:pPr>
            <w:r>
              <w:rPr>
                <w:rFonts w:hint="default" w:ascii="黑体" w:hAnsi="黑体" w:eastAsia="黑体"/>
                <w:b/>
                <w:bCs/>
                <w:snapToGrid w:val="0"/>
                <w:color w:val="auto"/>
                <w:spacing w:val="-16"/>
                <w:kern w:val="21"/>
                <w:szCs w:val="21"/>
                <w:highlight w:val="none"/>
                <w:u w:val="none"/>
              </w:rPr>
              <w:t>本项目建成后</w:t>
            </w:r>
          </w:p>
          <w:p w14:paraId="0DADE88C">
            <w:pPr>
              <w:pStyle w:val="37"/>
              <w:keepNext w:val="0"/>
              <w:keepLines w:val="0"/>
              <w:suppressLineNumbers w:val="0"/>
              <w:spacing w:before="0" w:beforeLines="0" w:beforeAutospacing="0" w:after="0" w:afterLines="0" w:afterAutospacing="0" w:line="240" w:lineRule="auto"/>
              <w:ind w:left="0" w:right="0"/>
              <w:rPr>
                <w:rFonts w:hint="default" w:ascii="黑体" w:hAnsi="黑体" w:eastAsia="黑体"/>
                <w:b/>
                <w:bCs/>
                <w:snapToGrid w:val="0"/>
                <w:color w:val="auto"/>
                <w:spacing w:val="-16"/>
                <w:kern w:val="21"/>
                <w:szCs w:val="21"/>
                <w:highlight w:val="none"/>
                <w:u w:val="none"/>
              </w:rPr>
            </w:pPr>
            <w:r>
              <w:rPr>
                <w:rFonts w:hint="eastAsia" w:ascii="黑体" w:hAnsi="黑体" w:eastAsia="黑体"/>
                <w:b/>
                <w:bCs/>
                <w:snapToGrid w:val="0"/>
                <w:color w:val="auto"/>
                <w:spacing w:val="-16"/>
                <w:kern w:val="21"/>
                <w:szCs w:val="21"/>
                <w:highlight w:val="none"/>
                <w:u w:val="none"/>
              </w:rPr>
              <w:t>全厂</w:t>
            </w:r>
            <w:r>
              <w:rPr>
                <w:rFonts w:hint="default" w:ascii="黑体" w:hAnsi="黑体" w:eastAsia="黑体"/>
                <w:b/>
                <w:bCs/>
                <w:snapToGrid w:val="0"/>
                <w:color w:val="auto"/>
                <w:spacing w:val="-16"/>
                <w:kern w:val="21"/>
                <w:szCs w:val="21"/>
                <w:highlight w:val="none"/>
                <w:u w:val="none"/>
              </w:rPr>
              <w:t>排放量（固</w:t>
            </w:r>
            <w:r>
              <w:rPr>
                <w:rFonts w:hint="eastAsia" w:ascii="黑体" w:hAnsi="黑体" w:eastAsia="黑体"/>
                <w:b/>
                <w:bCs/>
                <w:snapToGrid w:val="0"/>
                <w:color w:val="auto"/>
                <w:spacing w:val="-16"/>
                <w:kern w:val="21"/>
                <w:szCs w:val="21"/>
                <w:highlight w:val="none"/>
                <w:u w:val="none"/>
              </w:rPr>
              <w:t>体</w:t>
            </w:r>
            <w:r>
              <w:rPr>
                <w:rFonts w:hint="default" w:ascii="黑体" w:hAnsi="黑体" w:eastAsia="黑体"/>
                <w:b/>
                <w:bCs/>
                <w:snapToGrid w:val="0"/>
                <w:color w:val="auto"/>
                <w:spacing w:val="-16"/>
                <w:kern w:val="21"/>
                <w:szCs w:val="21"/>
                <w:highlight w:val="none"/>
                <w:u w:val="none"/>
              </w:rPr>
              <w:t>废</w:t>
            </w:r>
            <w:r>
              <w:rPr>
                <w:rFonts w:hint="eastAsia" w:ascii="黑体" w:hAnsi="黑体" w:eastAsia="黑体"/>
                <w:b/>
                <w:bCs/>
                <w:snapToGrid w:val="0"/>
                <w:color w:val="auto"/>
                <w:spacing w:val="-16"/>
                <w:kern w:val="21"/>
                <w:szCs w:val="21"/>
                <w:highlight w:val="none"/>
                <w:u w:val="none"/>
              </w:rPr>
              <w:t>物</w:t>
            </w:r>
            <w:r>
              <w:rPr>
                <w:rFonts w:hint="default" w:ascii="黑体" w:hAnsi="黑体" w:eastAsia="黑体"/>
                <w:b/>
                <w:bCs/>
                <w:snapToGrid w:val="0"/>
                <w:color w:val="auto"/>
                <w:spacing w:val="-16"/>
                <w:kern w:val="21"/>
                <w:szCs w:val="21"/>
                <w:highlight w:val="none"/>
                <w:u w:val="none"/>
              </w:rPr>
              <w:t>产生量）</w:t>
            </w:r>
            <w:r>
              <w:rPr>
                <w:rFonts w:hint="default" w:ascii="黑体" w:hAnsi="黑体" w:eastAsia="黑体"/>
                <w:b/>
                <w:bCs/>
                <w:snapToGrid w:val="0"/>
                <w:color w:val="auto"/>
                <w:spacing w:val="-16"/>
                <w:kern w:val="21"/>
                <w:szCs w:val="21"/>
                <w:highlight w:val="none"/>
                <w:u w:val="none"/>
              </w:rPr>
              <w:fldChar w:fldCharType="begin"/>
            </w:r>
            <w:r>
              <w:rPr>
                <w:rFonts w:hint="default" w:ascii="黑体" w:hAnsi="黑体" w:eastAsia="黑体"/>
                <w:b/>
                <w:bCs/>
                <w:snapToGrid w:val="0"/>
                <w:color w:val="auto"/>
                <w:spacing w:val="-16"/>
                <w:kern w:val="21"/>
                <w:szCs w:val="21"/>
                <w:highlight w:val="none"/>
                <w:u w:val="none"/>
              </w:rPr>
              <w:instrText xml:space="preserve"> = 6 \* GB3 \* MERGEFORMAT </w:instrText>
            </w:r>
            <w:r>
              <w:rPr>
                <w:rFonts w:hint="default" w:ascii="黑体" w:hAnsi="黑体" w:eastAsia="黑体"/>
                <w:b/>
                <w:bCs/>
                <w:snapToGrid w:val="0"/>
                <w:color w:val="auto"/>
                <w:spacing w:val="-16"/>
                <w:kern w:val="21"/>
                <w:szCs w:val="21"/>
                <w:highlight w:val="none"/>
                <w:u w:val="none"/>
              </w:rPr>
              <w:fldChar w:fldCharType="separate"/>
            </w:r>
            <w:r>
              <w:rPr>
                <w:rFonts w:hint="eastAsia" w:ascii="黑体" w:hAnsi="黑体" w:eastAsia="黑体" w:cs="宋体"/>
                <w:b/>
                <w:bCs/>
                <w:color w:val="auto"/>
                <w:kern w:val="2"/>
                <w:szCs w:val="21"/>
                <w:highlight w:val="none"/>
                <w:u w:val="none"/>
              </w:rPr>
              <w:t>⑥</w:t>
            </w:r>
            <w:r>
              <w:rPr>
                <w:rFonts w:hint="default" w:ascii="黑体" w:hAnsi="黑体" w:eastAsia="黑体"/>
                <w:b/>
                <w:bCs/>
                <w:snapToGrid w:val="0"/>
                <w:color w:val="auto"/>
                <w:spacing w:val="-16"/>
                <w:kern w:val="21"/>
                <w:szCs w:val="21"/>
                <w:highlight w:val="none"/>
                <w:u w:val="none"/>
              </w:rPr>
              <w:fldChar w:fldCharType="end"/>
            </w:r>
          </w:p>
        </w:tc>
        <w:tc>
          <w:tcPr>
            <w:tcW w:w="973" w:type="dxa"/>
            <w:noWrap w:val="0"/>
            <w:tcMar>
              <w:left w:w="28" w:type="dxa"/>
              <w:right w:w="28" w:type="dxa"/>
            </w:tcMar>
            <w:vAlign w:val="center"/>
          </w:tcPr>
          <w:p w14:paraId="1C849DDA">
            <w:pPr>
              <w:pStyle w:val="37"/>
              <w:keepNext w:val="0"/>
              <w:keepLines w:val="0"/>
              <w:suppressLineNumbers w:val="0"/>
              <w:spacing w:before="0" w:beforeLines="0" w:beforeAutospacing="0" w:after="0" w:afterLines="0" w:afterAutospacing="0" w:line="240" w:lineRule="auto"/>
              <w:ind w:left="0" w:right="0"/>
              <w:rPr>
                <w:rFonts w:hint="default"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t>变化量</w:t>
            </w:r>
          </w:p>
          <w:p w14:paraId="3F2E453E">
            <w:pPr>
              <w:pStyle w:val="37"/>
              <w:keepNext w:val="0"/>
              <w:keepLines w:val="0"/>
              <w:suppressLineNumbers w:val="0"/>
              <w:spacing w:before="0" w:beforeLines="0" w:beforeAutospacing="0" w:after="0" w:afterLines="0" w:afterAutospacing="0" w:line="240" w:lineRule="auto"/>
              <w:ind w:left="0" w:right="0"/>
              <w:rPr>
                <w:rFonts w:hint="default" w:ascii="黑体" w:hAnsi="黑体" w:eastAsia="黑体"/>
                <w:b/>
                <w:bCs/>
                <w:snapToGrid w:val="0"/>
                <w:color w:val="auto"/>
                <w:spacing w:val="-6"/>
                <w:kern w:val="21"/>
                <w:szCs w:val="21"/>
                <w:highlight w:val="none"/>
                <w:u w:val="none"/>
              </w:rPr>
            </w:pPr>
            <w:r>
              <w:rPr>
                <w:rFonts w:hint="default" w:ascii="黑体" w:hAnsi="黑体" w:eastAsia="黑体"/>
                <w:b/>
                <w:bCs/>
                <w:snapToGrid w:val="0"/>
                <w:color w:val="auto"/>
                <w:spacing w:val="-6"/>
                <w:kern w:val="21"/>
                <w:szCs w:val="21"/>
                <w:highlight w:val="none"/>
                <w:u w:val="none"/>
              </w:rPr>
              <w:fldChar w:fldCharType="begin"/>
            </w:r>
            <w:r>
              <w:rPr>
                <w:rFonts w:hint="default" w:ascii="黑体" w:hAnsi="黑体" w:eastAsia="黑体"/>
                <w:b/>
                <w:bCs/>
                <w:snapToGrid w:val="0"/>
                <w:color w:val="auto"/>
                <w:spacing w:val="-6"/>
                <w:kern w:val="21"/>
                <w:szCs w:val="21"/>
                <w:highlight w:val="none"/>
                <w:u w:val="none"/>
              </w:rPr>
              <w:instrText xml:space="preserve"> = 7 \* GB3 \* MERGEFORMAT </w:instrText>
            </w:r>
            <w:r>
              <w:rPr>
                <w:rFonts w:hint="default" w:ascii="黑体" w:hAnsi="黑体" w:eastAsia="黑体"/>
                <w:b/>
                <w:bCs/>
                <w:snapToGrid w:val="0"/>
                <w:color w:val="auto"/>
                <w:spacing w:val="-6"/>
                <w:kern w:val="21"/>
                <w:szCs w:val="21"/>
                <w:highlight w:val="none"/>
                <w:u w:val="none"/>
              </w:rPr>
              <w:fldChar w:fldCharType="separate"/>
            </w:r>
            <w:r>
              <w:rPr>
                <w:rFonts w:hint="eastAsia" w:ascii="黑体" w:hAnsi="黑体" w:eastAsia="黑体" w:cs="宋体"/>
                <w:b/>
                <w:bCs/>
                <w:color w:val="auto"/>
                <w:kern w:val="2"/>
                <w:szCs w:val="21"/>
                <w:highlight w:val="none"/>
                <w:u w:val="none"/>
              </w:rPr>
              <w:t>⑦</w:t>
            </w:r>
            <w:r>
              <w:rPr>
                <w:rFonts w:hint="default" w:ascii="黑体" w:hAnsi="黑体" w:eastAsia="黑体"/>
                <w:b/>
                <w:bCs/>
                <w:snapToGrid w:val="0"/>
                <w:color w:val="auto"/>
                <w:spacing w:val="-6"/>
                <w:kern w:val="21"/>
                <w:szCs w:val="21"/>
                <w:highlight w:val="none"/>
                <w:u w:val="none"/>
              </w:rPr>
              <w:fldChar w:fldCharType="end"/>
            </w:r>
          </w:p>
        </w:tc>
      </w:tr>
      <w:tr w14:paraId="4DBDFA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restart"/>
            <w:noWrap w:val="0"/>
            <w:vAlign w:val="center"/>
          </w:tcPr>
          <w:p w14:paraId="2BDF14B1">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r>
              <w:rPr>
                <w:rFonts w:hint="eastAsia" w:hAnsi="宋体" w:cs="宋体"/>
                <w:snapToGrid w:val="0"/>
                <w:color w:val="auto"/>
                <w:kern w:val="21"/>
                <w:szCs w:val="21"/>
                <w:highlight w:val="none"/>
                <w:u w:val="none"/>
              </w:rPr>
              <w:t>废气</w:t>
            </w:r>
          </w:p>
        </w:tc>
        <w:tc>
          <w:tcPr>
            <w:tcW w:w="1722" w:type="dxa"/>
            <w:noWrap w:val="0"/>
            <w:vAlign w:val="center"/>
          </w:tcPr>
          <w:p w14:paraId="0B82B104">
            <w:pPr>
              <w:pStyle w:val="37"/>
              <w:keepNext w:val="0"/>
              <w:keepLines w:val="0"/>
              <w:suppressLineNumbers w:val="0"/>
              <w:spacing w:before="0" w:beforeLines="0" w:beforeAutospacing="0" w:after="0" w:afterLines="0" w:afterAutospacing="0" w:line="240" w:lineRule="auto"/>
              <w:ind w:left="0" w:right="0"/>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颗粒物</w:t>
            </w:r>
          </w:p>
        </w:tc>
        <w:tc>
          <w:tcPr>
            <w:tcW w:w="1835" w:type="dxa"/>
            <w:noWrap w:val="0"/>
            <w:vAlign w:val="center"/>
          </w:tcPr>
          <w:p w14:paraId="135C5FD9">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7B45AD12">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15B98B27">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027E22B1">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0.16</w:t>
            </w:r>
          </w:p>
        </w:tc>
        <w:tc>
          <w:tcPr>
            <w:tcW w:w="1761" w:type="dxa"/>
            <w:shd w:val="clear" w:color="auto" w:fill="auto"/>
            <w:noWrap w:val="0"/>
            <w:vAlign w:val="center"/>
          </w:tcPr>
          <w:p w14:paraId="4EAE7A4C">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5585D775">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40BBB863">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r>
      <w:tr w14:paraId="6D1EB88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57EA6198">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noWrap w:val="0"/>
            <w:vAlign w:val="center"/>
          </w:tcPr>
          <w:p w14:paraId="06D3B366">
            <w:pPr>
              <w:pStyle w:val="37"/>
              <w:keepNext w:val="0"/>
              <w:keepLines w:val="0"/>
              <w:suppressLineNumbers w:val="0"/>
              <w:spacing w:before="0" w:beforeLines="0" w:beforeAutospacing="0" w:after="0" w:afterLines="0" w:afterAutospacing="0" w:line="240" w:lineRule="auto"/>
              <w:ind w:left="0" w:right="0"/>
              <w:rPr>
                <w:rFonts w:hint="default" w:hAnsi="宋体" w:eastAsia="宋体" w:cs="宋体"/>
                <w:snapToGrid w:val="0"/>
                <w:color w:val="auto"/>
                <w:kern w:val="21"/>
                <w:szCs w:val="21"/>
                <w:highlight w:val="none"/>
                <w:u w:val="none"/>
                <w:lang w:val="en-US" w:eastAsia="zh-CN"/>
              </w:rPr>
            </w:pPr>
            <w:r>
              <w:rPr>
                <w:rFonts w:hint="eastAsia" w:hAnsi="宋体" w:eastAsia="宋体" w:cs="宋体"/>
                <w:snapToGrid w:val="0"/>
                <w:color w:val="auto"/>
                <w:kern w:val="21"/>
                <w:szCs w:val="21"/>
                <w:highlight w:val="none"/>
                <w:u w:val="none"/>
                <w:lang w:val="en-US" w:eastAsia="zh-CN"/>
              </w:rPr>
              <w:t>二氧化硫</w:t>
            </w:r>
          </w:p>
        </w:tc>
        <w:tc>
          <w:tcPr>
            <w:tcW w:w="1835" w:type="dxa"/>
            <w:noWrap w:val="0"/>
            <w:vAlign w:val="center"/>
          </w:tcPr>
          <w:p w14:paraId="6D58410C">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1081452C">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701" w:type="dxa"/>
            <w:noWrap w:val="0"/>
            <w:vAlign w:val="center"/>
          </w:tcPr>
          <w:p w14:paraId="53E0C466">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5F93484D">
            <w:pPr>
              <w:keepNext w:val="0"/>
              <w:keepLines w:val="0"/>
              <w:widowControl/>
              <w:suppressLineNumbers w:val="0"/>
              <w:spacing w:before="0" w:beforeAutospacing="0" w:after="0" w:afterAutospacing="0" w:line="240" w:lineRule="auto"/>
              <w:ind w:left="0" w:right="0"/>
              <w:jc w:val="center"/>
              <w:textAlignment w:val="center"/>
              <w:rPr>
                <w:rFonts w:hint="default" w:hAnsi="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0.122</w:t>
            </w:r>
          </w:p>
        </w:tc>
        <w:tc>
          <w:tcPr>
            <w:tcW w:w="1761" w:type="dxa"/>
            <w:shd w:val="clear" w:color="auto" w:fill="auto"/>
            <w:noWrap w:val="0"/>
            <w:vAlign w:val="center"/>
          </w:tcPr>
          <w:p w14:paraId="73C6844B">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77B28614">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26DB3E71">
            <w:pPr>
              <w:keepNext w:val="0"/>
              <w:keepLines w:val="0"/>
              <w:widowControl/>
              <w:suppressLineNumbers w:val="0"/>
              <w:spacing w:before="0" w:beforeAutospacing="0" w:after="0" w:afterAutospacing="0" w:line="240" w:lineRule="auto"/>
              <w:ind w:left="0" w:right="0"/>
              <w:jc w:val="center"/>
              <w:textAlignment w:val="center"/>
              <w:rPr>
                <w:rFonts w:hint="default" w:hAnsi="宋体" w:cs="宋体"/>
                <w:snapToGrid w:val="0"/>
                <w:color w:val="auto"/>
                <w:kern w:val="21"/>
                <w:szCs w:val="21"/>
                <w:highlight w:val="none"/>
                <w:u w:val="none"/>
                <w:lang w:val="en-US" w:eastAsia="zh-CN"/>
              </w:rPr>
            </w:pPr>
          </w:p>
        </w:tc>
      </w:tr>
      <w:tr w14:paraId="530EA4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27C51C7B">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noWrap w:val="0"/>
            <w:vAlign w:val="center"/>
          </w:tcPr>
          <w:p w14:paraId="0013E081">
            <w:pPr>
              <w:pStyle w:val="37"/>
              <w:keepNext w:val="0"/>
              <w:keepLines w:val="0"/>
              <w:suppressLineNumbers w:val="0"/>
              <w:spacing w:before="0" w:beforeLines="0" w:beforeAutospacing="0" w:after="0" w:afterLines="0" w:afterAutospacing="0" w:line="240" w:lineRule="auto"/>
              <w:ind w:left="0" w:right="0"/>
              <w:rPr>
                <w:rFonts w:hint="default" w:hAnsi="宋体" w:eastAsia="宋体" w:cs="宋体"/>
                <w:snapToGrid w:val="0"/>
                <w:color w:val="auto"/>
                <w:kern w:val="21"/>
                <w:szCs w:val="21"/>
                <w:highlight w:val="none"/>
                <w:u w:val="none"/>
                <w:lang w:val="en-US" w:eastAsia="zh-CN"/>
              </w:rPr>
            </w:pPr>
            <w:r>
              <w:rPr>
                <w:rFonts w:hint="eastAsia" w:hAnsi="宋体" w:eastAsia="宋体" w:cs="宋体"/>
                <w:snapToGrid w:val="0"/>
                <w:color w:val="auto"/>
                <w:kern w:val="21"/>
                <w:szCs w:val="21"/>
                <w:highlight w:val="none"/>
                <w:u w:val="none"/>
                <w:lang w:val="en-US" w:eastAsia="zh-CN"/>
              </w:rPr>
              <w:t>氮氧化物</w:t>
            </w:r>
          </w:p>
        </w:tc>
        <w:tc>
          <w:tcPr>
            <w:tcW w:w="1835" w:type="dxa"/>
            <w:noWrap w:val="0"/>
            <w:vAlign w:val="center"/>
          </w:tcPr>
          <w:p w14:paraId="2C7144F4">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0092882E">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701" w:type="dxa"/>
            <w:noWrap w:val="0"/>
            <w:vAlign w:val="center"/>
          </w:tcPr>
          <w:p w14:paraId="4BBB3E1B">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252C2324">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0.163</w:t>
            </w:r>
          </w:p>
        </w:tc>
        <w:tc>
          <w:tcPr>
            <w:tcW w:w="1761" w:type="dxa"/>
            <w:shd w:val="clear" w:color="auto" w:fill="auto"/>
            <w:noWrap w:val="0"/>
            <w:vAlign w:val="center"/>
          </w:tcPr>
          <w:p w14:paraId="01900F16">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7B6DB28E">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61ECA054">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r>
      <w:tr w14:paraId="7CF591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421B7262">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noWrap w:val="0"/>
            <w:vAlign w:val="center"/>
          </w:tcPr>
          <w:p w14:paraId="3C5C4153">
            <w:pPr>
              <w:pStyle w:val="37"/>
              <w:keepNext w:val="0"/>
              <w:keepLines w:val="0"/>
              <w:suppressLineNumbers w:val="0"/>
              <w:spacing w:before="0" w:beforeLines="0" w:beforeAutospacing="0" w:after="0" w:afterLines="0" w:afterAutospacing="0" w:line="240" w:lineRule="auto"/>
              <w:ind w:left="0" w:right="0"/>
              <w:rPr>
                <w:rFonts w:hint="default" w:hAnsi="宋体" w:eastAsia="宋体" w:cs="宋体"/>
                <w:snapToGrid w:val="0"/>
                <w:color w:val="auto"/>
                <w:kern w:val="21"/>
                <w:szCs w:val="21"/>
                <w:highlight w:val="none"/>
                <w:u w:val="none"/>
                <w:lang w:val="en-US" w:eastAsia="zh-CN"/>
              </w:rPr>
            </w:pPr>
            <w:r>
              <w:rPr>
                <w:rFonts w:hint="eastAsia" w:hAnsi="宋体" w:eastAsia="宋体" w:cs="宋体"/>
                <w:snapToGrid w:val="0"/>
                <w:color w:val="auto"/>
                <w:kern w:val="21"/>
                <w:szCs w:val="21"/>
                <w:highlight w:val="none"/>
                <w:u w:val="none"/>
                <w:lang w:val="en-US" w:eastAsia="zh-CN"/>
              </w:rPr>
              <w:t>氨</w:t>
            </w:r>
          </w:p>
        </w:tc>
        <w:tc>
          <w:tcPr>
            <w:tcW w:w="1835" w:type="dxa"/>
            <w:noWrap w:val="0"/>
            <w:vAlign w:val="center"/>
          </w:tcPr>
          <w:p w14:paraId="270CE2B5">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27764F40">
            <w:pPr>
              <w:keepNext w:val="0"/>
              <w:keepLines w:val="0"/>
              <w:suppressLineNumbers w:val="0"/>
              <w:spacing w:before="0" w:beforeAutospacing="0" w:after="0" w:afterAutospacing="0" w:line="240" w:lineRule="auto"/>
              <w:ind w:left="0" w:right="0"/>
              <w:jc w:val="center"/>
              <w:rPr>
                <w:rFonts w:hint="eastAsia" w:hAnsi="宋体" w:cs="宋体"/>
                <w:snapToGrid w:val="0"/>
                <w:color w:val="auto"/>
                <w:kern w:val="21"/>
                <w:szCs w:val="21"/>
                <w:highlight w:val="none"/>
                <w:u w:val="none"/>
                <w:lang w:val="en-US" w:eastAsia="zh-CN"/>
              </w:rPr>
            </w:pPr>
          </w:p>
        </w:tc>
        <w:tc>
          <w:tcPr>
            <w:tcW w:w="1701" w:type="dxa"/>
            <w:noWrap w:val="0"/>
            <w:vAlign w:val="center"/>
          </w:tcPr>
          <w:p w14:paraId="7A956C45">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342EB341">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0.000056</w:t>
            </w:r>
          </w:p>
        </w:tc>
        <w:tc>
          <w:tcPr>
            <w:tcW w:w="1761" w:type="dxa"/>
            <w:shd w:val="clear" w:color="auto" w:fill="auto"/>
            <w:noWrap w:val="0"/>
            <w:vAlign w:val="center"/>
          </w:tcPr>
          <w:p w14:paraId="64629F9C">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2D558D80">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6D4E9F6E">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r>
      <w:tr w14:paraId="26D830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7F259C7D">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shd w:val="clear" w:color="auto" w:fill="auto"/>
            <w:noWrap w:val="0"/>
            <w:vAlign w:val="center"/>
          </w:tcPr>
          <w:p w14:paraId="0F7C5470">
            <w:pPr>
              <w:pStyle w:val="37"/>
              <w:keepNext w:val="0"/>
              <w:keepLines w:val="0"/>
              <w:suppressLineNumbers w:val="0"/>
              <w:spacing w:before="0" w:beforeLines="0" w:beforeAutospacing="0" w:after="0" w:afterLines="0" w:afterAutospacing="0" w:line="240" w:lineRule="auto"/>
              <w:ind w:left="0" w:right="0"/>
              <w:rPr>
                <w:rFonts w:hint="default" w:ascii="Times New Roman" w:hAnsi="宋体" w:eastAsia="宋体" w:cs="宋体"/>
                <w:snapToGrid w:val="0"/>
                <w:color w:val="auto"/>
                <w:kern w:val="21"/>
                <w:sz w:val="21"/>
                <w:szCs w:val="21"/>
                <w:highlight w:val="none"/>
                <w:u w:val="none"/>
                <w:lang w:val="en-US" w:eastAsia="zh-CN" w:bidi="ar-SA"/>
              </w:rPr>
            </w:pPr>
            <w:r>
              <w:rPr>
                <w:rFonts w:hint="eastAsia" w:hAnsi="宋体" w:cs="宋体"/>
                <w:snapToGrid w:val="0"/>
                <w:color w:val="auto"/>
                <w:kern w:val="21"/>
                <w:szCs w:val="21"/>
                <w:highlight w:val="none"/>
                <w:u w:val="none"/>
                <w:lang w:val="en-US" w:eastAsia="zh-CN"/>
              </w:rPr>
              <w:t>H</w:t>
            </w:r>
            <w:r>
              <w:rPr>
                <w:rFonts w:hint="eastAsia" w:hAnsi="宋体" w:cs="宋体"/>
                <w:snapToGrid w:val="0"/>
                <w:color w:val="auto"/>
                <w:kern w:val="21"/>
                <w:szCs w:val="21"/>
                <w:highlight w:val="none"/>
                <w:u w:val="none"/>
                <w:vertAlign w:val="subscript"/>
                <w:lang w:val="en-US" w:eastAsia="zh-CN"/>
              </w:rPr>
              <w:t>2</w:t>
            </w:r>
            <w:r>
              <w:rPr>
                <w:rFonts w:hint="eastAsia" w:hAnsi="宋体" w:cs="宋体"/>
                <w:snapToGrid w:val="0"/>
                <w:color w:val="auto"/>
                <w:kern w:val="21"/>
                <w:szCs w:val="21"/>
                <w:highlight w:val="none"/>
                <w:u w:val="none"/>
                <w:lang w:val="en-US" w:eastAsia="zh-CN"/>
              </w:rPr>
              <w:t>S</w:t>
            </w:r>
          </w:p>
        </w:tc>
        <w:tc>
          <w:tcPr>
            <w:tcW w:w="1835" w:type="dxa"/>
            <w:shd w:val="clear" w:color="auto" w:fill="auto"/>
            <w:noWrap w:val="0"/>
            <w:vAlign w:val="center"/>
          </w:tcPr>
          <w:p w14:paraId="1DE88D5A">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c>
          <w:tcPr>
            <w:tcW w:w="1142" w:type="dxa"/>
            <w:shd w:val="clear" w:color="auto" w:fill="auto"/>
            <w:noWrap w:val="0"/>
            <w:vAlign w:val="center"/>
          </w:tcPr>
          <w:p w14:paraId="7D5175C7">
            <w:pPr>
              <w:keepNext w:val="0"/>
              <w:keepLines w:val="0"/>
              <w:suppressLineNumbers w:val="0"/>
              <w:spacing w:before="0" w:beforeAutospacing="0" w:after="0" w:afterAutospacing="0" w:line="240" w:lineRule="auto"/>
              <w:ind w:left="0" w:right="0"/>
              <w:jc w:val="center"/>
              <w:rPr>
                <w:rFonts w:hint="eastAsia" w:ascii="Times New Roman" w:hAnsi="宋体" w:eastAsia="宋体" w:cs="宋体"/>
                <w:snapToGrid w:val="0"/>
                <w:color w:val="auto"/>
                <w:kern w:val="21"/>
                <w:sz w:val="21"/>
                <w:szCs w:val="21"/>
                <w:highlight w:val="none"/>
                <w:u w:val="none"/>
                <w:lang w:val="en-US" w:eastAsia="zh-CN" w:bidi="ar-SA"/>
              </w:rPr>
            </w:pPr>
          </w:p>
        </w:tc>
        <w:tc>
          <w:tcPr>
            <w:tcW w:w="1701" w:type="dxa"/>
            <w:shd w:val="clear" w:color="auto" w:fill="auto"/>
            <w:noWrap w:val="0"/>
            <w:vAlign w:val="center"/>
          </w:tcPr>
          <w:p w14:paraId="517905DD">
            <w:pPr>
              <w:keepNext w:val="0"/>
              <w:keepLines w:val="0"/>
              <w:suppressLineNumbers w:val="0"/>
              <w:spacing w:before="0" w:beforeAutospacing="0" w:after="0" w:afterAutospacing="0" w:line="240" w:lineRule="auto"/>
              <w:ind w:left="0" w:right="0"/>
              <w:jc w:val="center"/>
              <w:rPr>
                <w:rFonts w:hint="default" w:ascii="Times New Roman" w:hAnsi="宋体" w:eastAsia="宋体" w:cs="宋体"/>
                <w:snapToGrid w:val="0"/>
                <w:color w:val="auto"/>
                <w:kern w:val="21"/>
                <w:sz w:val="21"/>
                <w:szCs w:val="21"/>
                <w:highlight w:val="none"/>
                <w:u w:val="none"/>
                <w:lang w:val="en-US" w:eastAsia="zh-CN" w:bidi="ar-SA"/>
              </w:rPr>
            </w:pPr>
          </w:p>
        </w:tc>
        <w:tc>
          <w:tcPr>
            <w:tcW w:w="1559" w:type="dxa"/>
            <w:shd w:val="clear" w:color="auto" w:fill="auto"/>
            <w:noWrap w:val="0"/>
            <w:vAlign w:val="center"/>
          </w:tcPr>
          <w:p w14:paraId="35A43243">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r>
              <w:rPr>
                <w:rFonts w:hint="eastAsia" w:hAnsi="宋体" w:cs="宋体"/>
                <w:snapToGrid w:val="0"/>
                <w:color w:val="auto"/>
                <w:kern w:val="21"/>
                <w:sz w:val="21"/>
                <w:szCs w:val="21"/>
                <w:highlight w:val="none"/>
                <w:u w:val="none"/>
                <w:lang w:val="en-US" w:eastAsia="zh-CN" w:bidi="ar-SA"/>
              </w:rPr>
              <w:t>0.00055</w:t>
            </w:r>
          </w:p>
        </w:tc>
        <w:tc>
          <w:tcPr>
            <w:tcW w:w="1761" w:type="dxa"/>
            <w:shd w:val="clear" w:color="auto" w:fill="auto"/>
            <w:noWrap w:val="0"/>
            <w:vAlign w:val="center"/>
          </w:tcPr>
          <w:p w14:paraId="0F67BC55">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07C6CD5C">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c>
          <w:tcPr>
            <w:tcW w:w="973" w:type="dxa"/>
            <w:noWrap w:val="0"/>
            <w:vAlign w:val="center"/>
          </w:tcPr>
          <w:p w14:paraId="7328471E">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r>
      <w:tr w14:paraId="7C1D1D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restart"/>
            <w:noWrap w:val="0"/>
            <w:vAlign w:val="center"/>
          </w:tcPr>
          <w:p w14:paraId="782001E0">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r>
              <w:rPr>
                <w:rFonts w:hint="eastAsia" w:hAnsi="宋体" w:cs="宋体"/>
                <w:snapToGrid w:val="0"/>
                <w:color w:val="auto"/>
                <w:kern w:val="21"/>
                <w:szCs w:val="21"/>
                <w:highlight w:val="none"/>
                <w:u w:val="none"/>
              </w:rPr>
              <w:t>废水</w:t>
            </w:r>
          </w:p>
        </w:tc>
        <w:tc>
          <w:tcPr>
            <w:tcW w:w="1722" w:type="dxa"/>
            <w:noWrap w:val="0"/>
            <w:vAlign w:val="center"/>
          </w:tcPr>
          <w:p w14:paraId="32122FBC">
            <w:pPr>
              <w:pStyle w:val="37"/>
              <w:keepNext w:val="0"/>
              <w:keepLines w:val="0"/>
              <w:suppressLineNumbers w:val="0"/>
              <w:spacing w:before="0" w:beforeLines="0" w:beforeAutospacing="0" w:after="0" w:afterLines="0" w:afterAutospacing="0" w:line="240" w:lineRule="auto"/>
              <w:ind w:left="0" w:right="0"/>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COD</w:t>
            </w:r>
          </w:p>
        </w:tc>
        <w:tc>
          <w:tcPr>
            <w:tcW w:w="1835" w:type="dxa"/>
            <w:noWrap w:val="0"/>
            <w:vAlign w:val="center"/>
          </w:tcPr>
          <w:p w14:paraId="735FB543">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6CC9489E">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7E0463B6">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300639F1">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1.544（排入环境量）</w:t>
            </w:r>
          </w:p>
        </w:tc>
        <w:tc>
          <w:tcPr>
            <w:tcW w:w="1761" w:type="dxa"/>
            <w:shd w:val="clear" w:color="auto" w:fill="auto"/>
            <w:noWrap w:val="0"/>
            <w:vAlign w:val="center"/>
          </w:tcPr>
          <w:p w14:paraId="10294F28">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5DBC5C13">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p>
        </w:tc>
        <w:tc>
          <w:tcPr>
            <w:tcW w:w="973" w:type="dxa"/>
            <w:noWrap w:val="0"/>
            <w:vAlign w:val="center"/>
          </w:tcPr>
          <w:p w14:paraId="090EB091">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hAnsi="宋体" w:eastAsia="宋体" w:cs="宋体"/>
                <w:snapToGrid w:val="0"/>
                <w:color w:val="auto"/>
                <w:kern w:val="21"/>
                <w:szCs w:val="21"/>
                <w:highlight w:val="none"/>
                <w:u w:val="none"/>
                <w:lang w:val="en-US" w:eastAsia="zh-CN"/>
              </w:rPr>
            </w:pPr>
          </w:p>
        </w:tc>
      </w:tr>
      <w:tr w14:paraId="6907A1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2F330231">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noWrap w:val="0"/>
            <w:vAlign w:val="center"/>
          </w:tcPr>
          <w:p w14:paraId="79893E57">
            <w:pPr>
              <w:pStyle w:val="37"/>
              <w:keepNext w:val="0"/>
              <w:keepLines w:val="0"/>
              <w:suppressLineNumbers w:val="0"/>
              <w:spacing w:before="0" w:beforeLines="0" w:beforeAutospacing="0" w:after="0" w:afterLines="0" w:afterAutospacing="0" w:line="240" w:lineRule="auto"/>
              <w:ind w:left="0" w:right="0"/>
              <w:rPr>
                <w:rFonts w:hint="default" w:hAnsi="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BOD</w:t>
            </w:r>
          </w:p>
        </w:tc>
        <w:tc>
          <w:tcPr>
            <w:tcW w:w="1835" w:type="dxa"/>
            <w:noWrap w:val="0"/>
            <w:vAlign w:val="center"/>
          </w:tcPr>
          <w:p w14:paraId="1AF5E6B4">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4E9A6A01">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26DEC590">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0A461753">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0.515（排入环境量）</w:t>
            </w:r>
          </w:p>
        </w:tc>
        <w:tc>
          <w:tcPr>
            <w:tcW w:w="1761" w:type="dxa"/>
            <w:shd w:val="clear" w:color="auto" w:fill="auto"/>
            <w:noWrap w:val="0"/>
            <w:vAlign w:val="center"/>
          </w:tcPr>
          <w:p w14:paraId="0C658B0F">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6AC790A7">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p>
        </w:tc>
        <w:tc>
          <w:tcPr>
            <w:tcW w:w="973" w:type="dxa"/>
            <w:noWrap w:val="0"/>
            <w:vAlign w:val="center"/>
          </w:tcPr>
          <w:p w14:paraId="2DFCDA57">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hAnsi="宋体" w:eastAsia="宋体" w:cs="宋体"/>
                <w:snapToGrid w:val="0"/>
                <w:color w:val="auto"/>
                <w:kern w:val="21"/>
                <w:szCs w:val="21"/>
                <w:highlight w:val="none"/>
                <w:u w:val="none"/>
                <w:lang w:val="en-US" w:eastAsia="zh-CN"/>
              </w:rPr>
            </w:pPr>
          </w:p>
        </w:tc>
      </w:tr>
      <w:tr w14:paraId="045DD2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464C9D71">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noWrap w:val="0"/>
            <w:vAlign w:val="center"/>
          </w:tcPr>
          <w:p w14:paraId="19144FA2">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NH</w:t>
            </w:r>
            <w:r>
              <w:rPr>
                <w:rFonts w:hint="eastAsia" w:hAnsi="宋体" w:cs="宋体"/>
                <w:snapToGrid w:val="0"/>
                <w:color w:val="auto"/>
                <w:kern w:val="21"/>
                <w:szCs w:val="21"/>
                <w:highlight w:val="none"/>
                <w:u w:val="none"/>
                <w:vertAlign w:val="subscript"/>
                <w:lang w:val="en-US" w:eastAsia="zh-CN"/>
              </w:rPr>
              <w:t>3</w:t>
            </w:r>
            <w:r>
              <w:rPr>
                <w:rFonts w:hint="eastAsia" w:hAnsi="宋体" w:cs="宋体"/>
                <w:snapToGrid w:val="0"/>
                <w:color w:val="auto"/>
                <w:kern w:val="21"/>
                <w:szCs w:val="21"/>
                <w:highlight w:val="none"/>
                <w:u w:val="none"/>
                <w:lang w:val="en-US" w:eastAsia="zh-CN"/>
              </w:rPr>
              <w:t>-N</w:t>
            </w:r>
          </w:p>
        </w:tc>
        <w:tc>
          <w:tcPr>
            <w:tcW w:w="1835" w:type="dxa"/>
            <w:noWrap w:val="0"/>
            <w:vAlign w:val="center"/>
          </w:tcPr>
          <w:p w14:paraId="0E4768E0">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6AE56176">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10B0C96C">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shd w:val="clear" w:color="auto" w:fill="auto"/>
            <w:noWrap w:val="0"/>
            <w:vAlign w:val="center"/>
          </w:tcPr>
          <w:p w14:paraId="49ADDA9F">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0.206（排入环境量）</w:t>
            </w:r>
          </w:p>
        </w:tc>
        <w:tc>
          <w:tcPr>
            <w:tcW w:w="1761" w:type="dxa"/>
            <w:shd w:val="clear" w:color="auto" w:fill="auto"/>
            <w:noWrap w:val="0"/>
            <w:vAlign w:val="center"/>
          </w:tcPr>
          <w:p w14:paraId="5A2BBB3F">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78AE99A2">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highlight w:val="none"/>
                <w:u w:val="none"/>
                <w:lang w:val="en-US" w:eastAsia="zh-CN" w:bidi="ar"/>
              </w:rPr>
            </w:pPr>
          </w:p>
        </w:tc>
        <w:tc>
          <w:tcPr>
            <w:tcW w:w="973" w:type="dxa"/>
            <w:noWrap w:val="0"/>
            <w:vAlign w:val="center"/>
          </w:tcPr>
          <w:p w14:paraId="6018E531">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color w:val="auto"/>
                <w:kern w:val="21"/>
                <w:sz w:val="21"/>
                <w:szCs w:val="21"/>
                <w:highlight w:val="none"/>
                <w:u w:val="none"/>
                <w:lang w:val="en-US" w:eastAsia="zh-CN" w:bidi="ar"/>
              </w:rPr>
            </w:pPr>
          </w:p>
        </w:tc>
      </w:tr>
      <w:tr w14:paraId="08B71E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4B02CE82">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noWrap w:val="0"/>
            <w:vAlign w:val="center"/>
          </w:tcPr>
          <w:p w14:paraId="0FA6ED9E">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总磷</w:t>
            </w:r>
          </w:p>
        </w:tc>
        <w:tc>
          <w:tcPr>
            <w:tcW w:w="1835" w:type="dxa"/>
            <w:noWrap w:val="0"/>
            <w:vAlign w:val="center"/>
          </w:tcPr>
          <w:p w14:paraId="14F1739B">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1638A2B7">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69F13A18">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shd w:val="clear" w:color="auto" w:fill="auto"/>
            <w:noWrap w:val="0"/>
            <w:vAlign w:val="center"/>
          </w:tcPr>
          <w:p w14:paraId="5D45A7EE">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0.026（排入环境量）</w:t>
            </w:r>
          </w:p>
        </w:tc>
        <w:tc>
          <w:tcPr>
            <w:tcW w:w="1761" w:type="dxa"/>
            <w:shd w:val="clear" w:color="auto" w:fill="auto"/>
            <w:noWrap w:val="0"/>
            <w:vAlign w:val="center"/>
          </w:tcPr>
          <w:p w14:paraId="377D2DF9">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p>
        </w:tc>
        <w:tc>
          <w:tcPr>
            <w:tcW w:w="1812" w:type="dxa"/>
            <w:shd w:val="clear" w:color="auto" w:fill="auto"/>
            <w:noWrap w:val="0"/>
            <w:vAlign w:val="center"/>
          </w:tcPr>
          <w:p w14:paraId="251D3369">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highlight w:val="none"/>
                <w:u w:val="none"/>
                <w:lang w:val="en-US" w:eastAsia="zh-CN" w:bidi="ar"/>
              </w:rPr>
            </w:pPr>
          </w:p>
        </w:tc>
        <w:tc>
          <w:tcPr>
            <w:tcW w:w="973" w:type="dxa"/>
            <w:noWrap w:val="0"/>
            <w:vAlign w:val="center"/>
          </w:tcPr>
          <w:p w14:paraId="3A9D627E">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i w:val="0"/>
                <w:iCs w:val="0"/>
                <w:color w:val="000000"/>
                <w:kern w:val="0"/>
                <w:sz w:val="21"/>
                <w:szCs w:val="21"/>
                <w:highlight w:val="none"/>
                <w:u w:val="none"/>
                <w:lang w:val="en-US" w:eastAsia="zh-CN" w:bidi="ar"/>
              </w:rPr>
            </w:pPr>
          </w:p>
        </w:tc>
      </w:tr>
      <w:tr w14:paraId="2977AC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4B05EDE8">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noWrap w:val="0"/>
            <w:vAlign w:val="center"/>
          </w:tcPr>
          <w:p w14:paraId="5F68EC0D">
            <w:pPr>
              <w:pStyle w:val="37"/>
              <w:keepNext w:val="0"/>
              <w:keepLines w:val="0"/>
              <w:suppressLineNumbers w:val="0"/>
              <w:spacing w:before="0" w:beforeLines="0" w:beforeAutospacing="0" w:after="0" w:afterLines="0" w:afterAutospacing="0" w:line="240" w:lineRule="auto"/>
              <w:ind w:left="0" w:right="0"/>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总氮</w:t>
            </w:r>
          </w:p>
        </w:tc>
        <w:tc>
          <w:tcPr>
            <w:tcW w:w="1835" w:type="dxa"/>
            <w:noWrap w:val="0"/>
            <w:vAlign w:val="center"/>
          </w:tcPr>
          <w:p w14:paraId="4296997F">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6EAFED94">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705AF82D">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shd w:val="clear" w:color="auto" w:fill="auto"/>
            <w:noWrap w:val="0"/>
            <w:vAlign w:val="center"/>
          </w:tcPr>
          <w:p w14:paraId="04092CB6">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0.515（排入环境量）</w:t>
            </w:r>
          </w:p>
        </w:tc>
        <w:tc>
          <w:tcPr>
            <w:tcW w:w="1761" w:type="dxa"/>
            <w:shd w:val="clear" w:color="auto" w:fill="auto"/>
            <w:noWrap w:val="0"/>
            <w:vAlign w:val="center"/>
          </w:tcPr>
          <w:p w14:paraId="76EEB6A2">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4C947244">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p>
        </w:tc>
        <w:tc>
          <w:tcPr>
            <w:tcW w:w="973" w:type="dxa"/>
            <w:noWrap w:val="0"/>
            <w:vAlign w:val="center"/>
          </w:tcPr>
          <w:p w14:paraId="1D6804E9">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hAnsi="宋体" w:eastAsia="宋体" w:cs="宋体"/>
                <w:snapToGrid w:val="0"/>
                <w:color w:val="auto"/>
                <w:kern w:val="21"/>
                <w:szCs w:val="21"/>
                <w:highlight w:val="none"/>
                <w:u w:val="none"/>
                <w:lang w:val="en-US" w:eastAsia="zh-CN"/>
              </w:rPr>
            </w:pPr>
          </w:p>
        </w:tc>
      </w:tr>
      <w:tr w14:paraId="426658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restart"/>
            <w:noWrap w:val="0"/>
            <w:vAlign w:val="center"/>
          </w:tcPr>
          <w:p w14:paraId="1DE8462A">
            <w:pPr>
              <w:pStyle w:val="37"/>
              <w:keepNext w:val="0"/>
              <w:keepLines w:val="0"/>
              <w:suppressLineNumbers w:val="0"/>
              <w:spacing w:before="0" w:beforeLines="0" w:beforeAutospacing="0" w:after="0" w:afterLines="0" w:afterAutospacing="0" w:line="240" w:lineRule="auto"/>
              <w:ind w:left="0" w:right="0"/>
              <w:rPr>
                <w:rFonts w:hint="default" w:hAnsi="宋体" w:cs="宋体"/>
                <w:snapToGrid w:val="0"/>
                <w:color w:val="auto"/>
                <w:kern w:val="21"/>
                <w:szCs w:val="21"/>
                <w:highlight w:val="none"/>
                <w:u w:val="none"/>
              </w:rPr>
            </w:pPr>
            <w:r>
              <w:rPr>
                <w:rFonts w:hint="eastAsia" w:hAnsi="宋体" w:cs="宋体"/>
                <w:snapToGrid w:val="0"/>
                <w:color w:val="auto"/>
                <w:kern w:val="21"/>
                <w:szCs w:val="21"/>
                <w:highlight w:val="none"/>
                <w:u w:val="none"/>
              </w:rPr>
              <w:t>一般工业</w:t>
            </w:r>
          </w:p>
          <w:p w14:paraId="5EF992DD">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r>
              <w:rPr>
                <w:rFonts w:hint="eastAsia" w:hAnsi="宋体" w:cs="宋体"/>
                <w:snapToGrid w:val="0"/>
                <w:color w:val="auto"/>
                <w:kern w:val="21"/>
                <w:szCs w:val="21"/>
                <w:highlight w:val="none"/>
                <w:u w:val="none"/>
              </w:rPr>
              <w:t>固体废物</w:t>
            </w:r>
          </w:p>
        </w:tc>
        <w:tc>
          <w:tcPr>
            <w:tcW w:w="1722" w:type="dxa"/>
            <w:shd w:val="clear" w:color="auto" w:fill="auto"/>
            <w:noWrap w:val="0"/>
            <w:vAlign w:val="center"/>
          </w:tcPr>
          <w:p w14:paraId="4CA193D9">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ascii="Times New Roman" w:hAnsi="Times New Roman" w:eastAsia="宋体" w:cs="Times New Roman"/>
                <w:color w:val="auto"/>
                <w:kern w:val="0"/>
                <w:sz w:val="21"/>
                <w:szCs w:val="21"/>
                <w:highlight w:val="none"/>
                <w:u w:val="none" w:color="auto"/>
                <w:lang w:val="en-US" w:eastAsia="zh-CN" w:bidi="ar-SA"/>
              </w:rPr>
              <w:t>生物质锅炉除尘系统收尘灰</w:t>
            </w:r>
          </w:p>
        </w:tc>
        <w:tc>
          <w:tcPr>
            <w:tcW w:w="1835" w:type="dxa"/>
            <w:noWrap w:val="0"/>
            <w:vAlign w:val="center"/>
          </w:tcPr>
          <w:p w14:paraId="720BFCAD">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145CED81">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74AB7086">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487867EF">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0.064</w:t>
            </w:r>
          </w:p>
        </w:tc>
        <w:tc>
          <w:tcPr>
            <w:tcW w:w="1761" w:type="dxa"/>
            <w:shd w:val="clear" w:color="auto" w:fill="auto"/>
            <w:noWrap w:val="0"/>
            <w:vAlign w:val="center"/>
          </w:tcPr>
          <w:p w14:paraId="3B35C234">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2EC26643">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5E218095">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0CE199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00DFE503">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shd w:val="clear" w:color="auto" w:fill="auto"/>
            <w:noWrap w:val="0"/>
            <w:vAlign w:val="center"/>
          </w:tcPr>
          <w:p w14:paraId="1DFB49B9">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生物质锅炉炉渣</w:t>
            </w:r>
          </w:p>
        </w:tc>
        <w:tc>
          <w:tcPr>
            <w:tcW w:w="1835" w:type="dxa"/>
            <w:noWrap w:val="0"/>
            <w:vAlign w:val="center"/>
          </w:tcPr>
          <w:p w14:paraId="4B8DD8DB">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73CFD3B8">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1D99634F">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083178C5">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6.11</w:t>
            </w:r>
          </w:p>
        </w:tc>
        <w:tc>
          <w:tcPr>
            <w:tcW w:w="1761" w:type="dxa"/>
            <w:shd w:val="clear" w:color="auto" w:fill="auto"/>
            <w:noWrap w:val="0"/>
            <w:vAlign w:val="center"/>
          </w:tcPr>
          <w:p w14:paraId="68600D7E">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763DE7C5">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3BA20079">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27150D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2282BF4D">
            <w:pPr>
              <w:pStyle w:val="37"/>
              <w:keepNext w:val="0"/>
              <w:keepLines w:val="0"/>
              <w:suppressLineNumbers w:val="0"/>
              <w:spacing w:before="0" w:beforeLines="0" w:beforeAutospacing="0" w:after="0" w:afterLines="0" w:afterAutospacing="0" w:line="240" w:lineRule="auto"/>
              <w:ind w:left="0" w:right="0"/>
              <w:rPr>
                <w:rFonts w:hint="default" w:hAnsi="宋体" w:cs="宋体"/>
                <w:snapToGrid w:val="0"/>
                <w:color w:val="auto"/>
                <w:kern w:val="21"/>
                <w:szCs w:val="21"/>
                <w:highlight w:val="none"/>
                <w:u w:val="none"/>
              </w:rPr>
            </w:pPr>
          </w:p>
        </w:tc>
        <w:tc>
          <w:tcPr>
            <w:tcW w:w="1722" w:type="dxa"/>
            <w:shd w:val="clear" w:color="auto" w:fill="auto"/>
            <w:noWrap w:val="0"/>
            <w:vAlign w:val="center"/>
          </w:tcPr>
          <w:p w14:paraId="274F4C88">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废包装物</w:t>
            </w:r>
          </w:p>
        </w:tc>
        <w:tc>
          <w:tcPr>
            <w:tcW w:w="1835" w:type="dxa"/>
            <w:noWrap w:val="0"/>
            <w:vAlign w:val="center"/>
          </w:tcPr>
          <w:p w14:paraId="02F70A9C">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205249AF">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44C20D0A">
            <w:pPr>
              <w:keepNext w:val="0"/>
              <w:keepLines w:val="0"/>
              <w:suppressLineNumbers w:val="0"/>
              <w:spacing w:before="0" w:beforeAutospacing="0" w:after="0" w:afterAutospacing="0" w:line="240" w:lineRule="auto"/>
              <w:ind w:left="0" w:right="0"/>
              <w:jc w:val="center"/>
              <w:rPr>
                <w:rFonts w:hint="default" w:hAnsi="宋体" w:eastAsia="宋体" w:cs="宋体"/>
                <w:snapToGrid w:val="0"/>
                <w:color w:val="auto"/>
                <w:kern w:val="21"/>
                <w:szCs w:val="21"/>
                <w:highlight w:val="none"/>
                <w:u w:val="none"/>
                <w:lang w:val="en-US" w:eastAsia="zh-CN"/>
              </w:rPr>
            </w:pPr>
          </w:p>
        </w:tc>
        <w:tc>
          <w:tcPr>
            <w:tcW w:w="1559" w:type="dxa"/>
            <w:noWrap w:val="0"/>
            <w:vAlign w:val="center"/>
          </w:tcPr>
          <w:p w14:paraId="3B5D3A4A">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0.5</w:t>
            </w:r>
          </w:p>
        </w:tc>
        <w:tc>
          <w:tcPr>
            <w:tcW w:w="1761" w:type="dxa"/>
            <w:shd w:val="clear" w:color="auto" w:fill="auto"/>
            <w:noWrap w:val="0"/>
            <w:vAlign w:val="center"/>
          </w:tcPr>
          <w:p w14:paraId="350F69DB">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08A5FF98">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6737EB81">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5DB394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4557A9A0">
            <w:pPr>
              <w:pStyle w:val="37"/>
              <w:keepNext w:val="0"/>
              <w:keepLines w:val="0"/>
              <w:suppressLineNumbers w:val="0"/>
              <w:spacing w:before="0" w:beforeLines="0" w:beforeAutospacing="0" w:after="0" w:afterLines="0" w:afterAutospacing="0" w:line="240" w:lineRule="auto"/>
              <w:ind w:left="0" w:right="0"/>
              <w:rPr>
                <w:rFonts w:hint="default" w:hAnsi="宋体" w:cs="宋体"/>
                <w:snapToGrid w:val="0"/>
                <w:color w:val="auto"/>
                <w:kern w:val="21"/>
                <w:szCs w:val="21"/>
                <w:highlight w:val="none"/>
                <w:u w:val="none"/>
              </w:rPr>
            </w:pPr>
          </w:p>
        </w:tc>
        <w:tc>
          <w:tcPr>
            <w:tcW w:w="1722" w:type="dxa"/>
            <w:shd w:val="clear" w:color="auto" w:fill="auto"/>
            <w:noWrap w:val="0"/>
            <w:vAlign w:val="center"/>
          </w:tcPr>
          <w:p w14:paraId="28A1FD92">
            <w:pPr>
              <w:pStyle w:val="37"/>
              <w:keepNext w:val="0"/>
              <w:keepLines w:val="0"/>
              <w:suppressLineNumbers w:val="0"/>
              <w:bidi w:val="0"/>
              <w:spacing w:before="0" w:beforeAutospacing="0" w:after="0" w:afterAutospacing="0"/>
              <w:ind w:left="0" w:leftChars="0" w:right="0" w:rightChars="0"/>
              <w:rPr>
                <w:rFonts w:hint="eastAsia" w:ascii="Times New Roman" w:hAnsi="Times New Roman" w:eastAsia="宋体" w:cs="Times New Roman"/>
                <w:color w:val="auto"/>
                <w:kern w:val="0"/>
                <w:sz w:val="21"/>
                <w:szCs w:val="21"/>
                <w:highlight w:val="none"/>
                <w:u w:val="none" w:color="auto"/>
                <w:lang w:val="en-US" w:eastAsia="zh-CN" w:bidi="ar-SA"/>
              </w:rPr>
            </w:pPr>
            <w:r>
              <w:rPr>
                <w:rFonts w:hint="eastAsia" w:ascii="Times New Roman" w:hAnsi="Times New Roman" w:eastAsia="宋体" w:cs="Times New Roman"/>
                <w:color w:val="auto"/>
                <w:kern w:val="0"/>
                <w:sz w:val="21"/>
                <w:szCs w:val="21"/>
                <w:highlight w:val="none"/>
                <w:u w:val="none" w:color="auto"/>
                <w:lang w:val="en-US" w:eastAsia="zh-CN" w:bidi="ar-SA"/>
              </w:rPr>
              <w:t>废活性炭</w:t>
            </w:r>
          </w:p>
        </w:tc>
        <w:tc>
          <w:tcPr>
            <w:tcW w:w="1835" w:type="dxa"/>
            <w:noWrap w:val="0"/>
            <w:vAlign w:val="center"/>
          </w:tcPr>
          <w:p w14:paraId="5F1741DA">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022F24F7">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4070F52E">
            <w:pPr>
              <w:keepNext w:val="0"/>
              <w:keepLines w:val="0"/>
              <w:suppressLineNumbers w:val="0"/>
              <w:spacing w:before="0" w:beforeAutospacing="0" w:after="0" w:afterAutospacing="0" w:line="240" w:lineRule="auto"/>
              <w:ind w:left="0" w:right="0"/>
              <w:jc w:val="center"/>
              <w:rPr>
                <w:rFonts w:hint="default" w:hAnsi="宋体" w:eastAsia="宋体" w:cs="宋体"/>
                <w:snapToGrid w:val="0"/>
                <w:color w:val="auto"/>
                <w:kern w:val="21"/>
                <w:szCs w:val="21"/>
                <w:highlight w:val="none"/>
                <w:u w:val="none"/>
                <w:lang w:val="en-US" w:eastAsia="zh-CN"/>
              </w:rPr>
            </w:pPr>
          </w:p>
        </w:tc>
        <w:tc>
          <w:tcPr>
            <w:tcW w:w="1559" w:type="dxa"/>
            <w:noWrap w:val="0"/>
            <w:vAlign w:val="center"/>
          </w:tcPr>
          <w:p w14:paraId="7E3C70E2">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0.05t/次</w:t>
            </w:r>
          </w:p>
        </w:tc>
        <w:tc>
          <w:tcPr>
            <w:tcW w:w="1761" w:type="dxa"/>
            <w:shd w:val="clear" w:color="auto" w:fill="auto"/>
            <w:noWrap w:val="0"/>
            <w:vAlign w:val="center"/>
          </w:tcPr>
          <w:p w14:paraId="05DAA922">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753F4397">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24C065E6">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50DC37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7555E1B6">
            <w:pPr>
              <w:pStyle w:val="37"/>
              <w:keepNext w:val="0"/>
              <w:keepLines w:val="0"/>
              <w:suppressLineNumbers w:val="0"/>
              <w:spacing w:before="0" w:beforeLines="0" w:beforeAutospacing="0" w:after="0" w:afterLines="0" w:afterAutospacing="0" w:line="240" w:lineRule="auto"/>
              <w:ind w:left="0" w:right="0"/>
              <w:rPr>
                <w:rFonts w:hint="default" w:hAnsi="宋体" w:cs="宋体"/>
                <w:snapToGrid w:val="0"/>
                <w:color w:val="auto"/>
                <w:kern w:val="21"/>
                <w:szCs w:val="21"/>
                <w:highlight w:val="none"/>
                <w:u w:val="none"/>
              </w:rPr>
            </w:pPr>
          </w:p>
        </w:tc>
        <w:tc>
          <w:tcPr>
            <w:tcW w:w="1722" w:type="dxa"/>
            <w:shd w:val="clear" w:color="auto" w:fill="auto"/>
            <w:noWrap w:val="0"/>
            <w:vAlign w:val="center"/>
          </w:tcPr>
          <w:p w14:paraId="66135786">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废过滤膜</w:t>
            </w:r>
          </w:p>
        </w:tc>
        <w:tc>
          <w:tcPr>
            <w:tcW w:w="1835" w:type="dxa"/>
            <w:noWrap w:val="0"/>
            <w:vAlign w:val="center"/>
          </w:tcPr>
          <w:p w14:paraId="58F3BDF6">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73470C2B">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44CABE4D">
            <w:pPr>
              <w:keepNext w:val="0"/>
              <w:keepLines w:val="0"/>
              <w:suppressLineNumbers w:val="0"/>
              <w:spacing w:before="0" w:beforeAutospacing="0" w:after="0" w:afterAutospacing="0" w:line="240" w:lineRule="auto"/>
              <w:ind w:left="0" w:right="0"/>
              <w:jc w:val="center"/>
              <w:rPr>
                <w:rFonts w:hint="default" w:hAnsi="宋体" w:eastAsia="宋体" w:cs="宋体"/>
                <w:snapToGrid w:val="0"/>
                <w:color w:val="auto"/>
                <w:kern w:val="21"/>
                <w:szCs w:val="21"/>
                <w:highlight w:val="none"/>
                <w:u w:val="none"/>
                <w:lang w:val="en-US" w:eastAsia="zh-CN"/>
              </w:rPr>
            </w:pPr>
          </w:p>
        </w:tc>
        <w:tc>
          <w:tcPr>
            <w:tcW w:w="1559" w:type="dxa"/>
            <w:noWrap w:val="0"/>
            <w:vAlign w:val="center"/>
          </w:tcPr>
          <w:p w14:paraId="69BC2D65">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0.01t/次</w:t>
            </w:r>
          </w:p>
        </w:tc>
        <w:tc>
          <w:tcPr>
            <w:tcW w:w="1761" w:type="dxa"/>
            <w:shd w:val="clear" w:color="auto" w:fill="auto"/>
            <w:noWrap w:val="0"/>
            <w:vAlign w:val="center"/>
          </w:tcPr>
          <w:p w14:paraId="6655D6C6">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05E757FC">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71E9BC65">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24ACA9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77599BFC">
            <w:pPr>
              <w:pStyle w:val="37"/>
              <w:keepNext w:val="0"/>
              <w:keepLines w:val="0"/>
              <w:suppressLineNumbers w:val="0"/>
              <w:spacing w:before="0" w:beforeLines="0" w:beforeAutospacing="0" w:after="0" w:afterLines="0" w:afterAutospacing="0" w:line="240" w:lineRule="auto"/>
              <w:ind w:left="0" w:right="0"/>
              <w:rPr>
                <w:rFonts w:hint="default" w:hAnsi="宋体" w:cs="宋体"/>
                <w:snapToGrid w:val="0"/>
                <w:color w:val="auto"/>
                <w:kern w:val="21"/>
                <w:szCs w:val="21"/>
                <w:highlight w:val="none"/>
                <w:u w:val="none"/>
              </w:rPr>
            </w:pPr>
          </w:p>
        </w:tc>
        <w:tc>
          <w:tcPr>
            <w:tcW w:w="1722" w:type="dxa"/>
            <w:shd w:val="clear" w:color="auto" w:fill="auto"/>
            <w:noWrap w:val="0"/>
            <w:vAlign w:val="center"/>
          </w:tcPr>
          <w:p w14:paraId="499DBA03">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废滤芯</w:t>
            </w:r>
          </w:p>
        </w:tc>
        <w:tc>
          <w:tcPr>
            <w:tcW w:w="1835" w:type="dxa"/>
            <w:noWrap w:val="0"/>
            <w:vAlign w:val="center"/>
          </w:tcPr>
          <w:p w14:paraId="115A9772">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38ACDC75">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20C1C698">
            <w:pPr>
              <w:keepNext w:val="0"/>
              <w:keepLines w:val="0"/>
              <w:suppressLineNumbers w:val="0"/>
              <w:spacing w:before="0" w:beforeAutospacing="0" w:after="0" w:afterAutospacing="0" w:line="240" w:lineRule="auto"/>
              <w:ind w:left="0" w:right="0"/>
              <w:jc w:val="center"/>
              <w:rPr>
                <w:rFonts w:hint="default" w:hAnsi="宋体" w:eastAsia="宋体" w:cs="宋体"/>
                <w:snapToGrid w:val="0"/>
                <w:color w:val="auto"/>
                <w:kern w:val="21"/>
                <w:szCs w:val="21"/>
                <w:highlight w:val="none"/>
                <w:u w:val="none"/>
                <w:lang w:val="en-US" w:eastAsia="zh-CN"/>
              </w:rPr>
            </w:pPr>
          </w:p>
        </w:tc>
        <w:tc>
          <w:tcPr>
            <w:tcW w:w="1559" w:type="dxa"/>
            <w:noWrap w:val="0"/>
            <w:vAlign w:val="center"/>
          </w:tcPr>
          <w:p w14:paraId="0A880A54">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0.02t/次</w:t>
            </w:r>
          </w:p>
        </w:tc>
        <w:tc>
          <w:tcPr>
            <w:tcW w:w="1761" w:type="dxa"/>
            <w:shd w:val="clear" w:color="auto" w:fill="auto"/>
            <w:noWrap w:val="0"/>
            <w:vAlign w:val="center"/>
          </w:tcPr>
          <w:p w14:paraId="3B5E1A21">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497EE628">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02666C52">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4128BF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7B38857B">
            <w:pPr>
              <w:pStyle w:val="37"/>
              <w:keepNext w:val="0"/>
              <w:keepLines w:val="0"/>
              <w:suppressLineNumbers w:val="0"/>
              <w:spacing w:before="0" w:beforeLines="0" w:beforeAutospacing="0" w:after="0" w:afterLines="0" w:afterAutospacing="0" w:line="240" w:lineRule="auto"/>
              <w:ind w:left="0" w:right="0"/>
              <w:rPr>
                <w:rFonts w:hint="default" w:hAnsi="宋体" w:cs="宋体"/>
                <w:snapToGrid w:val="0"/>
                <w:color w:val="auto"/>
                <w:kern w:val="21"/>
                <w:szCs w:val="21"/>
                <w:highlight w:val="none"/>
                <w:u w:val="none"/>
              </w:rPr>
            </w:pPr>
          </w:p>
        </w:tc>
        <w:tc>
          <w:tcPr>
            <w:tcW w:w="1722" w:type="dxa"/>
            <w:shd w:val="clear" w:color="auto" w:fill="auto"/>
            <w:noWrap w:val="0"/>
            <w:vAlign w:val="center"/>
          </w:tcPr>
          <w:p w14:paraId="1BFF6E97">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栅渣</w:t>
            </w:r>
          </w:p>
        </w:tc>
        <w:tc>
          <w:tcPr>
            <w:tcW w:w="1835" w:type="dxa"/>
            <w:noWrap w:val="0"/>
            <w:vAlign w:val="center"/>
          </w:tcPr>
          <w:p w14:paraId="44E21149">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356D056A">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6BB20756">
            <w:pPr>
              <w:keepNext w:val="0"/>
              <w:keepLines w:val="0"/>
              <w:suppressLineNumbers w:val="0"/>
              <w:spacing w:before="0" w:beforeAutospacing="0" w:after="0" w:afterAutospacing="0" w:line="240" w:lineRule="auto"/>
              <w:ind w:left="0" w:right="0"/>
              <w:jc w:val="center"/>
              <w:rPr>
                <w:rFonts w:hint="default" w:hAnsi="宋体" w:eastAsia="宋体" w:cs="宋体"/>
                <w:snapToGrid w:val="0"/>
                <w:color w:val="auto"/>
                <w:kern w:val="21"/>
                <w:szCs w:val="21"/>
                <w:highlight w:val="none"/>
                <w:u w:val="none"/>
                <w:lang w:val="en-US" w:eastAsia="zh-CN"/>
              </w:rPr>
            </w:pPr>
          </w:p>
        </w:tc>
        <w:tc>
          <w:tcPr>
            <w:tcW w:w="1559" w:type="dxa"/>
            <w:noWrap w:val="0"/>
            <w:vAlign w:val="center"/>
          </w:tcPr>
          <w:p w14:paraId="15D5105C">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1.05</w:t>
            </w:r>
          </w:p>
        </w:tc>
        <w:tc>
          <w:tcPr>
            <w:tcW w:w="1761" w:type="dxa"/>
            <w:shd w:val="clear" w:color="auto" w:fill="auto"/>
            <w:noWrap w:val="0"/>
            <w:vAlign w:val="center"/>
          </w:tcPr>
          <w:p w14:paraId="39BAF5AD">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6A2D5EA8">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7DB56E88">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109C9C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2F74DA01">
            <w:pPr>
              <w:pStyle w:val="37"/>
              <w:keepNext w:val="0"/>
              <w:keepLines w:val="0"/>
              <w:suppressLineNumbers w:val="0"/>
              <w:spacing w:before="0" w:beforeLines="0" w:beforeAutospacing="0" w:after="0" w:afterLines="0" w:afterAutospacing="0" w:line="240" w:lineRule="auto"/>
              <w:ind w:left="0" w:right="0"/>
              <w:rPr>
                <w:rFonts w:hint="default" w:hAnsi="宋体" w:cs="宋体"/>
                <w:snapToGrid w:val="0"/>
                <w:color w:val="auto"/>
                <w:kern w:val="21"/>
                <w:szCs w:val="21"/>
                <w:highlight w:val="none"/>
                <w:u w:val="none"/>
              </w:rPr>
            </w:pPr>
          </w:p>
        </w:tc>
        <w:tc>
          <w:tcPr>
            <w:tcW w:w="1722" w:type="dxa"/>
            <w:shd w:val="clear" w:color="auto" w:fill="auto"/>
            <w:noWrap w:val="0"/>
            <w:vAlign w:val="center"/>
          </w:tcPr>
          <w:p w14:paraId="4F587F95">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s="Times New Roman"/>
                <w:color w:val="auto"/>
                <w:kern w:val="0"/>
                <w:sz w:val="21"/>
                <w:szCs w:val="21"/>
                <w:highlight w:val="none"/>
                <w:u w:val="none" w:color="auto"/>
                <w:lang w:val="en-US" w:eastAsia="zh-CN" w:bidi="ar-SA"/>
              </w:rPr>
              <w:t>污水处理站污泥</w:t>
            </w:r>
          </w:p>
        </w:tc>
        <w:tc>
          <w:tcPr>
            <w:tcW w:w="1835" w:type="dxa"/>
            <w:noWrap w:val="0"/>
            <w:vAlign w:val="center"/>
          </w:tcPr>
          <w:p w14:paraId="5454514C">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22CBB50E">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462AE01C">
            <w:pPr>
              <w:keepNext w:val="0"/>
              <w:keepLines w:val="0"/>
              <w:suppressLineNumbers w:val="0"/>
              <w:spacing w:before="0" w:beforeAutospacing="0" w:after="0" w:afterAutospacing="0" w:line="240" w:lineRule="auto"/>
              <w:ind w:left="0" w:right="0"/>
              <w:jc w:val="center"/>
              <w:rPr>
                <w:rFonts w:hint="default" w:hAnsi="宋体" w:eastAsia="宋体" w:cs="宋体"/>
                <w:snapToGrid w:val="0"/>
                <w:color w:val="auto"/>
                <w:kern w:val="21"/>
                <w:szCs w:val="21"/>
                <w:highlight w:val="none"/>
                <w:u w:val="none"/>
                <w:lang w:val="en-US" w:eastAsia="zh-CN"/>
              </w:rPr>
            </w:pPr>
          </w:p>
        </w:tc>
        <w:tc>
          <w:tcPr>
            <w:tcW w:w="1559" w:type="dxa"/>
            <w:noWrap w:val="0"/>
            <w:vAlign w:val="center"/>
          </w:tcPr>
          <w:p w14:paraId="58E0A13D">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30.75</w:t>
            </w:r>
          </w:p>
        </w:tc>
        <w:tc>
          <w:tcPr>
            <w:tcW w:w="1761" w:type="dxa"/>
            <w:shd w:val="clear" w:color="auto" w:fill="auto"/>
            <w:noWrap w:val="0"/>
            <w:vAlign w:val="center"/>
          </w:tcPr>
          <w:p w14:paraId="2E610DE4">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5CA05792">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3A8DB475">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215761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2DBD5FE6">
            <w:pPr>
              <w:pStyle w:val="37"/>
              <w:keepNext w:val="0"/>
              <w:keepLines w:val="0"/>
              <w:suppressLineNumbers w:val="0"/>
              <w:spacing w:before="0" w:beforeLines="0" w:beforeAutospacing="0" w:after="0" w:afterLines="0" w:afterAutospacing="0" w:line="240" w:lineRule="auto"/>
              <w:ind w:left="0" w:right="0"/>
              <w:rPr>
                <w:rFonts w:hint="default" w:hAnsi="宋体" w:cs="宋体"/>
                <w:snapToGrid w:val="0"/>
                <w:color w:val="auto"/>
                <w:kern w:val="21"/>
                <w:szCs w:val="21"/>
                <w:highlight w:val="none"/>
                <w:u w:val="none"/>
              </w:rPr>
            </w:pPr>
          </w:p>
        </w:tc>
        <w:tc>
          <w:tcPr>
            <w:tcW w:w="1722" w:type="dxa"/>
            <w:shd w:val="clear" w:color="auto" w:fill="auto"/>
            <w:noWrap w:val="0"/>
            <w:vAlign w:val="center"/>
          </w:tcPr>
          <w:p w14:paraId="5F5FE75A">
            <w:pPr>
              <w:pStyle w:val="37"/>
              <w:keepNext w:val="0"/>
              <w:keepLines w:val="0"/>
              <w:suppressLineNumbers w:val="0"/>
              <w:bidi w:val="0"/>
              <w:spacing w:before="0" w:beforeAutospacing="0" w:after="0" w:afterAutospacing="0"/>
              <w:ind w:left="0" w:leftChars="0" w:right="0" w:rightChars="0"/>
              <w:rPr>
                <w:rFonts w:hint="default" w:ascii="Times New Roman" w:hAnsi="Times New Roman" w:eastAsia="宋体" w:cs="Times New Roman"/>
                <w:color w:val="auto"/>
                <w:kern w:val="0"/>
                <w:sz w:val="21"/>
                <w:szCs w:val="21"/>
                <w:highlight w:val="none"/>
                <w:u w:val="none" w:color="auto"/>
                <w:lang w:val="en-US" w:eastAsia="zh-CN" w:bidi="ar-SA"/>
              </w:rPr>
            </w:pPr>
            <w:r>
              <w:rPr>
                <w:rFonts w:hint="eastAsia"/>
                <w:color w:val="auto"/>
                <w:highlight w:val="none"/>
                <w:u w:val="none" w:color="auto"/>
                <w:lang w:val="en-US" w:eastAsia="zh-CN"/>
              </w:rPr>
              <w:t>生活垃圾</w:t>
            </w:r>
          </w:p>
        </w:tc>
        <w:tc>
          <w:tcPr>
            <w:tcW w:w="1835" w:type="dxa"/>
            <w:noWrap w:val="0"/>
            <w:vAlign w:val="center"/>
          </w:tcPr>
          <w:p w14:paraId="75AC0AEE">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3BF119A2">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1B87A35F">
            <w:pPr>
              <w:keepNext w:val="0"/>
              <w:keepLines w:val="0"/>
              <w:suppressLineNumbers w:val="0"/>
              <w:spacing w:before="0" w:beforeAutospacing="0" w:after="0" w:afterAutospacing="0" w:line="240" w:lineRule="auto"/>
              <w:ind w:left="0" w:right="0"/>
              <w:jc w:val="center"/>
              <w:rPr>
                <w:rFonts w:hint="default" w:hAnsi="宋体" w:eastAsia="宋体" w:cs="宋体"/>
                <w:snapToGrid w:val="0"/>
                <w:color w:val="auto"/>
                <w:kern w:val="21"/>
                <w:szCs w:val="21"/>
                <w:highlight w:val="none"/>
                <w:u w:val="none"/>
                <w:lang w:val="en-US" w:eastAsia="zh-CN"/>
              </w:rPr>
            </w:pPr>
          </w:p>
        </w:tc>
        <w:tc>
          <w:tcPr>
            <w:tcW w:w="1559" w:type="dxa"/>
            <w:noWrap w:val="0"/>
            <w:vAlign w:val="center"/>
          </w:tcPr>
          <w:p w14:paraId="38AFA8AF">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3.6</w:t>
            </w:r>
          </w:p>
        </w:tc>
        <w:tc>
          <w:tcPr>
            <w:tcW w:w="1761" w:type="dxa"/>
            <w:shd w:val="clear" w:color="auto" w:fill="auto"/>
            <w:noWrap w:val="0"/>
            <w:vAlign w:val="center"/>
          </w:tcPr>
          <w:p w14:paraId="42B659BD">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516208E1">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592EB6C0">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76BEAE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restart"/>
            <w:noWrap w:val="0"/>
            <w:vAlign w:val="center"/>
          </w:tcPr>
          <w:p w14:paraId="55E39B58">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r>
              <w:rPr>
                <w:rFonts w:hint="eastAsia" w:hAnsi="宋体" w:cs="宋体"/>
                <w:snapToGrid w:val="0"/>
                <w:color w:val="auto"/>
                <w:kern w:val="21"/>
                <w:szCs w:val="21"/>
                <w:highlight w:val="none"/>
                <w:u w:val="none"/>
              </w:rPr>
              <w:t>危险废物</w:t>
            </w:r>
          </w:p>
        </w:tc>
        <w:tc>
          <w:tcPr>
            <w:tcW w:w="1722" w:type="dxa"/>
            <w:shd w:val="clear" w:color="auto" w:fill="auto"/>
            <w:noWrap w:val="0"/>
            <w:vAlign w:val="center"/>
          </w:tcPr>
          <w:p w14:paraId="26B723EB">
            <w:pPr>
              <w:pStyle w:val="37"/>
              <w:keepNext w:val="0"/>
              <w:keepLines w:val="0"/>
              <w:suppressLineNumbers w:val="0"/>
              <w:spacing w:before="0" w:beforeLines="0" w:beforeAutospacing="0" w:after="0" w:afterLines="0" w:afterAutospacing="0" w:line="240" w:lineRule="auto"/>
              <w:ind w:left="0" w:leftChars="0" w:right="0" w:rightChars="0"/>
              <w:rPr>
                <w:rFonts w:hint="eastAsia" w:ascii="Times New Roman" w:hAnsi="宋体" w:eastAsia="宋体" w:cs="宋体"/>
                <w:snapToGrid w:val="0"/>
                <w:color w:val="auto"/>
                <w:kern w:val="21"/>
                <w:sz w:val="21"/>
                <w:szCs w:val="21"/>
                <w:highlight w:val="none"/>
                <w:u w:val="none"/>
                <w:lang w:val="en-US" w:eastAsia="zh-CN" w:bidi="ar-SA"/>
              </w:rPr>
            </w:pPr>
            <w:r>
              <w:rPr>
                <w:rFonts w:hint="eastAsia" w:hAnsi="宋体" w:cs="宋体"/>
                <w:snapToGrid w:val="0"/>
                <w:color w:val="auto"/>
                <w:kern w:val="21"/>
                <w:szCs w:val="21"/>
                <w:highlight w:val="none"/>
                <w:u w:val="none"/>
                <w:lang w:val="en-US" w:eastAsia="zh-CN"/>
              </w:rPr>
              <w:t>废机油</w:t>
            </w:r>
          </w:p>
        </w:tc>
        <w:tc>
          <w:tcPr>
            <w:tcW w:w="1835" w:type="dxa"/>
            <w:noWrap w:val="0"/>
            <w:vAlign w:val="center"/>
          </w:tcPr>
          <w:p w14:paraId="6D8E75AD">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p>
        </w:tc>
        <w:tc>
          <w:tcPr>
            <w:tcW w:w="1142" w:type="dxa"/>
            <w:noWrap w:val="0"/>
            <w:vAlign w:val="center"/>
          </w:tcPr>
          <w:p w14:paraId="21DE6070">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04D0C37A">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48D7DAE1">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cs="Times New Roman"/>
                <w:i w:val="0"/>
                <w:iCs w:val="0"/>
                <w:color w:val="000000"/>
                <w:kern w:val="0"/>
                <w:sz w:val="21"/>
                <w:szCs w:val="21"/>
                <w:highlight w:val="none"/>
                <w:u w:val="none"/>
                <w:lang w:val="en-US" w:eastAsia="zh-CN" w:bidi="ar"/>
              </w:rPr>
              <w:t>0.01</w:t>
            </w:r>
          </w:p>
        </w:tc>
        <w:tc>
          <w:tcPr>
            <w:tcW w:w="1761" w:type="dxa"/>
            <w:shd w:val="clear" w:color="auto" w:fill="auto"/>
            <w:noWrap w:val="0"/>
            <w:vAlign w:val="center"/>
          </w:tcPr>
          <w:p w14:paraId="73A98B66">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p>
        </w:tc>
        <w:tc>
          <w:tcPr>
            <w:tcW w:w="1812" w:type="dxa"/>
            <w:shd w:val="clear" w:color="auto" w:fill="auto"/>
            <w:noWrap w:val="0"/>
            <w:vAlign w:val="center"/>
          </w:tcPr>
          <w:p w14:paraId="4D14F3F2">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p>
        </w:tc>
        <w:tc>
          <w:tcPr>
            <w:tcW w:w="973" w:type="dxa"/>
            <w:noWrap w:val="0"/>
            <w:vAlign w:val="center"/>
          </w:tcPr>
          <w:p w14:paraId="6B49C139">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p>
        </w:tc>
      </w:tr>
      <w:tr w14:paraId="104184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6140EB3F">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shd w:val="clear" w:color="auto" w:fill="auto"/>
            <w:noWrap w:val="0"/>
            <w:vAlign w:val="center"/>
          </w:tcPr>
          <w:p w14:paraId="2A0278E9">
            <w:pPr>
              <w:pStyle w:val="37"/>
              <w:keepNext w:val="0"/>
              <w:keepLines w:val="0"/>
              <w:suppressLineNumbers w:val="0"/>
              <w:spacing w:before="0" w:beforeLines="0" w:beforeAutospacing="0" w:after="0" w:afterLines="0" w:afterAutospacing="0" w:line="240" w:lineRule="auto"/>
              <w:ind w:left="0" w:leftChars="0" w:right="0" w:rightChars="0"/>
              <w:rPr>
                <w:rFonts w:hint="eastAsia" w:ascii="Times New Roman" w:hAnsi="宋体" w:eastAsia="宋体" w:cs="宋体"/>
                <w:snapToGrid w:val="0"/>
                <w:color w:val="auto"/>
                <w:kern w:val="21"/>
                <w:sz w:val="21"/>
                <w:szCs w:val="21"/>
                <w:highlight w:val="none"/>
                <w:u w:val="none"/>
                <w:lang w:val="en-US" w:eastAsia="zh-CN" w:bidi="ar-SA"/>
              </w:rPr>
            </w:pPr>
            <w:r>
              <w:rPr>
                <w:rFonts w:hint="eastAsia" w:hAnsi="宋体" w:cs="宋体"/>
                <w:snapToGrid w:val="0"/>
                <w:color w:val="auto"/>
                <w:kern w:val="21"/>
                <w:szCs w:val="21"/>
                <w:highlight w:val="none"/>
                <w:u w:val="none"/>
                <w:lang w:val="en-US" w:eastAsia="zh-CN"/>
              </w:rPr>
              <w:t>废油桶</w:t>
            </w:r>
          </w:p>
        </w:tc>
        <w:tc>
          <w:tcPr>
            <w:tcW w:w="1835" w:type="dxa"/>
            <w:noWrap w:val="0"/>
            <w:vAlign w:val="center"/>
          </w:tcPr>
          <w:p w14:paraId="1F55E76C">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 w:val="21"/>
                <w:szCs w:val="21"/>
                <w:highlight w:val="none"/>
                <w:u w:val="none"/>
                <w:lang w:val="en-US" w:eastAsia="zh-CN"/>
              </w:rPr>
            </w:pPr>
          </w:p>
        </w:tc>
        <w:tc>
          <w:tcPr>
            <w:tcW w:w="1142" w:type="dxa"/>
            <w:noWrap w:val="0"/>
            <w:vAlign w:val="center"/>
          </w:tcPr>
          <w:p w14:paraId="3E0055AF">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76AECB92">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0ED387B8">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0.02</w:t>
            </w:r>
          </w:p>
        </w:tc>
        <w:tc>
          <w:tcPr>
            <w:tcW w:w="1761" w:type="dxa"/>
            <w:shd w:val="clear" w:color="auto" w:fill="auto"/>
            <w:noWrap w:val="0"/>
            <w:vAlign w:val="center"/>
          </w:tcPr>
          <w:p w14:paraId="59AE16AD">
            <w:pPr>
              <w:keepNext w:val="0"/>
              <w:keepLines w:val="0"/>
              <w:widowControl/>
              <w:suppressLineNumbers w:val="0"/>
              <w:spacing w:before="0" w:beforeAutospacing="0" w:after="0" w:afterAutospacing="0" w:line="240" w:lineRule="auto"/>
              <w:ind w:left="0" w:right="0"/>
              <w:jc w:val="center"/>
              <w:textAlignment w:val="center"/>
              <w:rPr>
                <w:rFonts w:hint="eastAsia" w:ascii="Times New Roman" w:hAnsi="宋体" w:eastAsia="宋体" w:cs="宋体"/>
                <w:snapToGrid w:val="0"/>
                <w:color w:val="auto"/>
                <w:kern w:val="21"/>
                <w:sz w:val="21"/>
                <w:szCs w:val="21"/>
                <w:highlight w:val="none"/>
                <w:u w:val="none"/>
                <w:lang w:val="en-US" w:eastAsia="zh-CN" w:bidi="ar-SA"/>
              </w:rPr>
            </w:pPr>
          </w:p>
        </w:tc>
        <w:tc>
          <w:tcPr>
            <w:tcW w:w="1812" w:type="dxa"/>
            <w:shd w:val="clear" w:color="auto" w:fill="auto"/>
            <w:noWrap w:val="0"/>
            <w:vAlign w:val="center"/>
          </w:tcPr>
          <w:p w14:paraId="7077CF15">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48BC6202">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宋体" w:eastAsia="宋体" w:cs="宋体"/>
                <w:snapToGrid w:val="0"/>
                <w:color w:val="auto"/>
                <w:kern w:val="21"/>
                <w:sz w:val="21"/>
                <w:szCs w:val="21"/>
                <w:highlight w:val="none"/>
                <w:u w:val="none"/>
                <w:lang w:val="en-US" w:eastAsia="zh-CN" w:bidi="ar-SA"/>
              </w:rPr>
            </w:pPr>
          </w:p>
        </w:tc>
      </w:tr>
      <w:tr w14:paraId="217F81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83" w:type="dxa"/>
            <w:vMerge w:val="continue"/>
            <w:noWrap w:val="0"/>
            <w:vAlign w:val="center"/>
          </w:tcPr>
          <w:p w14:paraId="64887274">
            <w:pPr>
              <w:pStyle w:val="37"/>
              <w:keepNext w:val="0"/>
              <w:keepLines w:val="0"/>
              <w:suppressLineNumbers w:val="0"/>
              <w:spacing w:before="0" w:beforeLines="0" w:beforeAutospacing="0" w:after="0" w:afterLines="0" w:afterAutospacing="0" w:line="240" w:lineRule="auto"/>
              <w:ind w:left="0" w:right="0"/>
              <w:rPr>
                <w:rFonts w:hint="eastAsia" w:hAnsi="宋体" w:cs="宋体"/>
                <w:snapToGrid w:val="0"/>
                <w:color w:val="auto"/>
                <w:kern w:val="21"/>
                <w:szCs w:val="21"/>
                <w:highlight w:val="none"/>
                <w:u w:val="none"/>
              </w:rPr>
            </w:pPr>
          </w:p>
        </w:tc>
        <w:tc>
          <w:tcPr>
            <w:tcW w:w="1722" w:type="dxa"/>
            <w:shd w:val="clear" w:color="auto" w:fill="auto"/>
            <w:noWrap w:val="0"/>
            <w:vAlign w:val="center"/>
          </w:tcPr>
          <w:p w14:paraId="65A00369">
            <w:pPr>
              <w:pStyle w:val="37"/>
              <w:keepNext w:val="0"/>
              <w:keepLines w:val="0"/>
              <w:suppressLineNumbers w:val="0"/>
              <w:spacing w:before="0" w:beforeLines="0" w:beforeAutospacing="0" w:after="0" w:afterLines="0" w:afterAutospacing="0" w:line="240" w:lineRule="auto"/>
              <w:ind w:left="0" w:leftChars="0" w:right="0" w:rightChars="0"/>
              <w:rPr>
                <w:rFonts w:hint="default" w:ascii="Times New Roman" w:hAnsi="宋体" w:eastAsia="宋体" w:cs="宋体"/>
                <w:snapToGrid w:val="0"/>
                <w:color w:val="auto"/>
                <w:kern w:val="21"/>
                <w:sz w:val="21"/>
                <w:szCs w:val="21"/>
                <w:highlight w:val="none"/>
                <w:u w:val="none"/>
                <w:lang w:val="en-US" w:eastAsia="zh-CN" w:bidi="ar-SA"/>
              </w:rPr>
            </w:pPr>
            <w:r>
              <w:rPr>
                <w:rFonts w:hint="eastAsia" w:hAnsi="宋体" w:cs="宋体"/>
                <w:snapToGrid w:val="0"/>
                <w:color w:val="auto"/>
                <w:kern w:val="21"/>
                <w:szCs w:val="21"/>
                <w:highlight w:val="none"/>
                <w:u w:val="none"/>
                <w:lang w:val="en-US" w:eastAsia="zh-CN"/>
              </w:rPr>
              <w:t>含油抹布及手套</w:t>
            </w:r>
          </w:p>
        </w:tc>
        <w:tc>
          <w:tcPr>
            <w:tcW w:w="1835" w:type="dxa"/>
            <w:noWrap w:val="0"/>
            <w:vAlign w:val="center"/>
          </w:tcPr>
          <w:p w14:paraId="53494A94">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p>
        </w:tc>
        <w:tc>
          <w:tcPr>
            <w:tcW w:w="1142" w:type="dxa"/>
            <w:noWrap w:val="0"/>
            <w:vAlign w:val="center"/>
          </w:tcPr>
          <w:p w14:paraId="4C44CCF1">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701" w:type="dxa"/>
            <w:noWrap w:val="0"/>
            <w:vAlign w:val="center"/>
          </w:tcPr>
          <w:p w14:paraId="6AA23FF2">
            <w:pPr>
              <w:keepNext w:val="0"/>
              <w:keepLines w:val="0"/>
              <w:suppressLineNumbers w:val="0"/>
              <w:spacing w:before="0" w:beforeAutospacing="0" w:after="0" w:afterAutospacing="0" w:line="240" w:lineRule="auto"/>
              <w:ind w:left="0" w:right="0"/>
              <w:jc w:val="center"/>
              <w:rPr>
                <w:rFonts w:hint="default" w:hAnsi="宋体" w:cs="宋体"/>
                <w:snapToGrid w:val="0"/>
                <w:color w:val="auto"/>
                <w:kern w:val="21"/>
                <w:szCs w:val="21"/>
                <w:highlight w:val="none"/>
                <w:u w:val="none"/>
              </w:rPr>
            </w:pPr>
          </w:p>
        </w:tc>
        <w:tc>
          <w:tcPr>
            <w:tcW w:w="1559" w:type="dxa"/>
            <w:noWrap w:val="0"/>
            <w:vAlign w:val="center"/>
          </w:tcPr>
          <w:p w14:paraId="37AB71C5">
            <w:pPr>
              <w:keepNext w:val="0"/>
              <w:keepLines w:val="0"/>
              <w:widowControl/>
              <w:suppressLineNumbers w:val="0"/>
              <w:spacing w:before="0" w:beforeAutospacing="0" w:after="0" w:afterAutospacing="0" w:line="240" w:lineRule="auto"/>
              <w:ind w:left="0" w:right="0"/>
              <w:jc w:val="center"/>
              <w:textAlignment w:val="center"/>
              <w:rPr>
                <w:rFonts w:hint="default" w:hAnsi="宋体" w:eastAsia="宋体" w:cs="宋体"/>
                <w:snapToGrid w:val="0"/>
                <w:color w:val="auto"/>
                <w:kern w:val="21"/>
                <w:szCs w:val="21"/>
                <w:highlight w:val="none"/>
                <w:u w:val="none"/>
                <w:lang w:val="en-US" w:eastAsia="zh-CN"/>
              </w:rPr>
            </w:pPr>
            <w:r>
              <w:rPr>
                <w:rFonts w:hint="eastAsia" w:hAnsi="宋体" w:cs="宋体"/>
                <w:snapToGrid w:val="0"/>
                <w:color w:val="auto"/>
                <w:kern w:val="21"/>
                <w:szCs w:val="21"/>
                <w:highlight w:val="none"/>
                <w:u w:val="none"/>
                <w:lang w:val="en-US" w:eastAsia="zh-CN"/>
              </w:rPr>
              <w:t>0.01</w:t>
            </w:r>
          </w:p>
        </w:tc>
        <w:tc>
          <w:tcPr>
            <w:tcW w:w="1761" w:type="dxa"/>
            <w:shd w:val="clear" w:color="auto" w:fill="auto"/>
            <w:noWrap w:val="0"/>
            <w:vAlign w:val="center"/>
          </w:tcPr>
          <w:p w14:paraId="64D2BDD6">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hAnsi="宋体" w:eastAsia="宋体" w:cs="宋体"/>
                <w:snapToGrid w:val="0"/>
                <w:color w:val="auto"/>
                <w:kern w:val="21"/>
                <w:szCs w:val="21"/>
                <w:highlight w:val="none"/>
                <w:u w:val="none"/>
                <w:lang w:val="en-US" w:eastAsia="zh-CN"/>
              </w:rPr>
            </w:pPr>
          </w:p>
        </w:tc>
        <w:tc>
          <w:tcPr>
            <w:tcW w:w="1812" w:type="dxa"/>
            <w:shd w:val="clear" w:color="auto" w:fill="auto"/>
            <w:noWrap w:val="0"/>
            <w:vAlign w:val="center"/>
          </w:tcPr>
          <w:p w14:paraId="0EFCB12C">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Times New Roman" w:hAnsi="宋体" w:eastAsia="宋体" w:cs="宋体"/>
                <w:snapToGrid w:val="0"/>
                <w:color w:val="auto"/>
                <w:kern w:val="21"/>
                <w:sz w:val="24"/>
                <w:szCs w:val="21"/>
                <w:highlight w:val="none"/>
                <w:u w:val="none"/>
                <w:lang w:val="en-US" w:eastAsia="zh-CN" w:bidi="ar-SA"/>
              </w:rPr>
            </w:pPr>
          </w:p>
        </w:tc>
        <w:tc>
          <w:tcPr>
            <w:tcW w:w="973" w:type="dxa"/>
            <w:noWrap w:val="0"/>
            <w:vAlign w:val="center"/>
          </w:tcPr>
          <w:p w14:paraId="566329E7">
            <w:pPr>
              <w:keepNext w:val="0"/>
              <w:keepLines w:val="0"/>
              <w:widowControl/>
              <w:suppressLineNumbers w:val="0"/>
              <w:spacing w:before="0" w:beforeAutospacing="0" w:after="0" w:afterAutospacing="0" w:line="240" w:lineRule="auto"/>
              <w:ind w:left="0" w:right="0"/>
              <w:jc w:val="center"/>
              <w:textAlignment w:val="center"/>
              <w:rPr>
                <w:rFonts w:hint="default" w:eastAsia="宋体" w:cs="Times New Roman"/>
                <w:i w:val="0"/>
                <w:iCs w:val="0"/>
                <w:color w:val="000000"/>
                <w:kern w:val="0"/>
                <w:sz w:val="21"/>
                <w:szCs w:val="21"/>
                <w:highlight w:val="none"/>
                <w:u w:val="none"/>
                <w:lang w:val="en-US" w:eastAsia="zh-CN" w:bidi="ar"/>
              </w:rPr>
            </w:pPr>
          </w:p>
        </w:tc>
      </w:tr>
    </w:tbl>
    <w:p w14:paraId="60746F03">
      <w:pPr>
        <w:pStyle w:val="37"/>
        <w:spacing w:before="192" w:beforeLines="80" w:after="24"/>
        <w:jc w:val="left"/>
        <w:rPr>
          <w:rFonts w:hint="eastAsia" w:hAnsi="宋体"/>
          <w:snapToGrid w:val="0"/>
          <w:color w:val="auto"/>
          <w:spacing w:val="-6"/>
          <w:kern w:val="21"/>
          <w:szCs w:val="21"/>
          <w:highlight w:val="none"/>
          <w:u w:val="none"/>
        </w:rPr>
      </w:pPr>
      <w:r>
        <w:rPr>
          <w:rFonts w:hAnsi="宋体"/>
          <w:snapToGrid w:val="0"/>
          <w:color w:val="auto"/>
          <w:kern w:val="21"/>
          <w:szCs w:val="21"/>
          <w:highlight w:val="none"/>
          <w:u w:val="none"/>
        </w:rPr>
        <w:t>注：</w:t>
      </w:r>
      <w:r>
        <w:rPr>
          <w:rFonts w:hAnsi="宋体"/>
          <w:snapToGrid w:val="0"/>
          <w:color w:val="auto"/>
          <w:spacing w:val="-16"/>
          <w:kern w:val="21"/>
          <w:szCs w:val="21"/>
          <w:highlight w:val="none"/>
          <w:u w:val="none"/>
        </w:rPr>
        <w:fldChar w:fldCharType="begin"/>
      </w:r>
      <w:r>
        <w:rPr>
          <w:rFonts w:hAnsi="宋体"/>
          <w:snapToGrid w:val="0"/>
          <w:color w:val="auto"/>
          <w:spacing w:val="-16"/>
          <w:kern w:val="21"/>
          <w:szCs w:val="21"/>
          <w:highlight w:val="none"/>
          <w:u w:val="none"/>
        </w:rPr>
        <w:instrText xml:space="preserve"> = 6 \* GB3 \* MERGEFORMAT </w:instrText>
      </w:r>
      <w:r>
        <w:rPr>
          <w:rFonts w:hAnsi="宋体"/>
          <w:snapToGrid w:val="0"/>
          <w:color w:val="auto"/>
          <w:spacing w:val="-16"/>
          <w:kern w:val="21"/>
          <w:szCs w:val="21"/>
          <w:highlight w:val="none"/>
          <w:u w:val="none"/>
        </w:rPr>
        <w:fldChar w:fldCharType="separate"/>
      </w:r>
      <w:r>
        <w:rPr>
          <w:rFonts w:hint="eastAsia" w:hAnsi="宋体"/>
          <w:color w:val="auto"/>
          <w:szCs w:val="21"/>
          <w:highlight w:val="none"/>
          <w:u w:val="none"/>
        </w:rPr>
        <w:t>⑥</w:t>
      </w:r>
      <w:r>
        <w:rPr>
          <w:rFonts w:hAnsi="宋体"/>
          <w:snapToGrid w:val="0"/>
          <w:color w:val="auto"/>
          <w:spacing w:val="-16"/>
          <w:kern w:val="21"/>
          <w:szCs w:val="21"/>
          <w:highlight w:val="none"/>
          <w:u w:val="none"/>
        </w:rPr>
        <w:fldChar w:fldCharType="end"/>
      </w:r>
      <w:r>
        <w:rPr>
          <w:rFonts w:hAnsi="宋体"/>
          <w:snapToGrid w:val="0"/>
          <w:color w:val="auto"/>
          <w:spacing w:val="-16"/>
          <w:kern w:val="21"/>
          <w:szCs w:val="21"/>
          <w:highlight w:val="none"/>
          <w:u w:val="none"/>
        </w:rPr>
        <w:t>=</w:t>
      </w:r>
      <w:r>
        <w:rPr>
          <w:rFonts w:hAnsi="宋体"/>
          <w:snapToGrid w:val="0"/>
          <w:color w:val="auto"/>
          <w:spacing w:val="-6"/>
          <w:kern w:val="21"/>
          <w:szCs w:val="21"/>
          <w:highlight w:val="none"/>
          <w:u w:val="none"/>
        </w:rPr>
        <w:fldChar w:fldCharType="begin"/>
      </w:r>
      <w:r>
        <w:rPr>
          <w:rFonts w:hAnsi="宋体"/>
          <w:snapToGrid w:val="0"/>
          <w:color w:val="auto"/>
          <w:spacing w:val="-6"/>
          <w:kern w:val="21"/>
          <w:szCs w:val="21"/>
          <w:highlight w:val="none"/>
          <w:u w:val="none"/>
        </w:rPr>
        <w:instrText xml:space="preserve"> = 1 \* GB3 \* MERGEFORMAT </w:instrText>
      </w:r>
      <w:r>
        <w:rPr>
          <w:rFonts w:hAnsi="宋体"/>
          <w:snapToGrid w:val="0"/>
          <w:color w:val="auto"/>
          <w:spacing w:val="-6"/>
          <w:kern w:val="21"/>
          <w:szCs w:val="21"/>
          <w:highlight w:val="none"/>
          <w:u w:val="none"/>
        </w:rPr>
        <w:fldChar w:fldCharType="separate"/>
      </w:r>
      <w:r>
        <w:rPr>
          <w:rFonts w:hint="eastAsia" w:hAnsi="宋体"/>
          <w:color w:val="auto"/>
          <w:szCs w:val="21"/>
          <w:highlight w:val="none"/>
          <w:u w:val="none"/>
        </w:rPr>
        <w:t>①</w:t>
      </w:r>
      <w:r>
        <w:rPr>
          <w:rFonts w:hAnsi="宋体"/>
          <w:snapToGrid w:val="0"/>
          <w:color w:val="auto"/>
          <w:spacing w:val="-6"/>
          <w:kern w:val="21"/>
          <w:szCs w:val="21"/>
          <w:highlight w:val="none"/>
          <w:u w:val="none"/>
        </w:rPr>
        <w:fldChar w:fldCharType="end"/>
      </w:r>
      <w:r>
        <w:rPr>
          <w:rFonts w:hAnsi="宋体"/>
          <w:snapToGrid w:val="0"/>
          <w:color w:val="auto"/>
          <w:spacing w:val="-6"/>
          <w:kern w:val="21"/>
          <w:szCs w:val="21"/>
          <w:highlight w:val="none"/>
          <w:u w:val="none"/>
        </w:rPr>
        <w:t>+</w:t>
      </w:r>
      <w:r>
        <w:rPr>
          <w:rFonts w:hAnsi="宋体"/>
          <w:snapToGrid w:val="0"/>
          <w:color w:val="auto"/>
          <w:spacing w:val="-6"/>
          <w:kern w:val="21"/>
          <w:szCs w:val="21"/>
          <w:highlight w:val="none"/>
          <w:u w:val="none"/>
        </w:rPr>
        <w:fldChar w:fldCharType="begin"/>
      </w:r>
      <w:r>
        <w:rPr>
          <w:rFonts w:hAnsi="宋体"/>
          <w:snapToGrid w:val="0"/>
          <w:color w:val="auto"/>
          <w:spacing w:val="-6"/>
          <w:kern w:val="21"/>
          <w:szCs w:val="21"/>
          <w:highlight w:val="none"/>
          <w:u w:val="none"/>
        </w:rPr>
        <w:instrText xml:space="preserve"> = 3 \* GB3 \* MERGEFORMAT </w:instrText>
      </w:r>
      <w:r>
        <w:rPr>
          <w:rFonts w:hAnsi="宋体"/>
          <w:snapToGrid w:val="0"/>
          <w:color w:val="auto"/>
          <w:spacing w:val="-6"/>
          <w:kern w:val="21"/>
          <w:szCs w:val="21"/>
          <w:highlight w:val="none"/>
          <w:u w:val="none"/>
        </w:rPr>
        <w:fldChar w:fldCharType="separate"/>
      </w:r>
      <w:r>
        <w:rPr>
          <w:rFonts w:hint="eastAsia" w:hAnsi="宋体"/>
          <w:color w:val="auto"/>
          <w:szCs w:val="21"/>
          <w:highlight w:val="none"/>
          <w:u w:val="none"/>
        </w:rPr>
        <w:t>③</w:t>
      </w:r>
      <w:r>
        <w:rPr>
          <w:rFonts w:hAnsi="宋体"/>
          <w:snapToGrid w:val="0"/>
          <w:color w:val="auto"/>
          <w:spacing w:val="-6"/>
          <w:kern w:val="21"/>
          <w:szCs w:val="21"/>
          <w:highlight w:val="none"/>
          <w:u w:val="none"/>
        </w:rPr>
        <w:fldChar w:fldCharType="end"/>
      </w:r>
      <w:r>
        <w:rPr>
          <w:rFonts w:hAnsi="宋体"/>
          <w:snapToGrid w:val="0"/>
          <w:color w:val="auto"/>
          <w:spacing w:val="-6"/>
          <w:kern w:val="21"/>
          <w:szCs w:val="21"/>
          <w:highlight w:val="none"/>
          <w:u w:val="none"/>
        </w:rPr>
        <w:t>+</w:t>
      </w:r>
      <w:r>
        <w:rPr>
          <w:rFonts w:hAnsi="宋体"/>
          <w:snapToGrid w:val="0"/>
          <w:color w:val="auto"/>
          <w:spacing w:val="-6"/>
          <w:kern w:val="21"/>
          <w:szCs w:val="21"/>
          <w:highlight w:val="none"/>
          <w:u w:val="none"/>
        </w:rPr>
        <w:fldChar w:fldCharType="begin"/>
      </w:r>
      <w:r>
        <w:rPr>
          <w:rFonts w:hAnsi="宋体"/>
          <w:snapToGrid w:val="0"/>
          <w:color w:val="auto"/>
          <w:spacing w:val="-6"/>
          <w:kern w:val="21"/>
          <w:szCs w:val="21"/>
          <w:highlight w:val="none"/>
          <w:u w:val="none"/>
        </w:rPr>
        <w:instrText xml:space="preserve"> = 4 \* GB3 \* MERGEFORMAT </w:instrText>
      </w:r>
      <w:r>
        <w:rPr>
          <w:rFonts w:hAnsi="宋体"/>
          <w:snapToGrid w:val="0"/>
          <w:color w:val="auto"/>
          <w:spacing w:val="-6"/>
          <w:kern w:val="21"/>
          <w:szCs w:val="21"/>
          <w:highlight w:val="none"/>
          <w:u w:val="none"/>
        </w:rPr>
        <w:fldChar w:fldCharType="separate"/>
      </w:r>
      <w:r>
        <w:rPr>
          <w:rFonts w:hint="eastAsia" w:hAnsi="宋体"/>
          <w:color w:val="auto"/>
          <w:szCs w:val="21"/>
          <w:highlight w:val="none"/>
          <w:u w:val="none"/>
        </w:rPr>
        <w:t>④</w:t>
      </w:r>
      <w:r>
        <w:rPr>
          <w:rFonts w:hAnsi="宋体"/>
          <w:snapToGrid w:val="0"/>
          <w:color w:val="auto"/>
          <w:spacing w:val="-6"/>
          <w:kern w:val="21"/>
          <w:szCs w:val="21"/>
          <w:highlight w:val="none"/>
          <w:u w:val="none"/>
        </w:rPr>
        <w:fldChar w:fldCharType="end"/>
      </w:r>
      <w:r>
        <w:rPr>
          <w:rFonts w:hAnsi="宋体"/>
          <w:snapToGrid w:val="0"/>
          <w:color w:val="auto"/>
          <w:spacing w:val="-6"/>
          <w:kern w:val="21"/>
          <w:szCs w:val="21"/>
          <w:highlight w:val="none"/>
          <w:u w:val="none"/>
        </w:rPr>
        <w:t>-</w:t>
      </w:r>
      <w:r>
        <w:rPr>
          <w:rFonts w:hAnsi="宋体"/>
          <w:snapToGrid w:val="0"/>
          <w:color w:val="auto"/>
          <w:spacing w:val="-16"/>
          <w:kern w:val="21"/>
          <w:szCs w:val="21"/>
          <w:highlight w:val="none"/>
          <w:u w:val="none"/>
        </w:rPr>
        <w:fldChar w:fldCharType="begin"/>
      </w:r>
      <w:r>
        <w:rPr>
          <w:rFonts w:hAnsi="宋体"/>
          <w:snapToGrid w:val="0"/>
          <w:color w:val="auto"/>
          <w:spacing w:val="-16"/>
          <w:kern w:val="21"/>
          <w:szCs w:val="21"/>
          <w:highlight w:val="none"/>
          <w:u w:val="none"/>
        </w:rPr>
        <w:instrText xml:space="preserve"> = 5 \* GB3 \* MERGEFORMAT </w:instrText>
      </w:r>
      <w:r>
        <w:rPr>
          <w:rFonts w:hAnsi="宋体"/>
          <w:snapToGrid w:val="0"/>
          <w:color w:val="auto"/>
          <w:spacing w:val="-16"/>
          <w:kern w:val="21"/>
          <w:szCs w:val="21"/>
          <w:highlight w:val="none"/>
          <w:u w:val="none"/>
        </w:rPr>
        <w:fldChar w:fldCharType="separate"/>
      </w:r>
      <w:r>
        <w:rPr>
          <w:rFonts w:hint="eastAsia" w:hAnsi="宋体"/>
          <w:color w:val="auto"/>
          <w:szCs w:val="21"/>
          <w:highlight w:val="none"/>
          <w:u w:val="none"/>
        </w:rPr>
        <w:t>⑤</w:t>
      </w:r>
      <w:r>
        <w:rPr>
          <w:rFonts w:hAnsi="宋体"/>
          <w:snapToGrid w:val="0"/>
          <w:color w:val="auto"/>
          <w:spacing w:val="-16"/>
          <w:kern w:val="21"/>
          <w:szCs w:val="21"/>
          <w:highlight w:val="none"/>
          <w:u w:val="none"/>
        </w:rPr>
        <w:fldChar w:fldCharType="end"/>
      </w:r>
      <w:r>
        <w:rPr>
          <w:rFonts w:hAnsi="宋体"/>
          <w:snapToGrid w:val="0"/>
          <w:color w:val="auto"/>
          <w:spacing w:val="-16"/>
          <w:kern w:val="21"/>
          <w:szCs w:val="21"/>
          <w:highlight w:val="none"/>
          <w:u w:val="none"/>
        </w:rPr>
        <w:t>；</w:t>
      </w:r>
      <w:r>
        <w:rPr>
          <w:rFonts w:hAnsi="宋体"/>
          <w:snapToGrid w:val="0"/>
          <w:color w:val="auto"/>
          <w:spacing w:val="-6"/>
          <w:kern w:val="21"/>
          <w:szCs w:val="21"/>
          <w:highlight w:val="none"/>
          <w:u w:val="none"/>
        </w:rPr>
        <w:fldChar w:fldCharType="begin"/>
      </w:r>
      <w:r>
        <w:rPr>
          <w:rFonts w:hAnsi="宋体"/>
          <w:snapToGrid w:val="0"/>
          <w:color w:val="auto"/>
          <w:spacing w:val="-6"/>
          <w:kern w:val="21"/>
          <w:szCs w:val="21"/>
          <w:highlight w:val="none"/>
          <w:u w:val="none"/>
        </w:rPr>
        <w:instrText xml:space="preserve"> = 7 \* GB3 \* MERGEFORMAT </w:instrText>
      </w:r>
      <w:r>
        <w:rPr>
          <w:rFonts w:hAnsi="宋体"/>
          <w:snapToGrid w:val="0"/>
          <w:color w:val="auto"/>
          <w:spacing w:val="-6"/>
          <w:kern w:val="21"/>
          <w:szCs w:val="21"/>
          <w:highlight w:val="none"/>
          <w:u w:val="none"/>
        </w:rPr>
        <w:fldChar w:fldCharType="separate"/>
      </w:r>
      <w:r>
        <w:rPr>
          <w:rFonts w:hint="eastAsia" w:hAnsi="宋体"/>
          <w:color w:val="auto"/>
          <w:szCs w:val="21"/>
          <w:highlight w:val="none"/>
          <w:u w:val="none"/>
        </w:rPr>
        <w:t>⑦</w:t>
      </w:r>
      <w:r>
        <w:rPr>
          <w:rFonts w:hAnsi="宋体"/>
          <w:snapToGrid w:val="0"/>
          <w:color w:val="auto"/>
          <w:spacing w:val="-6"/>
          <w:kern w:val="21"/>
          <w:szCs w:val="21"/>
          <w:highlight w:val="none"/>
          <w:u w:val="none"/>
        </w:rPr>
        <w:fldChar w:fldCharType="end"/>
      </w:r>
      <w:r>
        <w:rPr>
          <w:rFonts w:hAnsi="宋体"/>
          <w:snapToGrid w:val="0"/>
          <w:color w:val="auto"/>
          <w:spacing w:val="-6"/>
          <w:kern w:val="21"/>
          <w:szCs w:val="21"/>
          <w:highlight w:val="none"/>
          <w:u w:val="none"/>
        </w:rPr>
        <w:t>=</w:t>
      </w:r>
      <w:r>
        <w:rPr>
          <w:rFonts w:hAnsi="宋体"/>
          <w:snapToGrid w:val="0"/>
          <w:color w:val="auto"/>
          <w:spacing w:val="-16"/>
          <w:kern w:val="21"/>
          <w:szCs w:val="21"/>
          <w:highlight w:val="none"/>
          <w:u w:val="none"/>
        </w:rPr>
        <w:fldChar w:fldCharType="begin"/>
      </w:r>
      <w:r>
        <w:rPr>
          <w:rFonts w:hAnsi="宋体"/>
          <w:snapToGrid w:val="0"/>
          <w:color w:val="auto"/>
          <w:spacing w:val="-16"/>
          <w:kern w:val="21"/>
          <w:szCs w:val="21"/>
          <w:highlight w:val="none"/>
          <w:u w:val="none"/>
        </w:rPr>
        <w:instrText xml:space="preserve"> = 6 \* GB3 \* MERGEFORMAT </w:instrText>
      </w:r>
      <w:r>
        <w:rPr>
          <w:rFonts w:hAnsi="宋体"/>
          <w:snapToGrid w:val="0"/>
          <w:color w:val="auto"/>
          <w:spacing w:val="-16"/>
          <w:kern w:val="21"/>
          <w:szCs w:val="21"/>
          <w:highlight w:val="none"/>
          <w:u w:val="none"/>
        </w:rPr>
        <w:fldChar w:fldCharType="separate"/>
      </w:r>
      <w:r>
        <w:rPr>
          <w:rFonts w:hint="eastAsia" w:hAnsi="宋体"/>
          <w:color w:val="auto"/>
          <w:szCs w:val="21"/>
          <w:highlight w:val="none"/>
          <w:u w:val="none"/>
        </w:rPr>
        <w:t>⑥</w:t>
      </w:r>
      <w:r>
        <w:rPr>
          <w:rFonts w:hAnsi="宋体"/>
          <w:snapToGrid w:val="0"/>
          <w:color w:val="auto"/>
          <w:spacing w:val="-16"/>
          <w:kern w:val="21"/>
          <w:szCs w:val="21"/>
          <w:highlight w:val="none"/>
          <w:u w:val="none"/>
        </w:rPr>
        <w:fldChar w:fldCharType="end"/>
      </w:r>
      <w:r>
        <w:rPr>
          <w:rFonts w:hAnsi="宋体"/>
          <w:snapToGrid w:val="0"/>
          <w:color w:val="auto"/>
          <w:spacing w:val="-16"/>
          <w:kern w:val="21"/>
          <w:szCs w:val="21"/>
          <w:highlight w:val="none"/>
          <w:u w:val="none"/>
        </w:rPr>
        <w:t>-</w:t>
      </w:r>
      <w:r>
        <w:rPr>
          <w:rFonts w:hAnsi="宋体"/>
          <w:snapToGrid w:val="0"/>
          <w:color w:val="auto"/>
          <w:spacing w:val="-6"/>
          <w:kern w:val="21"/>
          <w:szCs w:val="21"/>
          <w:highlight w:val="none"/>
          <w:u w:val="none"/>
        </w:rPr>
        <w:fldChar w:fldCharType="begin"/>
      </w:r>
      <w:r>
        <w:rPr>
          <w:rFonts w:hAnsi="宋体"/>
          <w:snapToGrid w:val="0"/>
          <w:color w:val="auto"/>
          <w:spacing w:val="-6"/>
          <w:kern w:val="21"/>
          <w:szCs w:val="21"/>
          <w:highlight w:val="none"/>
          <w:u w:val="none"/>
        </w:rPr>
        <w:instrText xml:space="preserve"> = 1 \* GB3 \* MERGEFORMAT </w:instrText>
      </w:r>
      <w:r>
        <w:rPr>
          <w:rFonts w:hAnsi="宋体"/>
          <w:snapToGrid w:val="0"/>
          <w:color w:val="auto"/>
          <w:spacing w:val="-6"/>
          <w:kern w:val="21"/>
          <w:szCs w:val="21"/>
          <w:highlight w:val="none"/>
          <w:u w:val="none"/>
        </w:rPr>
        <w:fldChar w:fldCharType="separate"/>
      </w:r>
      <w:r>
        <w:rPr>
          <w:rFonts w:hint="eastAsia" w:hAnsi="宋体"/>
          <w:color w:val="auto"/>
          <w:szCs w:val="21"/>
          <w:highlight w:val="none"/>
          <w:u w:val="none"/>
        </w:rPr>
        <w:t>①</w:t>
      </w:r>
      <w:r>
        <w:rPr>
          <w:rFonts w:hAnsi="宋体"/>
          <w:snapToGrid w:val="0"/>
          <w:color w:val="auto"/>
          <w:spacing w:val="-6"/>
          <w:kern w:val="21"/>
          <w:szCs w:val="21"/>
          <w:highlight w:val="none"/>
          <w:u w:val="none"/>
        </w:rPr>
        <w:fldChar w:fldCharType="end"/>
      </w:r>
    </w:p>
    <w:p w14:paraId="29F3F26B">
      <w:pPr>
        <w:rPr>
          <w:rFonts w:hint="eastAsia"/>
          <w:color w:val="auto"/>
          <w:highlight w:val="none"/>
          <w:u w:val="none"/>
        </w:rPr>
      </w:pPr>
    </w:p>
    <w:p w14:paraId="2A09FA79">
      <w:pPr>
        <w:pStyle w:val="42"/>
        <w:rPr>
          <w:rFonts w:hint="eastAsia"/>
          <w:color w:val="auto"/>
          <w:highlight w:val="none"/>
          <w:u w:val="none"/>
        </w:rPr>
      </w:pPr>
    </w:p>
    <w:sectPr>
      <w:footerReference r:id="rId13" w:type="default"/>
      <w:type w:val="continuous"/>
      <w:pgSz w:w="16838" w:h="11906" w:orient="landscape"/>
      <w:pgMar w:top="1800" w:right="1440" w:bottom="1800" w:left="1440" w:header="851" w:footer="992" w:gutter="0"/>
      <w:pgNumType w:fmt="decimal"/>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8"/>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 w:name="Calibri Light">
    <w:panose1 w:val="020F0302020204030204"/>
    <w:charset w:val="00"/>
    <w:family w:val="swiss"/>
    <w:pitch w:val="default"/>
    <w:sig w:usb0="E4002EFF" w:usb1="C000247B" w:usb2="00000009" w:usb3="00000000" w:csb0="200001FF" w:csb1="00000000"/>
  </w:font>
  <w:font w:name="Cambria Math">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楷体_GB2312">
    <w:panose1 w:val="02010609030101010101"/>
    <w:charset w:val="86"/>
    <w:family w:val="modern"/>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方正小标宋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 w:name="华文行楷">
    <w:panose1 w:val="02010800040101010101"/>
    <w:charset w:val="86"/>
    <w:family w:val="auto"/>
    <w:pitch w:val="default"/>
    <w:sig w:usb0="00000001" w:usb1="080F0000" w:usb2="00000000" w:usb3="00000000" w:csb0="00040000" w:csb1="00000000"/>
  </w:font>
  <w:font w:name="Helvetica">
    <w:panose1 w:val="020B0504020202030204"/>
    <w:charset w:val="00"/>
    <w:family w:val="auto"/>
    <w:pitch w:val="default"/>
    <w:sig w:usb0="00000007" w:usb1="00000000" w:usb2="00000000" w:usb3="00000000" w:csb0="00000093" w:csb1="00000000"/>
  </w:font>
  <w:font w:name="新宋体">
    <w:panose1 w:val="02010609030101010101"/>
    <w:charset w:val="86"/>
    <w:family w:val="auto"/>
    <w:pitch w:val="default"/>
    <w:sig w:usb0="00000283" w:usb1="288F0000" w:usb2="00000006" w:usb3="00000000" w:csb0="00040001"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auto"/>
    <w:pitch w:val="default"/>
    <w:sig w:usb0="E4002EFF" w:usb1="C000E47F" w:usb2="00000009" w:usb3="00000000" w:csb0="200001FF" w:csb1="00000000"/>
  </w:font>
  <w:font w:name="TimesNewRomanPSMT">
    <w:altName w:val="Times New Roman"/>
    <w:panose1 w:val="00000000000000000000"/>
    <w:charset w:val="80"/>
    <w:family w:val="auto"/>
    <w:pitch w:val="default"/>
    <w:sig w:usb0="00000000" w:usb1="00000000" w:usb2="0000000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F1509B">
    <w:pPr>
      <w:pStyle w:val="20"/>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910675">
    <w:pPr>
      <w:pStyle w:val="20"/>
      <w:framePr w:wrap="around" w:vAnchor="text" w:hAnchor="margin" w:xAlign="center" w:y="1"/>
      <w:rPr>
        <w:rStyle w:val="32"/>
      </w:rPr>
    </w:pPr>
    <w:r>
      <w:fldChar w:fldCharType="begin"/>
    </w:r>
    <w:r>
      <w:rPr>
        <w:rStyle w:val="32"/>
      </w:rPr>
      <w:instrText xml:space="preserve">PAGE  </w:instrText>
    </w:r>
    <w:r>
      <w:fldChar w:fldCharType="end"/>
    </w:r>
  </w:p>
  <w:p w14:paraId="16A56F53">
    <w:pPr>
      <w:pStyle w:val="20"/>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CFA3E">
    <w:pPr>
      <w:pStyle w:val="20"/>
      <w:ind w:right="360" w:firstLine="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36E5D">
    <w:pPr>
      <w:pStyle w:val="20"/>
      <w:ind w:right="360" w:firstLine="360"/>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346B1">
    <w:pPr>
      <w:pStyle w:val="20"/>
      <w:ind w:right="360" w:firstLine="36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913B05">
    <w:pPr>
      <w:pStyle w:val="20"/>
      <w:ind w:right="360" w:firstLine="360"/>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079A9">
    <w:pPr>
      <w:pStyle w:val="20"/>
      <w:ind w:right="360" w:firstLine="36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0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DDEB1EE">
                          <w:pPr>
                            <w:pStyle w:val="20"/>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文本框 205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6pebnPAAAABQEAAA8AAAAAAAAAAQAgAAAAIgAAAGRycy9kb3ducmV2&#10;LnhtbFBLAQIUABQAAAAIAIdO4kBe+PRTzAEAAJ0DAAAOAAAAAAAAAAEAIAAAAB4BAABkcnMvZTJv&#10;RG9jLnhtbFBLBQYAAAAABgAGAFkBAABcBQAAAAA=&#10;">
              <v:fill on="f" focussize="0,0"/>
              <v:stroke on="f"/>
              <v:imagedata o:title=""/>
              <o:lock v:ext="edit" aspectratio="f"/>
              <v:textbox inset="0mm,0mm,0mm,0mm" style="mso-fit-shape-to-text:t;">
                <w:txbxContent>
                  <w:p w14:paraId="6DDEB1EE">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6DE080">
    <w:pPr>
      <w:pStyle w:val="20"/>
      <w:ind w:right="360"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0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68D527E">
                          <w:pPr>
                            <w:pStyle w:val="20"/>
                          </w:pPr>
                          <w:r>
                            <w:fldChar w:fldCharType="begin"/>
                          </w:r>
                          <w:r>
                            <w:instrText xml:space="preserve"> PAGE  \* MERGEFORMAT </w:instrText>
                          </w:r>
                          <w:r>
                            <w:fldChar w:fldCharType="separate"/>
                          </w:r>
                          <w:r>
                            <w:t>2</w:t>
                          </w:r>
                          <w:r>
                            <w:fldChar w:fldCharType="end"/>
                          </w:r>
                        </w:p>
                      </w:txbxContent>
                    </wps:txbx>
                    <wps:bodyPr vert="horz" wrap="none" lIns="0" tIns="0" rIns="0" bIns="0" anchor="t" anchorCtr="0" upright="0">
                      <a:spAutoFit/>
                    </wps:bodyPr>
                  </wps:wsp>
                </a:graphicData>
              </a:graphic>
            </wp:anchor>
          </w:drawing>
        </mc:Choice>
        <mc:Fallback>
          <w:pict>
            <v:shape id="文本框 2057"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6pebnPAAAABQEAAA8AAAAAAAAA&#10;AQAgAAAAIgAAAGRycy9kb3ducmV2LnhtbFBLAQIUABQAAAAIAIdO4kBSFDz84QEAAMIDAAAOAAAA&#10;AAAAAAEAIAAAAB4BAABkcnMvZTJvRG9jLnhtbFBLBQYAAAAABgAGAFkBAABxBQAAAAA=&#10;">
              <v:fill on="f" focussize="0,0"/>
              <v:stroke on="f"/>
              <v:imagedata o:title=""/>
              <o:lock v:ext="edit" aspectratio="f"/>
              <v:textbox inset="0mm,0mm,0mm,0mm" style="mso-fit-shape-to-text:t;">
                <w:txbxContent>
                  <w:p w14:paraId="268D527E">
                    <w:pPr>
                      <w:pStyle w:val="2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25028B">
    <w:pPr>
      <w:pStyle w:val="2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10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E9B6A43">
                          <w:pPr>
                            <w:pStyle w:val="20"/>
                          </w:pPr>
                          <w:r>
                            <w:fldChar w:fldCharType="begin"/>
                          </w:r>
                          <w:r>
                            <w:instrText xml:space="preserve"> PAGE  \* MERGEFORMAT </w:instrText>
                          </w:r>
                          <w:r>
                            <w:fldChar w:fldCharType="separate"/>
                          </w:r>
                          <w:r>
                            <w:t>93</w:t>
                          </w:r>
                          <w:r>
                            <w:fldChar w:fldCharType="end"/>
                          </w:r>
                        </w:p>
                      </w:txbxContent>
                    </wps:txbx>
                    <wps:bodyPr vert="horz" wrap="none" lIns="0" tIns="0" rIns="0" bIns="0" anchor="t" anchorCtr="0" upright="0">
                      <a:spAutoFit/>
                    </wps:bodyPr>
                  </wps:wsp>
                </a:graphicData>
              </a:graphic>
            </wp:anchor>
          </w:drawing>
        </mc:Choice>
        <mc:Fallback>
          <w:pict>
            <v:shape id="文本框 1030"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zql5uc8AAAAFAQAADwAAAAAAAAAB&#10;ACAAAAAiAAAAZHJzL2Rvd25yZXYueG1sUEsBAhQAFAAAAAgAh07iQDmYgmDgAQAAwgMAAA4AAAAA&#10;AAAAAQAgAAAAHgEAAGRycy9lMm9Eb2MueG1sUEsFBgAAAAAGAAYAWQEAAHAFAAAAAA==&#10;">
              <v:fill on="f" focussize="0,0"/>
              <v:stroke on="f"/>
              <v:imagedata o:title=""/>
              <o:lock v:ext="edit" aspectratio="f"/>
              <v:textbox inset="0mm,0mm,0mm,0mm" style="mso-fit-shape-to-text:t;">
                <w:txbxContent>
                  <w:p w14:paraId="4E9B6A43">
                    <w:pPr>
                      <w:pStyle w:val="20"/>
                    </w:pPr>
                    <w:r>
                      <w:fldChar w:fldCharType="begin"/>
                    </w:r>
                    <w:r>
                      <w:instrText xml:space="preserve"> PAGE  \* MERGEFORMAT </w:instrText>
                    </w:r>
                    <w:r>
                      <w:fldChar w:fldCharType="separate"/>
                    </w:r>
                    <w:r>
                      <w:t>93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273EB1"/>
    <w:multiLevelType w:val="multilevel"/>
    <w:tmpl w:val="94273EB1"/>
    <w:lvl w:ilvl="0" w:tentative="0">
      <w:start w:val="1"/>
      <w:numFmt w:val="decimal"/>
      <w:isLgl/>
      <w:suff w:val="space"/>
      <w:lvlText w:val="%1"/>
      <w:lvlJc w:val="center"/>
      <w:pPr>
        <w:tabs>
          <w:tab w:val="left" w:pos="420"/>
        </w:tabs>
        <w:ind w:left="0" w:firstLine="0"/>
      </w:pPr>
      <w:rPr>
        <w:rFonts w:hint="default" w:ascii="Times New Roman" w:hAnsi="Times New Roman" w:eastAsia="宋体" w:cs="Times New Roman"/>
        <w:b/>
        <w:bCs/>
        <w:sz w:val="44"/>
        <w:szCs w:val="44"/>
      </w:rPr>
    </w:lvl>
    <w:lvl w:ilvl="1" w:tentative="0">
      <w:start w:val="1"/>
      <w:numFmt w:val="decimal"/>
      <w:isLgl/>
      <w:suff w:val="space"/>
      <w:lvlText w:val="%1.%2"/>
      <w:lvlJc w:val="left"/>
      <w:pPr>
        <w:tabs>
          <w:tab w:val="left" w:pos="0"/>
        </w:tabs>
        <w:ind w:left="0" w:firstLine="0"/>
      </w:pPr>
      <w:rPr>
        <w:rFonts w:hint="default" w:ascii="Times New Roman" w:hAnsi="Times New Roman" w:eastAsia="宋体" w:cs="Times New Roman"/>
        <w:b/>
        <w:bCs/>
        <w:sz w:val="32"/>
        <w:szCs w:val="32"/>
      </w:rPr>
    </w:lvl>
    <w:lvl w:ilvl="2" w:tentative="0">
      <w:start w:val="1"/>
      <w:numFmt w:val="decimal"/>
      <w:isLgl/>
      <w:suff w:val="space"/>
      <w:lvlText w:val="%1.%2.%3"/>
      <w:lvlJc w:val="left"/>
      <w:pPr>
        <w:tabs>
          <w:tab w:val="left" w:pos="420"/>
        </w:tabs>
        <w:ind w:left="0" w:firstLine="0"/>
      </w:pPr>
      <w:rPr>
        <w:rFonts w:hint="default" w:ascii="Times New Roman" w:hAnsi="Times New Roman" w:eastAsia="宋体" w:cs="Times New Roman"/>
        <w:b/>
        <w:bCs/>
        <w:sz w:val="28"/>
        <w:szCs w:val="28"/>
      </w:rPr>
    </w:lvl>
    <w:lvl w:ilvl="3" w:tentative="0">
      <w:start w:val="1"/>
      <w:numFmt w:val="decimal"/>
      <w:isLgl/>
      <w:suff w:val="space"/>
      <w:lvlText w:val="%1.%2.%3.%4"/>
      <w:lvlJc w:val="left"/>
      <w:pPr>
        <w:tabs>
          <w:tab w:val="left" w:pos="0"/>
        </w:tabs>
        <w:ind w:left="0" w:firstLine="0"/>
      </w:pPr>
      <w:rPr>
        <w:rFonts w:hint="default" w:ascii="Times New Roman" w:hAnsi="Times New Roman" w:eastAsia="宋体" w:cs="Times New Roman"/>
        <w:b/>
        <w:bCs/>
        <w:sz w:val="24"/>
        <w:szCs w:val="24"/>
      </w:rPr>
    </w:lvl>
    <w:lvl w:ilvl="4" w:tentative="0">
      <w:start w:val="1"/>
      <w:numFmt w:val="decimal"/>
      <w:pStyle w:val="6"/>
      <w:suff w:val="nothing"/>
      <w:lvlText w:val="%5、"/>
      <w:lvlJc w:val="left"/>
      <w:pPr>
        <w:tabs>
          <w:tab w:val="left" w:pos="0"/>
        </w:tabs>
        <w:ind w:left="420" w:hanging="420"/>
      </w:pPr>
      <w:rPr>
        <w:rFonts w:hint="default" w:ascii="Times New Roman" w:hAnsi="Times New Roman" w:eastAsia="宋体" w:cs="Times New Roman"/>
        <w:b/>
        <w:bCs/>
        <w:sz w:val="24"/>
        <w:szCs w:val="24"/>
      </w:rPr>
    </w:lvl>
    <w:lvl w:ilvl="5" w:tentative="0">
      <w:start w:val="1"/>
      <w:numFmt w:val="decimal"/>
      <w:lvlRestart w:val="2"/>
      <w:isLgl/>
      <w:suff w:val="space"/>
      <w:lvlText w:val="表%1.%2-%6"/>
      <w:lvlJc w:val="center"/>
      <w:pPr>
        <w:tabs>
          <w:tab w:val="left" w:pos="420"/>
        </w:tabs>
        <w:ind w:left="0" w:firstLine="0"/>
      </w:pPr>
      <w:rPr>
        <w:rFonts w:hint="default" w:ascii="Times New Roman" w:hAnsi="Times New Roman" w:eastAsia="宋体" w:cs="Times New Roman"/>
        <w:b/>
        <w:bCs/>
        <w:sz w:val="21"/>
        <w:szCs w:val="21"/>
      </w:rPr>
    </w:lvl>
    <w:lvl w:ilvl="6" w:tentative="0">
      <w:start w:val="1"/>
      <w:numFmt w:val="decimal"/>
      <w:lvlRestart w:val="2"/>
      <w:isLgl/>
      <w:suff w:val="space"/>
      <w:lvlText w:val="图%1.%2-%7"/>
      <w:lvlJc w:val="center"/>
      <w:pPr>
        <w:tabs>
          <w:tab w:val="left" w:pos="420"/>
        </w:tabs>
        <w:ind w:left="0" w:firstLine="0"/>
      </w:pPr>
      <w:rPr>
        <w:rFonts w:hint="default" w:ascii="Times New Roman" w:hAnsi="Times New Roman" w:eastAsia="宋体" w:cs="Times New Roman"/>
        <w:b/>
        <w:bCs/>
        <w:sz w:val="21"/>
        <w:szCs w:val="21"/>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
    <w:nsid w:val="B8B0C104"/>
    <w:multiLevelType w:val="singleLevel"/>
    <w:tmpl w:val="B8B0C104"/>
    <w:lvl w:ilvl="0" w:tentative="0">
      <w:start w:val="4"/>
      <w:numFmt w:val="chineseCounting"/>
      <w:suff w:val="nothing"/>
      <w:lvlText w:val="%1、"/>
      <w:lvlJc w:val="left"/>
      <w:rPr>
        <w:rFonts w:hint="eastAsia"/>
      </w:rPr>
    </w:lvl>
  </w:abstractNum>
  <w:abstractNum w:abstractNumId="2">
    <w:nsid w:val="B984EA25"/>
    <w:multiLevelType w:val="multilevel"/>
    <w:tmpl w:val="B984EA25"/>
    <w:lvl w:ilvl="0" w:tentative="0">
      <w:start w:val="1"/>
      <w:numFmt w:val="decimal"/>
      <w:pStyle w:val="2"/>
      <w:isLgl/>
      <w:suff w:val="nothing"/>
      <w:lvlText w:val="%1、"/>
      <w:lvlJc w:val="left"/>
      <w:pPr>
        <w:tabs>
          <w:tab w:val="left" w:pos="0"/>
        </w:tabs>
        <w:ind w:left="0" w:firstLine="0"/>
      </w:pPr>
      <w:rPr>
        <w:rFonts w:hint="default" w:ascii="Times New Roman" w:hAnsi="Times New Roman" w:eastAsia="宋体" w:cs="Times New Roman"/>
        <w:b/>
        <w:bCs/>
        <w:color w:val="auto"/>
        <w:sz w:val="24"/>
        <w:szCs w:val="24"/>
      </w:rPr>
    </w:lvl>
    <w:lvl w:ilvl="1" w:tentative="0">
      <w:start w:val="1"/>
      <w:numFmt w:val="decimal"/>
      <w:pStyle w:val="3"/>
      <w:isLgl/>
      <w:suff w:val="nothing"/>
      <w:lvlText w:val="（%2）"/>
      <w:lvlJc w:val="left"/>
      <w:pPr>
        <w:tabs>
          <w:tab w:val="left" w:pos="0"/>
        </w:tabs>
        <w:ind w:left="0" w:firstLine="0"/>
      </w:pPr>
      <w:rPr>
        <w:rFonts w:hint="default" w:ascii="Times New Roman" w:hAnsi="Times New Roman" w:eastAsia="宋体" w:cs="Times New Roman"/>
        <w:b/>
        <w:bCs/>
        <w:sz w:val="24"/>
        <w:szCs w:val="24"/>
      </w:rPr>
    </w:lvl>
    <w:lvl w:ilvl="2" w:tentative="0">
      <w:start w:val="1"/>
      <w:numFmt w:val="decimalEnclosedCircleChinese"/>
      <w:pStyle w:val="4"/>
      <w:suff w:val="nothing"/>
      <w:lvlText w:val="%3"/>
      <w:lvlJc w:val="left"/>
      <w:pPr>
        <w:tabs>
          <w:tab w:val="left" w:pos="0"/>
        </w:tabs>
        <w:ind w:left="0" w:firstLine="0"/>
      </w:pPr>
      <w:rPr>
        <w:rFonts w:hint="eastAsia" w:ascii="Times New Roman" w:hAnsi="Times New Roman" w:eastAsia="宋体" w:cs="Times New Roman"/>
        <w:sz w:val="24"/>
        <w:szCs w:val="24"/>
      </w:rPr>
    </w:lvl>
    <w:lvl w:ilvl="3" w:tentative="0">
      <w:start w:val="1"/>
      <w:numFmt w:val="decimal"/>
      <w:lvlRestart w:val="0"/>
      <w:pStyle w:val="36"/>
      <w:suff w:val="space"/>
      <w:lvlText w:val="表%4"/>
      <w:lvlJc w:val="center"/>
      <w:pPr>
        <w:tabs>
          <w:tab w:val="left" w:pos="0"/>
        </w:tabs>
        <w:ind w:left="0" w:firstLine="0"/>
      </w:pPr>
      <w:rPr>
        <w:rFonts w:hint="default" w:ascii="Times New Roman" w:hAnsi="Times New Roman" w:eastAsia="宋体" w:cs="Times New Roman"/>
        <w:b/>
        <w:bCs/>
        <w:sz w:val="21"/>
        <w:szCs w:val="21"/>
        <w:highlight w:val="none"/>
      </w:rPr>
    </w:lvl>
    <w:lvl w:ilvl="4" w:tentative="0">
      <w:start w:val="1"/>
      <w:numFmt w:val="decimal"/>
      <w:lvlRestart w:val="0"/>
      <w:pStyle w:val="39"/>
      <w:suff w:val="space"/>
      <w:lvlText w:val="图%5"/>
      <w:lvlJc w:val="center"/>
      <w:pPr>
        <w:tabs>
          <w:tab w:val="left" w:pos="0"/>
        </w:tabs>
        <w:ind w:left="0" w:firstLine="0"/>
      </w:pPr>
      <w:rPr>
        <w:rFonts w:hint="default" w:ascii="Times New Roman" w:hAnsi="Times New Roman" w:eastAsia="宋体" w:cs="Times New Roman"/>
        <w:b/>
        <w:bCs/>
        <w:sz w:val="21"/>
        <w:szCs w:val="21"/>
      </w:rPr>
    </w:lvl>
    <w:lvl w:ilvl="5" w:tentative="0">
      <w:start w:val="1"/>
      <w:numFmt w:val="decimal"/>
      <w:lvlRestart w:val="0"/>
      <w:isLgl/>
      <w:suff w:val="space"/>
      <w:lvlText w:val="附件%6"/>
      <w:lvlJc w:val="center"/>
      <w:pPr>
        <w:tabs>
          <w:tab w:val="left" w:pos="420"/>
        </w:tabs>
        <w:ind w:left="0" w:firstLine="0"/>
      </w:pPr>
      <w:rPr>
        <w:rFonts w:hint="default" w:ascii="Times New Roman" w:hAnsi="Times New Roman" w:eastAsia="宋体" w:cs="Times New Roman"/>
        <w:b/>
        <w:bCs/>
        <w:sz w:val="21"/>
        <w:szCs w:val="21"/>
      </w:rPr>
    </w:lvl>
    <w:lvl w:ilvl="6" w:tentative="0">
      <w:start w:val="1"/>
      <w:numFmt w:val="decimal"/>
      <w:lvlText w:val="%1.%2.%3.%4.%5.%6.%7."/>
      <w:lvlJc w:val="left"/>
      <w:pPr>
        <w:ind w:left="1275" w:hanging="1275"/>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8" w:hanging="1558"/>
      </w:pPr>
      <w:rPr>
        <w:rFonts w:hint="eastAsia"/>
      </w:rPr>
    </w:lvl>
  </w:abstractNum>
  <w:abstractNum w:abstractNumId="3">
    <w:nsid w:val="C775512C"/>
    <w:multiLevelType w:val="singleLevel"/>
    <w:tmpl w:val="C775512C"/>
    <w:lvl w:ilvl="0" w:tentative="0">
      <w:start w:val="1"/>
      <w:numFmt w:val="decimal"/>
      <w:suff w:val="nothing"/>
      <w:lvlText w:val="（%1）"/>
      <w:lvlJc w:val="left"/>
    </w:lvl>
  </w:abstractNum>
  <w:abstractNum w:abstractNumId="4">
    <w:nsid w:val="D4A39866"/>
    <w:multiLevelType w:val="singleLevel"/>
    <w:tmpl w:val="D4A39866"/>
    <w:lvl w:ilvl="0" w:tentative="0">
      <w:start w:val="1"/>
      <w:numFmt w:val="decimal"/>
      <w:suff w:val="nothing"/>
      <w:lvlText w:val="%1、"/>
      <w:lvlJc w:val="left"/>
    </w:lvl>
  </w:abstractNum>
  <w:abstractNum w:abstractNumId="5">
    <w:nsid w:val="DCC41D84"/>
    <w:multiLevelType w:val="singleLevel"/>
    <w:tmpl w:val="DCC41D84"/>
    <w:lvl w:ilvl="0" w:tentative="0">
      <w:start w:val="3"/>
      <w:numFmt w:val="decimal"/>
      <w:suff w:val="nothing"/>
      <w:lvlText w:val="%1）"/>
      <w:lvlJc w:val="left"/>
    </w:lvl>
  </w:abstractNum>
  <w:abstractNum w:abstractNumId="6">
    <w:nsid w:val="05A32CA5"/>
    <w:multiLevelType w:val="singleLevel"/>
    <w:tmpl w:val="05A32CA5"/>
    <w:lvl w:ilvl="0" w:tentative="0">
      <w:start w:val="3"/>
      <w:numFmt w:val="decimal"/>
      <w:suff w:val="nothing"/>
      <w:lvlText w:val="%1）"/>
      <w:lvlJc w:val="left"/>
    </w:lvl>
  </w:abstractNum>
  <w:abstractNum w:abstractNumId="7">
    <w:nsid w:val="15132E62"/>
    <w:multiLevelType w:val="singleLevel"/>
    <w:tmpl w:val="15132E62"/>
    <w:lvl w:ilvl="0" w:tentative="0">
      <w:start w:val="1"/>
      <w:numFmt w:val="bullet"/>
      <w:pStyle w:val="16"/>
      <w:lvlText w:val=""/>
      <w:lvlJc w:val="left"/>
      <w:pPr>
        <w:tabs>
          <w:tab w:val="left" w:pos="2040"/>
        </w:tabs>
        <w:ind w:left="2040" w:hanging="360"/>
      </w:pPr>
      <w:rPr>
        <w:rFonts w:hint="default" w:ascii="Wingdings" w:hAnsi="Wingdings"/>
      </w:rPr>
    </w:lvl>
  </w:abstractNum>
  <w:abstractNum w:abstractNumId="8">
    <w:nsid w:val="1BD38847"/>
    <w:multiLevelType w:val="singleLevel"/>
    <w:tmpl w:val="1BD38847"/>
    <w:lvl w:ilvl="0" w:tentative="0">
      <w:start w:val="1"/>
      <w:numFmt w:val="decimal"/>
      <w:suff w:val="nothing"/>
      <w:lvlText w:val="（%1）"/>
      <w:lvlJc w:val="left"/>
    </w:lvl>
  </w:abstractNum>
  <w:abstractNum w:abstractNumId="9">
    <w:nsid w:val="3B91D667"/>
    <w:multiLevelType w:val="multilevel"/>
    <w:tmpl w:val="3B91D667"/>
    <w:lvl w:ilvl="0" w:tentative="0">
      <w:start w:val="1"/>
      <w:numFmt w:val="chineseCounting"/>
      <w:suff w:val="space"/>
      <w:lvlText w:val="第%1部分"/>
      <w:lvlJc w:val="center"/>
      <w:pPr>
        <w:tabs>
          <w:tab w:val="left" w:pos="0"/>
        </w:tabs>
        <w:ind w:left="0" w:firstLine="0"/>
      </w:pPr>
      <w:rPr>
        <w:rFonts w:hint="eastAsia" w:ascii="Times New Roman" w:hAnsi="Times New Roman" w:eastAsia="宋体" w:cs="Times New Roman"/>
        <w:b/>
        <w:bCs/>
        <w:snapToGrid w:val="0"/>
        <w:sz w:val="44"/>
        <w:szCs w:val="44"/>
      </w:rPr>
    </w:lvl>
    <w:lvl w:ilvl="1" w:tentative="0">
      <w:start w:val="1"/>
      <w:numFmt w:val="decimal"/>
      <w:pStyle w:val="82"/>
      <w:suff w:val="space"/>
      <w:lvlText w:val="%2"/>
      <w:lvlJc w:val="left"/>
      <w:pPr>
        <w:tabs>
          <w:tab w:val="left" w:pos="0"/>
        </w:tabs>
        <w:ind w:left="0" w:firstLine="0"/>
      </w:pPr>
      <w:rPr>
        <w:rFonts w:hint="eastAsia" w:ascii="Times New Roman" w:hAnsi="Times New Roman" w:eastAsia="宋体" w:cs="Times New Roman"/>
        <w:b/>
        <w:bCs/>
        <w:sz w:val="36"/>
        <w:szCs w:val="36"/>
      </w:rPr>
    </w:lvl>
    <w:lvl w:ilvl="2" w:tentative="0">
      <w:start w:val="1"/>
      <w:numFmt w:val="decimal"/>
      <w:pStyle w:val="83"/>
      <w:isLgl/>
      <w:suff w:val="space"/>
      <w:lvlText w:val="%2.%3"/>
      <w:lvlJc w:val="left"/>
      <w:pPr>
        <w:tabs>
          <w:tab w:val="left" w:pos="0"/>
        </w:tabs>
        <w:ind w:left="0" w:firstLine="0"/>
      </w:pPr>
      <w:rPr>
        <w:rFonts w:hint="eastAsia" w:ascii="Times New Roman" w:hAnsi="Times New Roman" w:eastAsia="宋体" w:cs="Times New Roman"/>
        <w:b/>
        <w:bCs/>
        <w:sz w:val="30"/>
        <w:szCs w:val="30"/>
      </w:rPr>
    </w:lvl>
    <w:lvl w:ilvl="3" w:tentative="0">
      <w:start w:val="1"/>
      <w:numFmt w:val="decimal"/>
      <w:pStyle w:val="87"/>
      <w:isLgl/>
      <w:suff w:val="space"/>
      <w:lvlText w:val="%2.%3.%4"/>
      <w:lvlJc w:val="left"/>
      <w:pPr>
        <w:tabs>
          <w:tab w:val="left" w:pos="0"/>
        </w:tabs>
        <w:ind w:left="0" w:firstLine="0"/>
      </w:pPr>
      <w:rPr>
        <w:rFonts w:hint="default" w:ascii="Times New Roman" w:hAnsi="Times New Roman" w:eastAsia="宋体" w:cs="Times New Roman"/>
        <w:b/>
        <w:bCs/>
        <w:sz w:val="28"/>
        <w:szCs w:val="28"/>
      </w:rPr>
    </w:lvl>
    <w:lvl w:ilvl="4" w:tentative="0">
      <w:start w:val="1"/>
      <w:numFmt w:val="decimal"/>
      <w:suff w:val="space"/>
      <w:lvlText w:val="%2.%3.%4.%5"/>
      <w:lvlJc w:val="left"/>
      <w:pPr>
        <w:tabs>
          <w:tab w:val="left" w:pos="420"/>
        </w:tabs>
        <w:ind w:left="0" w:firstLine="0"/>
      </w:pPr>
      <w:rPr>
        <w:rFonts w:hint="eastAsia" w:ascii="Times New Roman" w:hAnsi="Times New Roman" w:eastAsia="宋体" w:cs="Times New Roman"/>
        <w:b/>
        <w:bCs/>
        <w:sz w:val="24"/>
        <w:szCs w:val="24"/>
      </w:rPr>
    </w:lvl>
    <w:lvl w:ilvl="5" w:tentative="0">
      <w:start w:val="1"/>
      <w:numFmt w:val="decimal"/>
      <w:lvlRestart w:val="3"/>
      <w:pStyle w:val="85"/>
      <w:isLgl/>
      <w:suff w:val="space"/>
      <w:lvlText w:val="表%2.%3-%6"/>
      <w:lvlJc w:val="center"/>
      <w:pPr>
        <w:tabs>
          <w:tab w:val="left" w:pos="420"/>
        </w:tabs>
        <w:ind w:left="0" w:firstLine="0"/>
      </w:pPr>
      <w:rPr>
        <w:rFonts w:hint="default" w:ascii="Times New Roman" w:hAnsi="Times New Roman" w:eastAsia="宋体" w:cs="Times New Roman"/>
        <w:b/>
        <w:bCs/>
        <w:sz w:val="21"/>
        <w:szCs w:val="21"/>
      </w:rPr>
    </w:lvl>
    <w:lvl w:ilvl="6" w:tentative="0">
      <w:start w:val="1"/>
      <w:numFmt w:val="decimal"/>
      <w:lvlRestart w:val="3"/>
      <w:pStyle w:val="84"/>
      <w:isLgl/>
      <w:suff w:val="space"/>
      <w:lvlText w:val="图%2.%3-%7"/>
      <w:lvlJc w:val="center"/>
      <w:pPr>
        <w:tabs>
          <w:tab w:val="left" w:pos="0"/>
        </w:tabs>
        <w:ind w:left="0" w:firstLine="0"/>
      </w:pPr>
      <w:rPr>
        <w:rFonts w:hint="default" w:ascii="Times New Roman" w:hAnsi="Times New Roman" w:eastAsia="宋体" w:cs="Times New Roman"/>
        <w:b/>
        <w:bCs/>
        <w:sz w:val="21"/>
        <w:szCs w:val="21"/>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3" w:hanging="1583"/>
      </w:pPr>
      <w:rPr>
        <w:rFonts w:hint="eastAsia"/>
      </w:rPr>
    </w:lvl>
  </w:abstractNum>
  <w:abstractNum w:abstractNumId="10">
    <w:nsid w:val="584496BE"/>
    <w:multiLevelType w:val="singleLevel"/>
    <w:tmpl w:val="584496BE"/>
    <w:lvl w:ilvl="0" w:tentative="0">
      <w:start w:val="1"/>
      <w:numFmt w:val="decimal"/>
      <w:suff w:val="nothing"/>
      <w:lvlText w:val="（%1）"/>
      <w:lvlJc w:val="left"/>
    </w:lvl>
  </w:abstractNum>
  <w:abstractNum w:abstractNumId="11">
    <w:nsid w:val="6FA56F1A"/>
    <w:multiLevelType w:val="singleLevel"/>
    <w:tmpl w:val="6FA56F1A"/>
    <w:lvl w:ilvl="0" w:tentative="0">
      <w:start w:val="2"/>
      <w:numFmt w:val="decimal"/>
      <w:suff w:val="nothing"/>
      <w:lvlText w:val="（%1）"/>
      <w:lvlJc w:val="left"/>
    </w:lvl>
  </w:abstractNum>
  <w:abstractNum w:abstractNumId="12">
    <w:nsid w:val="701EBD33"/>
    <w:multiLevelType w:val="singleLevel"/>
    <w:tmpl w:val="701EBD33"/>
    <w:lvl w:ilvl="0" w:tentative="0">
      <w:start w:val="1"/>
      <w:numFmt w:val="decimal"/>
      <w:lvlText w:val="%1"/>
      <w:lvlJc w:val="left"/>
      <w:pPr>
        <w:tabs>
          <w:tab w:val="left" w:pos="420"/>
        </w:tabs>
        <w:ind w:left="425" w:leftChars="0" w:hanging="425" w:firstLineChars="0"/>
      </w:pPr>
      <w:rPr>
        <w:rFonts w:hint="default"/>
      </w:rPr>
    </w:lvl>
  </w:abstractNum>
  <w:abstractNum w:abstractNumId="13">
    <w:nsid w:val="7B6AA297"/>
    <w:multiLevelType w:val="multilevel"/>
    <w:tmpl w:val="7B6AA297"/>
    <w:lvl w:ilvl="0" w:tentative="0">
      <w:start w:val="1"/>
      <w:numFmt w:val="decimal"/>
      <w:pStyle w:val="22"/>
      <w:isLgl/>
      <w:suff w:val="space"/>
      <w:lvlText w:val="%1"/>
      <w:lvlJc w:val="center"/>
      <w:pPr>
        <w:tabs>
          <w:tab w:val="left" w:pos="420"/>
        </w:tabs>
        <w:ind w:left="0" w:firstLine="0"/>
      </w:pPr>
      <w:rPr>
        <w:rFonts w:hint="default" w:ascii="Times New Roman" w:hAnsi="Times New Roman" w:eastAsia="宋体" w:cs="Times New Roman"/>
        <w:b/>
        <w:bCs/>
        <w:sz w:val="44"/>
        <w:szCs w:val="44"/>
      </w:rPr>
    </w:lvl>
    <w:lvl w:ilvl="1" w:tentative="0">
      <w:start w:val="1"/>
      <w:numFmt w:val="decimal"/>
      <w:isLgl/>
      <w:suff w:val="space"/>
      <w:lvlText w:val="%1.%2"/>
      <w:lvlJc w:val="left"/>
      <w:pPr>
        <w:tabs>
          <w:tab w:val="left" w:pos="0"/>
        </w:tabs>
        <w:ind w:left="0" w:firstLine="0"/>
      </w:pPr>
      <w:rPr>
        <w:rFonts w:hint="default" w:ascii="Times New Roman" w:hAnsi="Times New Roman" w:eastAsia="宋体" w:cs="Times New Roman"/>
        <w:b/>
        <w:bCs/>
        <w:sz w:val="32"/>
        <w:szCs w:val="32"/>
      </w:rPr>
    </w:lvl>
    <w:lvl w:ilvl="2" w:tentative="0">
      <w:start w:val="1"/>
      <w:numFmt w:val="decimal"/>
      <w:isLgl/>
      <w:suff w:val="space"/>
      <w:lvlText w:val="%1.%2.%3"/>
      <w:lvlJc w:val="left"/>
      <w:pPr>
        <w:tabs>
          <w:tab w:val="left" w:pos="420"/>
        </w:tabs>
        <w:ind w:left="0" w:firstLine="0"/>
      </w:pPr>
      <w:rPr>
        <w:rFonts w:hint="default" w:ascii="Times New Roman" w:hAnsi="Times New Roman" w:eastAsia="宋体" w:cs="Times New Roman"/>
        <w:b/>
        <w:bCs/>
        <w:sz w:val="28"/>
        <w:szCs w:val="28"/>
      </w:rPr>
    </w:lvl>
    <w:lvl w:ilvl="3" w:tentative="0">
      <w:start w:val="1"/>
      <w:numFmt w:val="decimal"/>
      <w:isLgl/>
      <w:suff w:val="space"/>
      <w:lvlText w:val="%1.%2.%3.%4"/>
      <w:lvlJc w:val="left"/>
      <w:pPr>
        <w:tabs>
          <w:tab w:val="left" w:pos="0"/>
        </w:tabs>
        <w:ind w:left="0" w:firstLine="0"/>
      </w:pPr>
      <w:rPr>
        <w:rFonts w:hint="default" w:ascii="Times New Roman" w:hAnsi="Times New Roman" w:eastAsia="宋体" w:cs="Times New Roman"/>
        <w:b/>
        <w:bCs/>
        <w:sz w:val="24"/>
        <w:szCs w:val="24"/>
      </w:rPr>
    </w:lvl>
    <w:lvl w:ilvl="4" w:tentative="0">
      <w:start w:val="1"/>
      <w:numFmt w:val="decimal"/>
      <w:suff w:val="nothing"/>
      <w:lvlText w:val="%5、"/>
      <w:lvlJc w:val="left"/>
      <w:pPr>
        <w:tabs>
          <w:tab w:val="left" w:pos="0"/>
        </w:tabs>
        <w:ind w:left="420" w:hanging="420"/>
      </w:pPr>
      <w:rPr>
        <w:rFonts w:hint="default" w:ascii="Times New Roman" w:hAnsi="Times New Roman" w:eastAsia="宋体" w:cs="Times New Roman"/>
        <w:b/>
        <w:bCs/>
        <w:sz w:val="24"/>
        <w:szCs w:val="24"/>
      </w:rPr>
    </w:lvl>
    <w:lvl w:ilvl="5" w:tentative="0">
      <w:start w:val="1"/>
      <w:numFmt w:val="decimal"/>
      <w:lvlRestart w:val="2"/>
      <w:isLgl/>
      <w:suff w:val="space"/>
      <w:lvlText w:val="表%1.%2-%6"/>
      <w:lvlJc w:val="center"/>
      <w:pPr>
        <w:tabs>
          <w:tab w:val="left" w:pos="420"/>
        </w:tabs>
        <w:ind w:left="0" w:firstLine="0"/>
      </w:pPr>
      <w:rPr>
        <w:rFonts w:hint="default" w:ascii="Times New Roman" w:hAnsi="Times New Roman" w:eastAsia="宋体" w:cs="Times New Roman"/>
        <w:b/>
        <w:bCs/>
        <w:sz w:val="21"/>
        <w:szCs w:val="21"/>
      </w:rPr>
    </w:lvl>
    <w:lvl w:ilvl="6" w:tentative="0">
      <w:start w:val="1"/>
      <w:numFmt w:val="decimal"/>
      <w:lvlRestart w:val="2"/>
      <w:isLgl/>
      <w:suff w:val="space"/>
      <w:lvlText w:val="图%1.%2-%7"/>
      <w:lvlJc w:val="center"/>
      <w:pPr>
        <w:tabs>
          <w:tab w:val="left" w:pos="420"/>
        </w:tabs>
        <w:ind w:left="0" w:firstLine="0"/>
      </w:pPr>
      <w:rPr>
        <w:rFonts w:hint="default" w:ascii="Times New Roman" w:hAnsi="Times New Roman" w:eastAsia="宋体" w:cs="Times New Roman"/>
        <w:b/>
        <w:bCs/>
        <w:sz w:val="21"/>
        <w:szCs w:val="21"/>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2"/>
  </w:num>
  <w:num w:numId="2">
    <w:abstractNumId w:val="0"/>
  </w:num>
  <w:num w:numId="3">
    <w:abstractNumId w:val="7"/>
  </w:num>
  <w:num w:numId="4">
    <w:abstractNumId w:val="13"/>
  </w:num>
  <w:num w:numId="5">
    <w:abstractNumId w:val="9"/>
  </w:num>
  <w:num w:numId="6">
    <w:abstractNumId w:val="8"/>
  </w:num>
  <w:num w:numId="7">
    <w:abstractNumId w:val="12"/>
  </w:num>
  <w:num w:numId="8">
    <w:abstractNumId w:val="5"/>
  </w:num>
  <w:num w:numId="9">
    <w:abstractNumId w:val="11"/>
  </w:num>
  <w:num w:numId="10">
    <w:abstractNumId w:val="4"/>
  </w:num>
  <w:num w:numId="11">
    <w:abstractNumId w:val="10"/>
  </w:num>
  <w:num w:numId="12">
    <w:abstractNumId w:val="3"/>
  </w:num>
  <w:num w:numId="13">
    <w:abstractNumId w:val="1"/>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421"/>
  <w:hyphenationZone w:val="36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ˇˉ―‖’”…∶、。〃々〉》」』】〕〗！＂＇），．：；？］｀｜｝～￠"/>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UyMDAzNmYyZTEzYWIwODYzYzcwZDNhYmJiNGMyZWQifQ=="/>
  </w:docVars>
  <w:rsids>
    <w:rsidRoot w:val="00172A27"/>
    <w:rsid w:val="000060B3"/>
    <w:rsid w:val="0004364B"/>
    <w:rsid w:val="00061B1F"/>
    <w:rsid w:val="000733C4"/>
    <w:rsid w:val="00074783"/>
    <w:rsid w:val="0008070B"/>
    <w:rsid w:val="000810AC"/>
    <w:rsid w:val="00081A02"/>
    <w:rsid w:val="00082231"/>
    <w:rsid w:val="00082269"/>
    <w:rsid w:val="00092D38"/>
    <w:rsid w:val="0009377B"/>
    <w:rsid w:val="000A20C9"/>
    <w:rsid w:val="000B058F"/>
    <w:rsid w:val="000B4467"/>
    <w:rsid w:val="000B4DB9"/>
    <w:rsid w:val="000C09AC"/>
    <w:rsid w:val="000C767F"/>
    <w:rsid w:val="000D5A44"/>
    <w:rsid w:val="000E3ED2"/>
    <w:rsid w:val="001000FD"/>
    <w:rsid w:val="001058CA"/>
    <w:rsid w:val="001315D9"/>
    <w:rsid w:val="00131F42"/>
    <w:rsid w:val="001357F1"/>
    <w:rsid w:val="00140FA8"/>
    <w:rsid w:val="00142FEB"/>
    <w:rsid w:val="00143A2D"/>
    <w:rsid w:val="00145A41"/>
    <w:rsid w:val="00145F80"/>
    <w:rsid w:val="00151675"/>
    <w:rsid w:val="00157435"/>
    <w:rsid w:val="0017504D"/>
    <w:rsid w:val="0017671A"/>
    <w:rsid w:val="00177422"/>
    <w:rsid w:val="00184590"/>
    <w:rsid w:val="001870D1"/>
    <w:rsid w:val="0018781E"/>
    <w:rsid w:val="0019262D"/>
    <w:rsid w:val="001A1B35"/>
    <w:rsid w:val="001A48A2"/>
    <w:rsid w:val="001A6F61"/>
    <w:rsid w:val="001B72B8"/>
    <w:rsid w:val="001C69B3"/>
    <w:rsid w:val="001D5595"/>
    <w:rsid w:val="001D5FB4"/>
    <w:rsid w:val="001D7874"/>
    <w:rsid w:val="001D7F22"/>
    <w:rsid w:val="001F0F17"/>
    <w:rsid w:val="001F3347"/>
    <w:rsid w:val="001F69E4"/>
    <w:rsid w:val="002125B4"/>
    <w:rsid w:val="002155B8"/>
    <w:rsid w:val="00224839"/>
    <w:rsid w:val="002249B2"/>
    <w:rsid w:val="00226574"/>
    <w:rsid w:val="002278EC"/>
    <w:rsid w:val="0023280E"/>
    <w:rsid w:val="002377D1"/>
    <w:rsid w:val="002506BC"/>
    <w:rsid w:val="00254345"/>
    <w:rsid w:val="00264557"/>
    <w:rsid w:val="00270BE1"/>
    <w:rsid w:val="002805AB"/>
    <w:rsid w:val="00284204"/>
    <w:rsid w:val="00291773"/>
    <w:rsid w:val="002A168C"/>
    <w:rsid w:val="002A3DC7"/>
    <w:rsid w:val="002B49E2"/>
    <w:rsid w:val="002B7B00"/>
    <w:rsid w:val="002B7C44"/>
    <w:rsid w:val="002C2B17"/>
    <w:rsid w:val="002D3DD0"/>
    <w:rsid w:val="002E1F3A"/>
    <w:rsid w:val="002E298A"/>
    <w:rsid w:val="002F39EA"/>
    <w:rsid w:val="00301978"/>
    <w:rsid w:val="0030332C"/>
    <w:rsid w:val="003051C2"/>
    <w:rsid w:val="00312296"/>
    <w:rsid w:val="00314F0E"/>
    <w:rsid w:val="00321D8E"/>
    <w:rsid w:val="0032203F"/>
    <w:rsid w:val="00325928"/>
    <w:rsid w:val="00332863"/>
    <w:rsid w:val="00333180"/>
    <w:rsid w:val="0033337F"/>
    <w:rsid w:val="0033684D"/>
    <w:rsid w:val="00337B42"/>
    <w:rsid w:val="00341B42"/>
    <w:rsid w:val="0034348F"/>
    <w:rsid w:val="0034441A"/>
    <w:rsid w:val="00356653"/>
    <w:rsid w:val="0035743F"/>
    <w:rsid w:val="00357BE2"/>
    <w:rsid w:val="0036170C"/>
    <w:rsid w:val="0036298C"/>
    <w:rsid w:val="00366E0F"/>
    <w:rsid w:val="00381A72"/>
    <w:rsid w:val="00384676"/>
    <w:rsid w:val="00390857"/>
    <w:rsid w:val="003A4BF3"/>
    <w:rsid w:val="003B14F1"/>
    <w:rsid w:val="003B420D"/>
    <w:rsid w:val="003C6C16"/>
    <w:rsid w:val="003D794D"/>
    <w:rsid w:val="003E3058"/>
    <w:rsid w:val="003E76A9"/>
    <w:rsid w:val="003E7B4A"/>
    <w:rsid w:val="003F0809"/>
    <w:rsid w:val="003F6A8C"/>
    <w:rsid w:val="003F755C"/>
    <w:rsid w:val="00406F01"/>
    <w:rsid w:val="00416D50"/>
    <w:rsid w:val="00416FD5"/>
    <w:rsid w:val="00417772"/>
    <w:rsid w:val="00420E6A"/>
    <w:rsid w:val="00425A9E"/>
    <w:rsid w:val="00426D6B"/>
    <w:rsid w:val="00431E6C"/>
    <w:rsid w:val="00433CE7"/>
    <w:rsid w:val="00452738"/>
    <w:rsid w:val="00456091"/>
    <w:rsid w:val="00466321"/>
    <w:rsid w:val="00484B9B"/>
    <w:rsid w:val="004855F6"/>
    <w:rsid w:val="0048661E"/>
    <w:rsid w:val="00494670"/>
    <w:rsid w:val="004A3823"/>
    <w:rsid w:val="004C6351"/>
    <w:rsid w:val="004E2611"/>
    <w:rsid w:val="004E6946"/>
    <w:rsid w:val="004F1AD8"/>
    <w:rsid w:val="005039CB"/>
    <w:rsid w:val="0050558F"/>
    <w:rsid w:val="00506286"/>
    <w:rsid w:val="00510813"/>
    <w:rsid w:val="00511990"/>
    <w:rsid w:val="00511DE0"/>
    <w:rsid w:val="00514870"/>
    <w:rsid w:val="00514B9B"/>
    <w:rsid w:val="00517F02"/>
    <w:rsid w:val="00524303"/>
    <w:rsid w:val="005258A2"/>
    <w:rsid w:val="005401AE"/>
    <w:rsid w:val="00542E07"/>
    <w:rsid w:val="00545424"/>
    <w:rsid w:val="00554A7B"/>
    <w:rsid w:val="0055572C"/>
    <w:rsid w:val="0056106A"/>
    <w:rsid w:val="005720AE"/>
    <w:rsid w:val="00594D77"/>
    <w:rsid w:val="005969E4"/>
    <w:rsid w:val="005A013E"/>
    <w:rsid w:val="005A06B7"/>
    <w:rsid w:val="005A1759"/>
    <w:rsid w:val="005A68A7"/>
    <w:rsid w:val="005D36AB"/>
    <w:rsid w:val="00617CC3"/>
    <w:rsid w:val="006377A6"/>
    <w:rsid w:val="00637A3D"/>
    <w:rsid w:val="006411EF"/>
    <w:rsid w:val="00647991"/>
    <w:rsid w:val="006748B8"/>
    <w:rsid w:val="006775C3"/>
    <w:rsid w:val="0069290A"/>
    <w:rsid w:val="00692FA7"/>
    <w:rsid w:val="00695476"/>
    <w:rsid w:val="0069775A"/>
    <w:rsid w:val="00697813"/>
    <w:rsid w:val="006A3EE8"/>
    <w:rsid w:val="006A72BF"/>
    <w:rsid w:val="006B03F2"/>
    <w:rsid w:val="006B37DC"/>
    <w:rsid w:val="006B4F68"/>
    <w:rsid w:val="006C0592"/>
    <w:rsid w:val="006C272E"/>
    <w:rsid w:val="006C5479"/>
    <w:rsid w:val="006D13B5"/>
    <w:rsid w:val="006D6F3B"/>
    <w:rsid w:val="006E12FF"/>
    <w:rsid w:val="006E607E"/>
    <w:rsid w:val="007007DA"/>
    <w:rsid w:val="00706C5D"/>
    <w:rsid w:val="00732922"/>
    <w:rsid w:val="00733E26"/>
    <w:rsid w:val="0075162E"/>
    <w:rsid w:val="007535E1"/>
    <w:rsid w:val="00754034"/>
    <w:rsid w:val="00756556"/>
    <w:rsid w:val="007618C4"/>
    <w:rsid w:val="00767980"/>
    <w:rsid w:val="00770B19"/>
    <w:rsid w:val="0077463F"/>
    <w:rsid w:val="0078143C"/>
    <w:rsid w:val="00781DD7"/>
    <w:rsid w:val="007836EA"/>
    <w:rsid w:val="00784CDA"/>
    <w:rsid w:val="007906C4"/>
    <w:rsid w:val="007940EA"/>
    <w:rsid w:val="007967E8"/>
    <w:rsid w:val="007A1D83"/>
    <w:rsid w:val="007A2170"/>
    <w:rsid w:val="007A22BF"/>
    <w:rsid w:val="007A3323"/>
    <w:rsid w:val="007A3406"/>
    <w:rsid w:val="007B0423"/>
    <w:rsid w:val="007B72B8"/>
    <w:rsid w:val="007B7A58"/>
    <w:rsid w:val="007C21B5"/>
    <w:rsid w:val="007E4BD2"/>
    <w:rsid w:val="00801393"/>
    <w:rsid w:val="00802F88"/>
    <w:rsid w:val="0081293E"/>
    <w:rsid w:val="00815465"/>
    <w:rsid w:val="00817E9A"/>
    <w:rsid w:val="008306BD"/>
    <w:rsid w:val="00831A80"/>
    <w:rsid w:val="00833743"/>
    <w:rsid w:val="008340A4"/>
    <w:rsid w:val="0087135F"/>
    <w:rsid w:val="0087167F"/>
    <w:rsid w:val="00872D94"/>
    <w:rsid w:val="00880364"/>
    <w:rsid w:val="00891592"/>
    <w:rsid w:val="00891E9E"/>
    <w:rsid w:val="008A2F68"/>
    <w:rsid w:val="008B4FA6"/>
    <w:rsid w:val="008B5282"/>
    <w:rsid w:val="008B7C17"/>
    <w:rsid w:val="008C2D01"/>
    <w:rsid w:val="008C40E6"/>
    <w:rsid w:val="008D0F7A"/>
    <w:rsid w:val="008D68E4"/>
    <w:rsid w:val="008E0506"/>
    <w:rsid w:val="008E0CFF"/>
    <w:rsid w:val="008E5D6B"/>
    <w:rsid w:val="008E76F0"/>
    <w:rsid w:val="008F15FE"/>
    <w:rsid w:val="008F2D29"/>
    <w:rsid w:val="008F5187"/>
    <w:rsid w:val="008F60D8"/>
    <w:rsid w:val="008F6EB2"/>
    <w:rsid w:val="00902727"/>
    <w:rsid w:val="0090312B"/>
    <w:rsid w:val="0091736D"/>
    <w:rsid w:val="0093037A"/>
    <w:rsid w:val="0094154D"/>
    <w:rsid w:val="0095155F"/>
    <w:rsid w:val="00954429"/>
    <w:rsid w:val="009563CE"/>
    <w:rsid w:val="00976328"/>
    <w:rsid w:val="0097680D"/>
    <w:rsid w:val="00982438"/>
    <w:rsid w:val="0098404C"/>
    <w:rsid w:val="00985283"/>
    <w:rsid w:val="00995992"/>
    <w:rsid w:val="009A03E5"/>
    <w:rsid w:val="009A0F3B"/>
    <w:rsid w:val="009A1BB4"/>
    <w:rsid w:val="009A2628"/>
    <w:rsid w:val="009A3200"/>
    <w:rsid w:val="009B0897"/>
    <w:rsid w:val="009B7BD9"/>
    <w:rsid w:val="009C7DD5"/>
    <w:rsid w:val="009E227D"/>
    <w:rsid w:val="009E5019"/>
    <w:rsid w:val="00A04F1B"/>
    <w:rsid w:val="00A0501B"/>
    <w:rsid w:val="00A14947"/>
    <w:rsid w:val="00A32A83"/>
    <w:rsid w:val="00A368DB"/>
    <w:rsid w:val="00A423AA"/>
    <w:rsid w:val="00A53EC6"/>
    <w:rsid w:val="00A55C0F"/>
    <w:rsid w:val="00A65FA9"/>
    <w:rsid w:val="00A8713F"/>
    <w:rsid w:val="00A90BA1"/>
    <w:rsid w:val="00A97A9A"/>
    <w:rsid w:val="00AA0671"/>
    <w:rsid w:val="00AA2531"/>
    <w:rsid w:val="00AB1E09"/>
    <w:rsid w:val="00AB5330"/>
    <w:rsid w:val="00AB7747"/>
    <w:rsid w:val="00AC14CE"/>
    <w:rsid w:val="00AC2A56"/>
    <w:rsid w:val="00AD055E"/>
    <w:rsid w:val="00AD47A7"/>
    <w:rsid w:val="00AF0CBF"/>
    <w:rsid w:val="00AF257F"/>
    <w:rsid w:val="00AF33CF"/>
    <w:rsid w:val="00AF4D50"/>
    <w:rsid w:val="00AF6179"/>
    <w:rsid w:val="00B1295A"/>
    <w:rsid w:val="00B20A45"/>
    <w:rsid w:val="00B22C5C"/>
    <w:rsid w:val="00B24F30"/>
    <w:rsid w:val="00B31ABF"/>
    <w:rsid w:val="00B33BE3"/>
    <w:rsid w:val="00B44CE3"/>
    <w:rsid w:val="00B53B5D"/>
    <w:rsid w:val="00B561ED"/>
    <w:rsid w:val="00B6055E"/>
    <w:rsid w:val="00B6317D"/>
    <w:rsid w:val="00B70911"/>
    <w:rsid w:val="00B7723F"/>
    <w:rsid w:val="00B80534"/>
    <w:rsid w:val="00B8433C"/>
    <w:rsid w:val="00B85CB7"/>
    <w:rsid w:val="00B87491"/>
    <w:rsid w:val="00BA29E9"/>
    <w:rsid w:val="00BA7142"/>
    <w:rsid w:val="00BB237C"/>
    <w:rsid w:val="00BB41A3"/>
    <w:rsid w:val="00BC32DC"/>
    <w:rsid w:val="00BC35B6"/>
    <w:rsid w:val="00BD1B51"/>
    <w:rsid w:val="00BD4596"/>
    <w:rsid w:val="00BE1405"/>
    <w:rsid w:val="00BE312D"/>
    <w:rsid w:val="00BF1C20"/>
    <w:rsid w:val="00C10578"/>
    <w:rsid w:val="00C135BC"/>
    <w:rsid w:val="00C15C95"/>
    <w:rsid w:val="00C2596A"/>
    <w:rsid w:val="00C27537"/>
    <w:rsid w:val="00C328FE"/>
    <w:rsid w:val="00C33507"/>
    <w:rsid w:val="00C4409D"/>
    <w:rsid w:val="00C44E72"/>
    <w:rsid w:val="00C45A06"/>
    <w:rsid w:val="00C47E5B"/>
    <w:rsid w:val="00C61E4B"/>
    <w:rsid w:val="00C64BFF"/>
    <w:rsid w:val="00C704E9"/>
    <w:rsid w:val="00C763C9"/>
    <w:rsid w:val="00C80057"/>
    <w:rsid w:val="00C82232"/>
    <w:rsid w:val="00C82913"/>
    <w:rsid w:val="00C972B1"/>
    <w:rsid w:val="00CA2CCE"/>
    <w:rsid w:val="00CA43FD"/>
    <w:rsid w:val="00CA7EF8"/>
    <w:rsid w:val="00CB744C"/>
    <w:rsid w:val="00CB77BE"/>
    <w:rsid w:val="00CC489B"/>
    <w:rsid w:val="00CD2BCD"/>
    <w:rsid w:val="00CD3A4C"/>
    <w:rsid w:val="00CE10E9"/>
    <w:rsid w:val="00CE2910"/>
    <w:rsid w:val="00CE37F7"/>
    <w:rsid w:val="00CE5393"/>
    <w:rsid w:val="00CF36BE"/>
    <w:rsid w:val="00CF6000"/>
    <w:rsid w:val="00D003F3"/>
    <w:rsid w:val="00D0364F"/>
    <w:rsid w:val="00D06834"/>
    <w:rsid w:val="00D308ED"/>
    <w:rsid w:val="00D36D86"/>
    <w:rsid w:val="00D428AA"/>
    <w:rsid w:val="00D50398"/>
    <w:rsid w:val="00D50A34"/>
    <w:rsid w:val="00D53EFA"/>
    <w:rsid w:val="00D73760"/>
    <w:rsid w:val="00D94A7C"/>
    <w:rsid w:val="00D95896"/>
    <w:rsid w:val="00DB2983"/>
    <w:rsid w:val="00DC1257"/>
    <w:rsid w:val="00DC3DC0"/>
    <w:rsid w:val="00DC5B2B"/>
    <w:rsid w:val="00DD318D"/>
    <w:rsid w:val="00DD561E"/>
    <w:rsid w:val="00DF2E12"/>
    <w:rsid w:val="00DF514A"/>
    <w:rsid w:val="00DF6690"/>
    <w:rsid w:val="00DF6804"/>
    <w:rsid w:val="00E0358D"/>
    <w:rsid w:val="00E04323"/>
    <w:rsid w:val="00E070A2"/>
    <w:rsid w:val="00E2233C"/>
    <w:rsid w:val="00E2656A"/>
    <w:rsid w:val="00E412D0"/>
    <w:rsid w:val="00E56322"/>
    <w:rsid w:val="00E60982"/>
    <w:rsid w:val="00E62C62"/>
    <w:rsid w:val="00E654C1"/>
    <w:rsid w:val="00E65D97"/>
    <w:rsid w:val="00E72A5A"/>
    <w:rsid w:val="00E73354"/>
    <w:rsid w:val="00E84814"/>
    <w:rsid w:val="00E9242D"/>
    <w:rsid w:val="00E977B4"/>
    <w:rsid w:val="00EA233A"/>
    <w:rsid w:val="00EB5255"/>
    <w:rsid w:val="00EB5C47"/>
    <w:rsid w:val="00EC74E3"/>
    <w:rsid w:val="00ED0639"/>
    <w:rsid w:val="00EF4755"/>
    <w:rsid w:val="00EF7135"/>
    <w:rsid w:val="00F027DB"/>
    <w:rsid w:val="00F14A7A"/>
    <w:rsid w:val="00F22985"/>
    <w:rsid w:val="00F32F0F"/>
    <w:rsid w:val="00F3383E"/>
    <w:rsid w:val="00F41A65"/>
    <w:rsid w:val="00F465A7"/>
    <w:rsid w:val="00F50B7C"/>
    <w:rsid w:val="00F550E6"/>
    <w:rsid w:val="00F74345"/>
    <w:rsid w:val="00F80A0A"/>
    <w:rsid w:val="00F82B19"/>
    <w:rsid w:val="00F841D9"/>
    <w:rsid w:val="00F9212D"/>
    <w:rsid w:val="00F9257D"/>
    <w:rsid w:val="00F965DA"/>
    <w:rsid w:val="00FA406A"/>
    <w:rsid w:val="00FB503A"/>
    <w:rsid w:val="00FB516C"/>
    <w:rsid w:val="00FC206D"/>
    <w:rsid w:val="00FD0236"/>
    <w:rsid w:val="00FD18F4"/>
    <w:rsid w:val="00FD54DB"/>
    <w:rsid w:val="00FD619F"/>
    <w:rsid w:val="01042CD0"/>
    <w:rsid w:val="01080A12"/>
    <w:rsid w:val="010C0502"/>
    <w:rsid w:val="012354AE"/>
    <w:rsid w:val="01290F7E"/>
    <w:rsid w:val="012F2443"/>
    <w:rsid w:val="013435B5"/>
    <w:rsid w:val="01386D85"/>
    <w:rsid w:val="01443A95"/>
    <w:rsid w:val="014F6641"/>
    <w:rsid w:val="015D1E09"/>
    <w:rsid w:val="01722330"/>
    <w:rsid w:val="01730582"/>
    <w:rsid w:val="01750ED0"/>
    <w:rsid w:val="01797BEC"/>
    <w:rsid w:val="017F7DA1"/>
    <w:rsid w:val="01875DDB"/>
    <w:rsid w:val="01906FCA"/>
    <w:rsid w:val="019B3634"/>
    <w:rsid w:val="01A050EF"/>
    <w:rsid w:val="01A26771"/>
    <w:rsid w:val="01A93FA3"/>
    <w:rsid w:val="01AC7D42"/>
    <w:rsid w:val="01B136D6"/>
    <w:rsid w:val="01B56185"/>
    <w:rsid w:val="01C71536"/>
    <w:rsid w:val="01C74429"/>
    <w:rsid w:val="01D37272"/>
    <w:rsid w:val="01D55D26"/>
    <w:rsid w:val="01D7751B"/>
    <w:rsid w:val="01D919E1"/>
    <w:rsid w:val="01E626CD"/>
    <w:rsid w:val="01E6312D"/>
    <w:rsid w:val="01F66ABD"/>
    <w:rsid w:val="01F81425"/>
    <w:rsid w:val="01F97D4A"/>
    <w:rsid w:val="01FA0599"/>
    <w:rsid w:val="02021905"/>
    <w:rsid w:val="0233386D"/>
    <w:rsid w:val="0248789D"/>
    <w:rsid w:val="024A6BE2"/>
    <w:rsid w:val="0256755B"/>
    <w:rsid w:val="02581525"/>
    <w:rsid w:val="025C1016"/>
    <w:rsid w:val="025F0C3A"/>
    <w:rsid w:val="02611FB6"/>
    <w:rsid w:val="02697903"/>
    <w:rsid w:val="026D7A9F"/>
    <w:rsid w:val="026E2AF7"/>
    <w:rsid w:val="027C3466"/>
    <w:rsid w:val="027D2D3A"/>
    <w:rsid w:val="02867E41"/>
    <w:rsid w:val="0288005D"/>
    <w:rsid w:val="028916DF"/>
    <w:rsid w:val="028A0E54"/>
    <w:rsid w:val="02954528"/>
    <w:rsid w:val="029C0574"/>
    <w:rsid w:val="029F0F02"/>
    <w:rsid w:val="029F37BD"/>
    <w:rsid w:val="02AB6304"/>
    <w:rsid w:val="02BE1E79"/>
    <w:rsid w:val="02C137B2"/>
    <w:rsid w:val="02D36DFE"/>
    <w:rsid w:val="02E64D83"/>
    <w:rsid w:val="02ED6112"/>
    <w:rsid w:val="02EE4DF6"/>
    <w:rsid w:val="02F35989"/>
    <w:rsid w:val="02F456F2"/>
    <w:rsid w:val="02F76F90"/>
    <w:rsid w:val="02F96569"/>
    <w:rsid w:val="03004E24"/>
    <w:rsid w:val="03123DCA"/>
    <w:rsid w:val="031D3567"/>
    <w:rsid w:val="031F3DF1"/>
    <w:rsid w:val="03265180"/>
    <w:rsid w:val="033450DE"/>
    <w:rsid w:val="0337681C"/>
    <w:rsid w:val="0341020B"/>
    <w:rsid w:val="03411FB9"/>
    <w:rsid w:val="03425687"/>
    <w:rsid w:val="036208AE"/>
    <w:rsid w:val="036A59B4"/>
    <w:rsid w:val="03822CFE"/>
    <w:rsid w:val="03837ACB"/>
    <w:rsid w:val="03957E35"/>
    <w:rsid w:val="03962305"/>
    <w:rsid w:val="03991E6D"/>
    <w:rsid w:val="03A74512"/>
    <w:rsid w:val="03AB4BFC"/>
    <w:rsid w:val="03AF62A6"/>
    <w:rsid w:val="03C8762F"/>
    <w:rsid w:val="03CA0267"/>
    <w:rsid w:val="03CD1A9F"/>
    <w:rsid w:val="03CF70AD"/>
    <w:rsid w:val="03D13EFC"/>
    <w:rsid w:val="03D251BA"/>
    <w:rsid w:val="03D472D2"/>
    <w:rsid w:val="03E86271"/>
    <w:rsid w:val="03EA7B21"/>
    <w:rsid w:val="04185410"/>
    <w:rsid w:val="04293179"/>
    <w:rsid w:val="042C5AEC"/>
    <w:rsid w:val="042F62B6"/>
    <w:rsid w:val="04315D0B"/>
    <w:rsid w:val="04390EE3"/>
    <w:rsid w:val="0439520A"/>
    <w:rsid w:val="043D09D3"/>
    <w:rsid w:val="043D4E77"/>
    <w:rsid w:val="043E429C"/>
    <w:rsid w:val="04402271"/>
    <w:rsid w:val="04510922"/>
    <w:rsid w:val="04565F0C"/>
    <w:rsid w:val="04575F38"/>
    <w:rsid w:val="04581CB1"/>
    <w:rsid w:val="04583A5F"/>
    <w:rsid w:val="045E35EB"/>
    <w:rsid w:val="0475494B"/>
    <w:rsid w:val="047F22B7"/>
    <w:rsid w:val="048C423E"/>
    <w:rsid w:val="048D195A"/>
    <w:rsid w:val="0490173E"/>
    <w:rsid w:val="04934A97"/>
    <w:rsid w:val="04AB70F7"/>
    <w:rsid w:val="04AE64C0"/>
    <w:rsid w:val="04AE7B23"/>
    <w:rsid w:val="04B87DB9"/>
    <w:rsid w:val="04C13256"/>
    <w:rsid w:val="04D11B85"/>
    <w:rsid w:val="04D255BF"/>
    <w:rsid w:val="04EA2CD2"/>
    <w:rsid w:val="04FE4606"/>
    <w:rsid w:val="05143E2A"/>
    <w:rsid w:val="05151950"/>
    <w:rsid w:val="05155C80"/>
    <w:rsid w:val="051E0804"/>
    <w:rsid w:val="051F10E1"/>
    <w:rsid w:val="052102F4"/>
    <w:rsid w:val="05253812"/>
    <w:rsid w:val="052D4EEB"/>
    <w:rsid w:val="0532605E"/>
    <w:rsid w:val="0539755F"/>
    <w:rsid w:val="053C4B45"/>
    <w:rsid w:val="054671FA"/>
    <w:rsid w:val="054C363E"/>
    <w:rsid w:val="055217BF"/>
    <w:rsid w:val="055A1949"/>
    <w:rsid w:val="055A7363"/>
    <w:rsid w:val="05616AA3"/>
    <w:rsid w:val="05690402"/>
    <w:rsid w:val="056A1C9B"/>
    <w:rsid w:val="056A57F8"/>
    <w:rsid w:val="05760640"/>
    <w:rsid w:val="05790131"/>
    <w:rsid w:val="05812B41"/>
    <w:rsid w:val="05816FE5"/>
    <w:rsid w:val="05862809"/>
    <w:rsid w:val="059705B7"/>
    <w:rsid w:val="059A406C"/>
    <w:rsid w:val="059D4E11"/>
    <w:rsid w:val="05A30D0A"/>
    <w:rsid w:val="05A36F5B"/>
    <w:rsid w:val="05AB7BBE"/>
    <w:rsid w:val="05AD1B88"/>
    <w:rsid w:val="05B13426"/>
    <w:rsid w:val="05BF6A53"/>
    <w:rsid w:val="05C27FDE"/>
    <w:rsid w:val="05C56ED2"/>
    <w:rsid w:val="05D13AC9"/>
    <w:rsid w:val="05D23CEC"/>
    <w:rsid w:val="05DB07B4"/>
    <w:rsid w:val="05DC421B"/>
    <w:rsid w:val="05DD246D"/>
    <w:rsid w:val="05DF6ACD"/>
    <w:rsid w:val="05EA06E6"/>
    <w:rsid w:val="05F6352F"/>
    <w:rsid w:val="05F83EAE"/>
    <w:rsid w:val="05F872B0"/>
    <w:rsid w:val="06007F0A"/>
    <w:rsid w:val="0604671C"/>
    <w:rsid w:val="060F45F1"/>
    <w:rsid w:val="06113803"/>
    <w:rsid w:val="061E65E2"/>
    <w:rsid w:val="0624009C"/>
    <w:rsid w:val="06344057"/>
    <w:rsid w:val="06392F51"/>
    <w:rsid w:val="063D6CE4"/>
    <w:rsid w:val="063E7D85"/>
    <w:rsid w:val="065B5A88"/>
    <w:rsid w:val="06624721"/>
    <w:rsid w:val="06734882"/>
    <w:rsid w:val="06771C0F"/>
    <w:rsid w:val="067E2E92"/>
    <w:rsid w:val="06824DC3"/>
    <w:rsid w:val="069468A4"/>
    <w:rsid w:val="06995D26"/>
    <w:rsid w:val="069D3E29"/>
    <w:rsid w:val="06A370E9"/>
    <w:rsid w:val="06AE5BB8"/>
    <w:rsid w:val="06B53C44"/>
    <w:rsid w:val="06BA4C9B"/>
    <w:rsid w:val="06CD6519"/>
    <w:rsid w:val="06D01FD2"/>
    <w:rsid w:val="06D63E4C"/>
    <w:rsid w:val="06E31D05"/>
    <w:rsid w:val="06EA76B5"/>
    <w:rsid w:val="06F23CF7"/>
    <w:rsid w:val="06F27872"/>
    <w:rsid w:val="06FC6923"/>
    <w:rsid w:val="070E2AFA"/>
    <w:rsid w:val="07131EBF"/>
    <w:rsid w:val="07167571"/>
    <w:rsid w:val="071747CF"/>
    <w:rsid w:val="072468B9"/>
    <w:rsid w:val="07293586"/>
    <w:rsid w:val="07295285"/>
    <w:rsid w:val="07322345"/>
    <w:rsid w:val="073A32CD"/>
    <w:rsid w:val="07416A2C"/>
    <w:rsid w:val="07500A1D"/>
    <w:rsid w:val="07521B9F"/>
    <w:rsid w:val="07577FFE"/>
    <w:rsid w:val="075C3866"/>
    <w:rsid w:val="075C73C2"/>
    <w:rsid w:val="0762348F"/>
    <w:rsid w:val="07636392"/>
    <w:rsid w:val="076451A3"/>
    <w:rsid w:val="07675A5B"/>
    <w:rsid w:val="076E3F95"/>
    <w:rsid w:val="076F3599"/>
    <w:rsid w:val="07761196"/>
    <w:rsid w:val="07770C56"/>
    <w:rsid w:val="077A3CEC"/>
    <w:rsid w:val="07852DBD"/>
    <w:rsid w:val="0786465E"/>
    <w:rsid w:val="078A58ED"/>
    <w:rsid w:val="078A5FE1"/>
    <w:rsid w:val="079E5C2C"/>
    <w:rsid w:val="07A334CF"/>
    <w:rsid w:val="07A46CE5"/>
    <w:rsid w:val="07B3304E"/>
    <w:rsid w:val="07B471FE"/>
    <w:rsid w:val="07BC5F66"/>
    <w:rsid w:val="07BE007D"/>
    <w:rsid w:val="07C02047"/>
    <w:rsid w:val="07CB0F68"/>
    <w:rsid w:val="07DD6625"/>
    <w:rsid w:val="07F341CA"/>
    <w:rsid w:val="07F73864"/>
    <w:rsid w:val="0802440D"/>
    <w:rsid w:val="080A1514"/>
    <w:rsid w:val="0810758D"/>
    <w:rsid w:val="08114650"/>
    <w:rsid w:val="081859DF"/>
    <w:rsid w:val="081C1E89"/>
    <w:rsid w:val="0822685D"/>
    <w:rsid w:val="082272DF"/>
    <w:rsid w:val="08286ADC"/>
    <w:rsid w:val="082A7F93"/>
    <w:rsid w:val="082B53D9"/>
    <w:rsid w:val="082C3238"/>
    <w:rsid w:val="08397703"/>
    <w:rsid w:val="083B3352"/>
    <w:rsid w:val="083D71F3"/>
    <w:rsid w:val="08406FC5"/>
    <w:rsid w:val="0849203C"/>
    <w:rsid w:val="084C7436"/>
    <w:rsid w:val="085508EF"/>
    <w:rsid w:val="085C151E"/>
    <w:rsid w:val="08601134"/>
    <w:rsid w:val="086724C2"/>
    <w:rsid w:val="0870264D"/>
    <w:rsid w:val="087370B9"/>
    <w:rsid w:val="08765D20"/>
    <w:rsid w:val="08843074"/>
    <w:rsid w:val="088766C0"/>
    <w:rsid w:val="08A2766C"/>
    <w:rsid w:val="08A3512F"/>
    <w:rsid w:val="08A47272"/>
    <w:rsid w:val="08AC25CB"/>
    <w:rsid w:val="08B1373D"/>
    <w:rsid w:val="08B17BE1"/>
    <w:rsid w:val="08B81BB2"/>
    <w:rsid w:val="08C571E9"/>
    <w:rsid w:val="08C67060"/>
    <w:rsid w:val="08CB0CA3"/>
    <w:rsid w:val="08CC4A1B"/>
    <w:rsid w:val="08DD6889"/>
    <w:rsid w:val="08DF1A91"/>
    <w:rsid w:val="08E04023"/>
    <w:rsid w:val="08E41D65"/>
    <w:rsid w:val="09052135"/>
    <w:rsid w:val="09167A44"/>
    <w:rsid w:val="09187C60"/>
    <w:rsid w:val="092217DD"/>
    <w:rsid w:val="09293C1C"/>
    <w:rsid w:val="093A7294"/>
    <w:rsid w:val="093C56FD"/>
    <w:rsid w:val="09565B51"/>
    <w:rsid w:val="09613FEC"/>
    <w:rsid w:val="096748F3"/>
    <w:rsid w:val="096A44A7"/>
    <w:rsid w:val="09720390"/>
    <w:rsid w:val="098652FF"/>
    <w:rsid w:val="098B21E0"/>
    <w:rsid w:val="098D633C"/>
    <w:rsid w:val="09907752"/>
    <w:rsid w:val="09A23581"/>
    <w:rsid w:val="09A6526C"/>
    <w:rsid w:val="09AB2883"/>
    <w:rsid w:val="09B41BD4"/>
    <w:rsid w:val="09BB0D18"/>
    <w:rsid w:val="09BE6112"/>
    <w:rsid w:val="09C20297"/>
    <w:rsid w:val="09C33728"/>
    <w:rsid w:val="09D23121"/>
    <w:rsid w:val="09D678FF"/>
    <w:rsid w:val="09F45FD8"/>
    <w:rsid w:val="09F75AC8"/>
    <w:rsid w:val="09FB4193"/>
    <w:rsid w:val="09FB64A3"/>
    <w:rsid w:val="09FE7278"/>
    <w:rsid w:val="0A010572"/>
    <w:rsid w:val="0A0C1828"/>
    <w:rsid w:val="0A122902"/>
    <w:rsid w:val="0A140428"/>
    <w:rsid w:val="0A1C27B7"/>
    <w:rsid w:val="0A2368BD"/>
    <w:rsid w:val="0A263993"/>
    <w:rsid w:val="0A2D3AC2"/>
    <w:rsid w:val="0A2E4A30"/>
    <w:rsid w:val="0A3941D9"/>
    <w:rsid w:val="0A410AF1"/>
    <w:rsid w:val="0A4F7FA6"/>
    <w:rsid w:val="0A5627EE"/>
    <w:rsid w:val="0A56459C"/>
    <w:rsid w:val="0A5E49F2"/>
    <w:rsid w:val="0A643B2F"/>
    <w:rsid w:val="0A6B27EB"/>
    <w:rsid w:val="0A71587A"/>
    <w:rsid w:val="0A870BFA"/>
    <w:rsid w:val="0A8B31A5"/>
    <w:rsid w:val="0A911A78"/>
    <w:rsid w:val="0A917CCA"/>
    <w:rsid w:val="0A983694"/>
    <w:rsid w:val="0AA755DF"/>
    <w:rsid w:val="0AAC0660"/>
    <w:rsid w:val="0AB51CD2"/>
    <w:rsid w:val="0ABE2142"/>
    <w:rsid w:val="0AC03054"/>
    <w:rsid w:val="0AC1629C"/>
    <w:rsid w:val="0AD1633A"/>
    <w:rsid w:val="0ADD4CBE"/>
    <w:rsid w:val="0ADE3BB0"/>
    <w:rsid w:val="0AE47DFA"/>
    <w:rsid w:val="0AEC3E97"/>
    <w:rsid w:val="0AF344E1"/>
    <w:rsid w:val="0B033BCB"/>
    <w:rsid w:val="0B0C4346"/>
    <w:rsid w:val="0B0C7351"/>
    <w:rsid w:val="0B120D44"/>
    <w:rsid w:val="0B1F0FC2"/>
    <w:rsid w:val="0B2A3714"/>
    <w:rsid w:val="0B4718F8"/>
    <w:rsid w:val="0B521208"/>
    <w:rsid w:val="0B584344"/>
    <w:rsid w:val="0B5C1160"/>
    <w:rsid w:val="0B5C3E34"/>
    <w:rsid w:val="0B6C7DF0"/>
    <w:rsid w:val="0B790E13"/>
    <w:rsid w:val="0B847643"/>
    <w:rsid w:val="0B9A2BAF"/>
    <w:rsid w:val="0BAB0918"/>
    <w:rsid w:val="0BAB4DBC"/>
    <w:rsid w:val="0BB26F9C"/>
    <w:rsid w:val="0BBE4AEF"/>
    <w:rsid w:val="0BC663A5"/>
    <w:rsid w:val="0BC83278"/>
    <w:rsid w:val="0BCE073B"/>
    <w:rsid w:val="0BD27BF6"/>
    <w:rsid w:val="0BE417C7"/>
    <w:rsid w:val="0BE45BD8"/>
    <w:rsid w:val="0BE502CE"/>
    <w:rsid w:val="0BEC3095"/>
    <w:rsid w:val="0BED4BE5"/>
    <w:rsid w:val="0BF422BF"/>
    <w:rsid w:val="0BFC73C5"/>
    <w:rsid w:val="0C011871"/>
    <w:rsid w:val="0C093D1E"/>
    <w:rsid w:val="0C0A65C9"/>
    <w:rsid w:val="0C0B13B7"/>
    <w:rsid w:val="0C112E71"/>
    <w:rsid w:val="0C2506CA"/>
    <w:rsid w:val="0C2A5CE1"/>
    <w:rsid w:val="0C3B3C7D"/>
    <w:rsid w:val="0C407918"/>
    <w:rsid w:val="0C4F4DCF"/>
    <w:rsid w:val="0C605421"/>
    <w:rsid w:val="0C623E8C"/>
    <w:rsid w:val="0C675EED"/>
    <w:rsid w:val="0C6C6279"/>
    <w:rsid w:val="0C6C62F9"/>
    <w:rsid w:val="0C6F617C"/>
    <w:rsid w:val="0C797D50"/>
    <w:rsid w:val="0C8256F7"/>
    <w:rsid w:val="0C8C699B"/>
    <w:rsid w:val="0CA03F46"/>
    <w:rsid w:val="0CA041F5"/>
    <w:rsid w:val="0CA27F6D"/>
    <w:rsid w:val="0CA35A93"/>
    <w:rsid w:val="0CA732B7"/>
    <w:rsid w:val="0CA812BD"/>
    <w:rsid w:val="0CA84E57"/>
    <w:rsid w:val="0CAB2EAE"/>
    <w:rsid w:val="0CBB3596"/>
    <w:rsid w:val="0CBF0FAE"/>
    <w:rsid w:val="0CC407CA"/>
    <w:rsid w:val="0CDB5F01"/>
    <w:rsid w:val="0CDF32A3"/>
    <w:rsid w:val="0CF91B2D"/>
    <w:rsid w:val="0CFA3905"/>
    <w:rsid w:val="0CFB7319"/>
    <w:rsid w:val="0D006A41"/>
    <w:rsid w:val="0D042AA2"/>
    <w:rsid w:val="0D076022"/>
    <w:rsid w:val="0D130BA3"/>
    <w:rsid w:val="0D2005D6"/>
    <w:rsid w:val="0D2E7B05"/>
    <w:rsid w:val="0D333219"/>
    <w:rsid w:val="0D505C1B"/>
    <w:rsid w:val="0D621C7D"/>
    <w:rsid w:val="0D646FD0"/>
    <w:rsid w:val="0D692839"/>
    <w:rsid w:val="0D6B5609"/>
    <w:rsid w:val="0D6E006D"/>
    <w:rsid w:val="0D6E42F3"/>
    <w:rsid w:val="0D715156"/>
    <w:rsid w:val="0D784640"/>
    <w:rsid w:val="0D7A4D61"/>
    <w:rsid w:val="0D7B7BEA"/>
    <w:rsid w:val="0D887163"/>
    <w:rsid w:val="0D896A37"/>
    <w:rsid w:val="0D8D4779"/>
    <w:rsid w:val="0D9D0734"/>
    <w:rsid w:val="0DA11FD2"/>
    <w:rsid w:val="0DAF0B93"/>
    <w:rsid w:val="0DB02216"/>
    <w:rsid w:val="0DB20DDC"/>
    <w:rsid w:val="0DB31059"/>
    <w:rsid w:val="0DC67C8B"/>
    <w:rsid w:val="0DC7207D"/>
    <w:rsid w:val="0DD028B8"/>
    <w:rsid w:val="0DE46363"/>
    <w:rsid w:val="0DE63E89"/>
    <w:rsid w:val="0E0013EF"/>
    <w:rsid w:val="0E0E1264"/>
    <w:rsid w:val="0E146C48"/>
    <w:rsid w:val="0E197DBB"/>
    <w:rsid w:val="0E1F45F0"/>
    <w:rsid w:val="0E233E50"/>
    <w:rsid w:val="0E250E55"/>
    <w:rsid w:val="0E2B5D40"/>
    <w:rsid w:val="0E2F3A82"/>
    <w:rsid w:val="0E364E11"/>
    <w:rsid w:val="0E4017EB"/>
    <w:rsid w:val="0E415563"/>
    <w:rsid w:val="0E4932EC"/>
    <w:rsid w:val="0E5E6115"/>
    <w:rsid w:val="0E6367D6"/>
    <w:rsid w:val="0E73034D"/>
    <w:rsid w:val="0E787171"/>
    <w:rsid w:val="0E7B5ADB"/>
    <w:rsid w:val="0E7D15B4"/>
    <w:rsid w:val="0E820056"/>
    <w:rsid w:val="0E8C4A31"/>
    <w:rsid w:val="0E924011"/>
    <w:rsid w:val="0EA578A0"/>
    <w:rsid w:val="0EB16245"/>
    <w:rsid w:val="0EC654CA"/>
    <w:rsid w:val="0EC67291"/>
    <w:rsid w:val="0ECC3E0E"/>
    <w:rsid w:val="0ED62150"/>
    <w:rsid w:val="0EF136E7"/>
    <w:rsid w:val="0EF23B39"/>
    <w:rsid w:val="0F024C31"/>
    <w:rsid w:val="0F07055B"/>
    <w:rsid w:val="0F0942D3"/>
    <w:rsid w:val="0F13775A"/>
    <w:rsid w:val="0F1732C8"/>
    <w:rsid w:val="0F184516"/>
    <w:rsid w:val="0F19203C"/>
    <w:rsid w:val="0F1F58A5"/>
    <w:rsid w:val="0F24110D"/>
    <w:rsid w:val="0F2904D1"/>
    <w:rsid w:val="0F3375A2"/>
    <w:rsid w:val="0F377209"/>
    <w:rsid w:val="0F3F7F0E"/>
    <w:rsid w:val="0F427EDD"/>
    <w:rsid w:val="0F472767"/>
    <w:rsid w:val="0F492922"/>
    <w:rsid w:val="0F501F02"/>
    <w:rsid w:val="0F5947BA"/>
    <w:rsid w:val="0F5D63CD"/>
    <w:rsid w:val="0F5F45FE"/>
    <w:rsid w:val="0F6239E3"/>
    <w:rsid w:val="0F6A2898"/>
    <w:rsid w:val="0F6B27D9"/>
    <w:rsid w:val="0F735BF1"/>
    <w:rsid w:val="0F7800CE"/>
    <w:rsid w:val="0F7A6F7F"/>
    <w:rsid w:val="0F7F1D46"/>
    <w:rsid w:val="0F825F2A"/>
    <w:rsid w:val="0F961ACA"/>
    <w:rsid w:val="0F9A112B"/>
    <w:rsid w:val="0FA77648"/>
    <w:rsid w:val="0FAE09D7"/>
    <w:rsid w:val="0FAE4E7B"/>
    <w:rsid w:val="0FB00067"/>
    <w:rsid w:val="0FB0474F"/>
    <w:rsid w:val="0FB104C7"/>
    <w:rsid w:val="0FB264BD"/>
    <w:rsid w:val="0FB4726F"/>
    <w:rsid w:val="0FB767C8"/>
    <w:rsid w:val="0FBA07D2"/>
    <w:rsid w:val="0FC20D90"/>
    <w:rsid w:val="0FC401FA"/>
    <w:rsid w:val="0FC63F72"/>
    <w:rsid w:val="0FCE72CB"/>
    <w:rsid w:val="0FEA3AF9"/>
    <w:rsid w:val="0FEB5787"/>
    <w:rsid w:val="0FEC709E"/>
    <w:rsid w:val="0FEF0623"/>
    <w:rsid w:val="0FF00FEF"/>
    <w:rsid w:val="0FF14164"/>
    <w:rsid w:val="0FF3288D"/>
    <w:rsid w:val="0FF705D0"/>
    <w:rsid w:val="0FFB6AD0"/>
    <w:rsid w:val="0FFC5BE6"/>
    <w:rsid w:val="10005765"/>
    <w:rsid w:val="10032594"/>
    <w:rsid w:val="10036F74"/>
    <w:rsid w:val="10093E5F"/>
    <w:rsid w:val="101339CC"/>
    <w:rsid w:val="101A69DA"/>
    <w:rsid w:val="103958F6"/>
    <w:rsid w:val="10437371"/>
    <w:rsid w:val="10463305"/>
    <w:rsid w:val="104B091B"/>
    <w:rsid w:val="104D01F0"/>
    <w:rsid w:val="1055163A"/>
    <w:rsid w:val="105A07A8"/>
    <w:rsid w:val="10611EED"/>
    <w:rsid w:val="106B4485"/>
    <w:rsid w:val="106C2D6C"/>
    <w:rsid w:val="106D2F64"/>
    <w:rsid w:val="107014FB"/>
    <w:rsid w:val="10802FE3"/>
    <w:rsid w:val="108E6CD0"/>
    <w:rsid w:val="10971543"/>
    <w:rsid w:val="109A0FCA"/>
    <w:rsid w:val="109E4EEF"/>
    <w:rsid w:val="10A5173B"/>
    <w:rsid w:val="10A71321"/>
    <w:rsid w:val="10B4201D"/>
    <w:rsid w:val="10B56F7F"/>
    <w:rsid w:val="10B63710"/>
    <w:rsid w:val="10BE2E9B"/>
    <w:rsid w:val="10C428F5"/>
    <w:rsid w:val="10D03DBD"/>
    <w:rsid w:val="10D44D98"/>
    <w:rsid w:val="10DA2908"/>
    <w:rsid w:val="10DA3131"/>
    <w:rsid w:val="10DE0CD8"/>
    <w:rsid w:val="10DE3722"/>
    <w:rsid w:val="10E02E12"/>
    <w:rsid w:val="10E5667A"/>
    <w:rsid w:val="10EF0884"/>
    <w:rsid w:val="10F10820"/>
    <w:rsid w:val="10F20D97"/>
    <w:rsid w:val="10F863AD"/>
    <w:rsid w:val="11005262"/>
    <w:rsid w:val="111C2F7A"/>
    <w:rsid w:val="112A22DF"/>
    <w:rsid w:val="113413B0"/>
    <w:rsid w:val="1135103D"/>
    <w:rsid w:val="113D2012"/>
    <w:rsid w:val="11421C5F"/>
    <w:rsid w:val="11586E4C"/>
    <w:rsid w:val="116003F7"/>
    <w:rsid w:val="11665CA1"/>
    <w:rsid w:val="116D0E8E"/>
    <w:rsid w:val="11745865"/>
    <w:rsid w:val="117A1AC1"/>
    <w:rsid w:val="11860465"/>
    <w:rsid w:val="118934A9"/>
    <w:rsid w:val="118E0AC0"/>
    <w:rsid w:val="11A40E88"/>
    <w:rsid w:val="11A42091"/>
    <w:rsid w:val="11AA463D"/>
    <w:rsid w:val="11B322D4"/>
    <w:rsid w:val="11B83D8F"/>
    <w:rsid w:val="11BB562D"/>
    <w:rsid w:val="11C52008"/>
    <w:rsid w:val="11CF7BCA"/>
    <w:rsid w:val="11D60504"/>
    <w:rsid w:val="11E15093"/>
    <w:rsid w:val="11F66947"/>
    <w:rsid w:val="11F81A82"/>
    <w:rsid w:val="11FB70C7"/>
    <w:rsid w:val="12047A18"/>
    <w:rsid w:val="1206210D"/>
    <w:rsid w:val="12103BCB"/>
    <w:rsid w:val="12116D4B"/>
    <w:rsid w:val="121F3E0E"/>
    <w:rsid w:val="122424DD"/>
    <w:rsid w:val="12380A2C"/>
    <w:rsid w:val="123B5C73"/>
    <w:rsid w:val="124928E7"/>
    <w:rsid w:val="124F46F3"/>
    <w:rsid w:val="12535865"/>
    <w:rsid w:val="127842F5"/>
    <w:rsid w:val="127D7E52"/>
    <w:rsid w:val="12832740"/>
    <w:rsid w:val="12891287"/>
    <w:rsid w:val="12981604"/>
    <w:rsid w:val="129A2C04"/>
    <w:rsid w:val="12A22D09"/>
    <w:rsid w:val="12AA36D7"/>
    <w:rsid w:val="12AA7B7B"/>
    <w:rsid w:val="12B2460E"/>
    <w:rsid w:val="12CB18A0"/>
    <w:rsid w:val="12D469A6"/>
    <w:rsid w:val="12D60970"/>
    <w:rsid w:val="12F26E2C"/>
    <w:rsid w:val="12F313C4"/>
    <w:rsid w:val="12F6691D"/>
    <w:rsid w:val="12F6698B"/>
    <w:rsid w:val="12F969A7"/>
    <w:rsid w:val="13053004"/>
    <w:rsid w:val="130866EA"/>
    <w:rsid w:val="130A23C8"/>
    <w:rsid w:val="130E65DD"/>
    <w:rsid w:val="130F7FD6"/>
    <w:rsid w:val="13207E3D"/>
    <w:rsid w:val="13217712"/>
    <w:rsid w:val="13250FB0"/>
    <w:rsid w:val="132650F8"/>
    <w:rsid w:val="132D60B6"/>
    <w:rsid w:val="13330A97"/>
    <w:rsid w:val="133450AE"/>
    <w:rsid w:val="13427DB4"/>
    <w:rsid w:val="134358DA"/>
    <w:rsid w:val="13472E9B"/>
    <w:rsid w:val="13482EF0"/>
    <w:rsid w:val="134F3981"/>
    <w:rsid w:val="135F302A"/>
    <w:rsid w:val="13637D2A"/>
    <w:rsid w:val="136A4521"/>
    <w:rsid w:val="136F1F60"/>
    <w:rsid w:val="136F4921"/>
    <w:rsid w:val="13835254"/>
    <w:rsid w:val="13855EF2"/>
    <w:rsid w:val="138D2581"/>
    <w:rsid w:val="138F2D9E"/>
    <w:rsid w:val="139229E5"/>
    <w:rsid w:val="13951726"/>
    <w:rsid w:val="13A2288D"/>
    <w:rsid w:val="13AF4D1D"/>
    <w:rsid w:val="13C34FE0"/>
    <w:rsid w:val="13C95DDF"/>
    <w:rsid w:val="13D33102"/>
    <w:rsid w:val="13D859C6"/>
    <w:rsid w:val="13DF1AA7"/>
    <w:rsid w:val="13EC79B8"/>
    <w:rsid w:val="140212F1"/>
    <w:rsid w:val="140A09E7"/>
    <w:rsid w:val="140D17CC"/>
    <w:rsid w:val="14103A0E"/>
    <w:rsid w:val="141B23B3"/>
    <w:rsid w:val="141B298B"/>
    <w:rsid w:val="141B7D86"/>
    <w:rsid w:val="1421769B"/>
    <w:rsid w:val="1426512F"/>
    <w:rsid w:val="142B331E"/>
    <w:rsid w:val="14396509"/>
    <w:rsid w:val="14431F18"/>
    <w:rsid w:val="14432035"/>
    <w:rsid w:val="14442AC4"/>
    <w:rsid w:val="14537D9F"/>
    <w:rsid w:val="14551D69"/>
    <w:rsid w:val="14575AE1"/>
    <w:rsid w:val="145C30F7"/>
    <w:rsid w:val="1460670A"/>
    <w:rsid w:val="1461426A"/>
    <w:rsid w:val="14676A90"/>
    <w:rsid w:val="14681A9C"/>
    <w:rsid w:val="14740441"/>
    <w:rsid w:val="14771CDF"/>
    <w:rsid w:val="1481490C"/>
    <w:rsid w:val="14847F58"/>
    <w:rsid w:val="14891A12"/>
    <w:rsid w:val="148F3B35"/>
    <w:rsid w:val="1497303C"/>
    <w:rsid w:val="14982C41"/>
    <w:rsid w:val="14A81C82"/>
    <w:rsid w:val="14B369E4"/>
    <w:rsid w:val="14C34D91"/>
    <w:rsid w:val="14C43774"/>
    <w:rsid w:val="14C667C2"/>
    <w:rsid w:val="14D013EF"/>
    <w:rsid w:val="14D0690E"/>
    <w:rsid w:val="14D62EA9"/>
    <w:rsid w:val="14DD2C3C"/>
    <w:rsid w:val="14F71A19"/>
    <w:rsid w:val="14F944D8"/>
    <w:rsid w:val="14FE166B"/>
    <w:rsid w:val="14FE5F5C"/>
    <w:rsid w:val="14FE762F"/>
    <w:rsid w:val="150957F1"/>
    <w:rsid w:val="15115C90"/>
    <w:rsid w:val="15227E9D"/>
    <w:rsid w:val="15237405"/>
    <w:rsid w:val="152754B3"/>
    <w:rsid w:val="152A5870"/>
    <w:rsid w:val="153052F1"/>
    <w:rsid w:val="153A58AE"/>
    <w:rsid w:val="15451DDD"/>
    <w:rsid w:val="1548367B"/>
    <w:rsid w:val="154C0F75"/>
    <w:rsid w:val="154C316C"/>
    <w:rsid w:val="154D6F77"/>
    <w:rsid w:val="154E0E2F"/>
    <w:rsid w:val="154F67B8"/>
    <w:rsid w:val="1562473D"/>
    <w:rsid w:val="15671D54"/>
    <w:rsid w:val="156758B0"/>
    <w:rsid w:val="1571672E"/>
    <w:rsid w:val="158226E9"/>
    <w:rsid w:val="158521DA"/>
    <w:rsid w:val="15897F1C"/>
    <w:rsid w:val="158A3C94"/>
    <w:rsid w:val="159C3FF8"/>
    <w:rsid w:val="15A85EC8"/>
    <w:rsid w:val="15AB60E4"/>
    <w:rsid w:val="15BD5E17"/>
    <w:rsid w:val="15C01464"/>
    <w:rsid w:val="15C3263E"/>
    <w:rsid w:val="15E66ADF"/>
    <w:rsid w:val="15E72BAA"/>
    <w:rsid w:val="15E92769"/>
    <w:rsid w:val="15FA2BC8"/>
    <w:rsid w:val="15FB5531"/>
    <w:rsid w:val="15FC6940"/>
    <w:rsid w:val="15FF4ABD"/>
    <w:rsid w:val="16070E41"/>
    <w:rsid w:val="16087E1D"/>
    <w:rsid w:val="160B0931"/>
    <w:rsid w:val="161F262E"/>
    <w:rsid w:val="161F4B9A"/>
    <w:rsid w:val="16276B81"/>
    <w:rsid w:val="162B2D81"/>
    <w:rsid w:val="162C6AF9"/>
    <w:rsid w:val="163836F0"/>
    <w:rsid w:val="163A3708"/>
    <w:rsid w:val="16500A3A"/>
    <w:rsid w:val="165E7E92"/>
    <w:rsid w:val="16640041"/>
    <w:rsid w:val="1676307B"/>
    <w:rsid w:val="16774218"/>
    <w:rsid w:val="16831C06"/>
    <w:rsid w:val="16864176"/>
    <w:rsid w:val="169E79F7"/>
    <w:rsid w:val="16A36133"/>
    <w:rsid w:val="16AE750E"/>
    <w:rsid w:val="16BE1E47"/>
    <w:rsid w:val="16C136E5"/>
    <w:rsid w:val="16C60CFC"/>
    <w:rsid w:val="16DC051F"/>
    <w:rsid w:val="16DF3B6C"/>
    <w:rsid w:val="16E11692"/>
    <w:rsid w:val="17002D2F"/>
    <w:rsid w:val="17071D4B"/>
    <w:rsid w:val="170766F0"/>
    <w:rsid w:val="170E265C"/>
    <w:rsid w:val="17163A31"/>
    <w:rsid w:val="171E28E6"/>
    <w:rsid w:val="17215F32"/>
    <w:rsid w:val="17255A22"/>
    <w:rsid w:val="172779EC"/>
    <w:rsid w:val="172872C1"/>
    <w:rsid w:val="172977DF"/>
    <w:rsid w:val="173043C7"/>
    <w:rsid w:val="1732013F"/>
    <w:rsid w:val="1733533F"/>
    <w:rsid w:val="173A339B"/>
    <w:rsid w:val="17457E73"/>
    <w:rsid w:val="174907EF"/>
    <w:rsid w:val="1749511C"/>
    <w:rsid w:val="1752258F"/>
    <w:rsid w:val="17563E2E"/>
    <w:rsid w:val="1759391E"/>
    <w:rsid w:val="175D340E"/>
    <w:rsid w:val="17614581"/>
    <w:rsid w:val="176A7017"/>
    <w:rsid w:val="176C3651"/>
    <w:rsid w:val="176F3141"/>
    <w:rsid w:val="17701D14"/>
    <w:rsid w:val="17726462"/>
    <w:rsid w:val="17735226"/>
    <w:rsid w:val="1775412A"/>
    <w:rsid w:val="177A598D"/>
    <w:rsid w:val="178766DD"/>
    <w:rsid w:val="178A7F7B"/>
    <w:rsid w:val="178C5AA1"/>
    <w:rsid w:val="178D5376"/>
    <w:rsid w:val="178E7C5B"/>
    <w:rsid w:val="178F4DE8"/>
    <w:rsid w:val="17914E66"/>
    <w:rsid w:val="17935BE8"/>
    <w:rsid w:val="17991F6C"/>
    <w:rsid w:val="17A25BB7"/>
    <w:rsid w:val="17A4103D"/>
    <w:rsid w:val="17A50911"/>
    <w:rsid w:val="17A821AF"/>
    <w:rsid w:val="17A87FD0"/>
    <w:rsid w:val="17B21108"/>
    <w:rsid w:val="17BD3EAD"/>
    <w:rsid w:val="17BE19D3"/>
    <w:rsid w:val="17C92852"/>
    <w:rsid w:val="17E05DED"/>
    <w:rsid w:val="17E258C0"/>
    <w:rsid w:val="17EB04FC"/>
    <w:rsid w:val="17EF6030"/>
    <w:rsid w:val="17F04282"/>
    <w:rsid w:val="17F83137"/>
    <w:rsid w:val="17FA6861"/>
    <w:rsid w:val="1804388A"/>
    <w:rsid w:val="18090EA0"/>
    <w:rsid w:val="18221F62"/>
    <w:rsid w:val="18226406"/>
    <w:rsid w:val="1823063E"/>
    <w:rsid w:val="183F0D66"/>
    <w:rsid w:val="18420856"/>
    <w:rsid w:val="18441ED8"/>
    <w:rsid w:val="184620F4"/>
    <w:rsid w:val="18523280"/>
    <w:rsid w:val="18610CDC"/>
    <w:rsid w:val="18690202"/>
    <w:rsid w:val="186C142F"/>
    <w:rsid w:val="18701F98"/>
    <w:rsid w:val="18722A44"/>
    <w:rsid w:val="187F45BF"/>
    <w:rsid w:val="187F73B4"/>
    <w:rsid w:val="188107B4"/>
    <w:rsid w:val="188E75F7"/>
    <w:rsid w:val="18956BD8"/>
    <w:rsid w:val="18973825"/>
    <w:rsid w:val="189F624C"/>
    <w:rsid w:val="18AA21BE"/>
    <w:rsid w:val="18AA6DCA"/>
    <w:rsid w:val="18AB6D3E"/>
    <w:rsid w:val="18B41AFB"/>
    <w:rsid w:val="18BA466F"/>
    <w:rsid w:val="18BC1557"/>
    <w:rsid w:val="18BF3C55"/>
    <w:rsid w:val="18BF5275"/>
    <w:rsid w:val="18C15C1F"/>
    <w:rsid w:val="18CE20EA"/>
    <w:rsid w:val="18D3325C"/>
    <w:rsid w:val="18DC7CA7"/>
    <w:rsid w:val="18E65685"/>
    <w:rsid w:val="18F81B89"/>
    <w:rsid w:val="1901601B"/>
    <w:rsid w:val="19047787"/>
    <w:rsid w:val="1907033B"/>
    <w:rsid w:val="190D7311"/>
    <w:rsid w:val="19157D18"/>
    <w:rsid w:val="191775ED"/>
    <w:rsid w:val="192C719D"/>
    <w:rsid w:val="192E299C"/>
    <w:rsid w:val="19393A07"/>
    <w:rsid w:val="193B5E3E"/>
    <w:rsid w:val="193C7053"/>
    <w:rsid w:val="193E101D"/>
    <w:rsid w:val="19436FF4"/>
    <w:rsid w:val="19445AFE"/>
    <w:rsid w:val="194C2307"/>
    <w:rsid w:val="19503165"/>
    <w:rsid w:val="195F555A"/>
    <w:rsid w:val="19662B63"/>
    <w:rsid w:val="19742C91"/>
    <w:rsid w:val="19747A66"/>
    <w:rsid w:val="197C38F4"/>
    <w:rsid w:val="197D41BD"/>
    <w:rsid w:val="19811C82"/>
    <w:rsid w:val="19836A30"/>
    <w:rsid w:val="19B27315"/>
    <w:rsid w:val="19BE3F0C"/>
    <w:rsid w:val="19CC05E5"/>
    <w:rsid w:val="19CE23A1"/>
    <w:rsid w:val="19D05BA1"/>
    <w:rsid w:val="19D41982"/>
    <w:rsid w:val="19D8128E"/>
    <w:rsid w:val="19E25E4D"/>
    <w:rsid w:val="19E576EB"/>
    <w:rsid w:val="19F4792E"/>
    <w:rsid w:val="1A0A53A3"/>
    <w:rsid w:val="1A1C66C0"/>
    <w:rsid w:val="1A206B5B"/>
    <w:rsid w:val="1A312930"/>
    <w:rsid w:val="1A385A6D"/>
    <w:rsid w:val="1A3A6D19"/>
    <w:rsid w:val="1A3C6714"/>
    <w:rsid w:val="1A42393B"/>
    <w:rsid w:val="1A441CBC"/>
    <w:rsid w:val="1A613215"/>
    <w:rsid w:val="1A626F8D"/>
    <w:rsid w:val="1A6B4094"/>
    <w:rsid w:val="1A6E7580"/>
    <w:rsid w:val="1A9C249F"/>
    <w:rsid w:val="1AAC6988"/>
    <w:rsid w:val="1AAD45DE"/>
    <w:rsid w:val="1AB16378"/>
    <w:rsid w:val="1AB53561"/>
    <w:rsid w:val="1AC47300"/>
    <w:rsid w:val="1ADE09C1"/>
    <w:rsid w:val="1AE31E7C"/>
    <w:rsid w:val="1AE479A2"/>
    <w:rsid w:val="1AE654C9"/>
    <w:rsid w:val="1AE87493"/>
    <w:rsid w:val="1AEB2594"/>
    <w:rsid w:val="1AF3648C"/>
    <w:rsid w:val="1AF51BB0"/>
    <w:rsid w:val="1AF745BC"/>
    <w:rsid w:val="1AF76849"/>
    <w:rsid w:val="1AFF7441"/>
    <w:rsid w:val="1B0203FF"/>
    <w:rsid w:val="1B046F80"/>
    <w:rsid w:val="1B072DA5"/>
    <w:rsid w:val="1B097409"/>
    <w:rsid w:val="1B155DAE"/>
    <w:rsid w:val="1B157B5C"/>
    <w:rsid w:val="1B1A33C4"/>
    <w:rsid w:val="1B1A403B"/>
    <w:rsid w:val="1B216501"/>
    <w:rsid w:val="1B256045"/>
    <w:rsid w:val="1B2B0B2B"/>
    <w:rsid w:val="1B2D1349"/>
    <w:rsid w:val="1B324BB2"/>
    <w:rsid w:val="1B3267B5"/>
    <w:rsid w:val="1B34486C"/>
    <w:rsid w:val="1B40161D"/>
    <w:rsid w:val="1B441859"/>
    <w:rsid w:val="1B5067BA"/>
    <w:rsid w:val="1B5C39DD"/>
    <w:rsid w:val="1B6606B1"/>
    <w:rsid w:val="1B6A434C"/>
    <w:rsid w:val="1B6A5B0E"/>
    <w:rsid w:val="1B75304D"/>
    <w:rsid w:val="1B764F95"/>
    <w:rsid w:val="1B7900EB"/>
    <w:rsid w:val="1B8005AF"/>
    <w:rsid w:val="1B85585A"/>
    <w:rsid w:val="1B8E2F00"/>
    <w:rsid w:val="1B944F25"/>
    <w:rsid w:val="1B956C01"/>
    <w:rsid w:val="1B9E2247"/>
    <w:rsid w:val="1BA05993"/>
    <w:rsid w:val="1BA953F0"/>
    <w:rsid w:val="1BC30C3F"/>
    <w:rsid w:val="1BC31311"/>
    <w:rsid w:val="1BCB46BE"/>
    <w:rsid w:val="1BCF41AF"/>
    <w:rsid w:val="1BD334ED"/>
    <w:rsid w:val="1BD47961"/>
    <w:rsid w:val="1BD802AA"/>
    <w:rsid w:val="1BE35EAC"/>
    <w:rsid w:val="1BE64424"/>
    <w:rsid w:val="1BF27E9D"/>
    <w:rsid w:val="1BFF74D6"/>
    <w:rsid w:val="1C0025BA"/>
    <w:rsid w:val="1C071B9A"/>
    <w:rsid w:val="1C0A00B2"/>
    <w:rsid w:val="1C0A6BDC"/>
    <w:rsid w:val="1C2F4C4D"/>
    <w:rsid w:val="1C3770CF"/>
    <w:rsid w:val="1C3B7A96"/>
    <w:rsid w:val="1C5E7925"/>
    <w:rsid w:val="1C646FED"/>
    <w:rsid w:val="1C662091"/>
    <w:rsid w:val="1C6B037B"/>
    <w:rsid w:val="1C6C7C4F"/>
    <w:rsid w:val="1C753040"/>
    <w:rsid w:val="1C7B16C2"/>
    <w:rsid w:val="1C850D11"/>
    <w:rsid w:val="1C8651B5"/>
    <w:rsid w:val="1C9D605B"/>
    <w:rsid w:val="1CA6397B"/>
    <w:rsid w:val="1CA76630"/>
    <w:rsid w:val="1CA92C52"/>
    <w:rsid w:val="1CAC76B2"/>
    <w:rsid w:val="1CB87576"/>
    <w:rsid w:val="1CC04364"/>
    <w:rsid w:val="1CCB2BC8"/>
    <w:rsid w:val="1CD4275A"/>
    <w:rsid w:val="1CD53A47"/>
    <w:rsid w:val="1CDA39FC"/>
    <w:rsid w:val="1CDB2A10"/>
    <w:rsid w:val="1CDD16BE"/>
    <w:rsid w:val="1CE7377A"/>
    <w:rsid w:val="1CF33ECD"/>
    <w:rsid w:val="1CF85987"/>
    <w:rsid w:val="1CFD070F"/>
    <w:rsid w:val="1D0B1216"/>
    <w:rsid w:val="1D1E3640"/>
    <w:rsid w:val="1D1F2520"/>
    <w:rsid w:val="1D277437"/>
    <w:rsid w:val="1D286F87"/>
    <w:rsid w:val="1D2A06BD"/>
    <w:rsid w:val="1D2F75FB"/>
    <w:rsid w:val="1D37200B"/>
    <w:rsid w:val="1D410A77"/>
    <w:rsid w:val="1D4330A6"/>
    <w:rsid w:val="1D44297A"/>
    <w:rsid w:val="1D4D7A81"/>
    <w:rsid w:val="1D4E2D8E"/>
    <w:rsid w:val="1D585C54"/>
    <w:rsid w:val="1D5F6196"/>
    <w:rsid w:val="1D6132A5"/>
    <w:rsid w:val="1D645145"/>
    <w:rsid w:val="1D6F6D09"/>
    <w:rsid w:val="1D70376F"/>
    <w:rsid w:val="1D7C3EC2"/>
    <w:rsid w:val="1D8042F2"/>
    <w:rsid w:val="1D886D0B"/>
    <w:rsid w:val="1D8D1E70"/>
    <w:rsid w:val="1D8E56D5"/>
    <w:rsid w:val="1D936D61"/>
    <w:rsid w:val="1D9950DF"/>
    <w:rsid w:val="1DA10708"/>
    <w:rsid w:val="1DA62AB3"/>
    <w:rsid w:val="1DA667F5"/>
    <w:rsid w:val="1DAA32BD"/>
    <w:rsid w:val="1DB00010"/>
    <w:rsid w:val="1DB26C50"/>
    <w:rsid w:val="1DB573D4"/>
    <w:rsid w:val="1DB70B17"/>
    <w:rsid w:val="1DB96EC4"/>
    <w:rsid w:val="1DBC4C07"/>
    <w:rsid w:val="1DC229EB"/>
    <w:rsid w:val="1DC23CA5"/>
    <w:rsid w:val="1DCD0BC2"/>
    <w:rsid w:val="1DCE335C"/>
    <w:rsid w:val="1DD71A40"/>
    <w:rsid w:val="1DE44529"/>
    <w:rsid w:val="1DF77DC1"/>
    <w:rsid w:val="1DF919B7"/>
    <w:rsid w:val="1DFD14A7"/>
    <w:rsid w:val="1DFE6FCD"/>
    <w:rsid w:val="1E02612C"/>
    <w:rsid w:val="1E041CDB"/>
    <w:rsid w:val="1E0E329A"/>
    <w:rsid w:val="1E1255BB"/>
    <w:rsid w:val="1E140C14"/>
    <w:rsid w:val="1E1E7483"/>
    <w:rsid w:val="1E285DF8"/>
    <w:rsid w:val="1E326C4A"/>
    <w:rsid w:val="1E37603B"/>
    <w:rsid w:val="1E390773"/>
    <w:rsid w:val="1E3B5B2B"/>
    <w:rsid w:val="1E3F6882"/>
    <w:rsid w:val="1E462178"/>
    <w:rsid w:val="1E4A2212"/>
    <w:rsid w:val="1E4E1D03"/>
    <w:rsid w:val="1E544E3F"/>
    <w:rsid w:val="1E556777"/>
    <w:rsid w:val="1E5D4BED"/>
    <w:rsid w:val="1E605592"/>
    <w:rsid w:val="1E652983"/>
    <w:rsid w:val="1E672DC4"/>
    <w:rsid w:val="1E6A6384"/>
    <w:rsid w:val="1E731769"/>
    <w:rsid w:val="1E763007"/>
    <w:rsid w:val="1E7A43DA"/>
    <w:rsid w:val="1E827BFE"/>
    <w:rsid w:val="1E8524B3"/>
    <w:rsid w:val="1E8C6387"/>
    <w:rsid w:val="1E8F7C25"/>
    <w:rsid w:val="1E9F2B0B"/>
    <w:rsid w:val="1E9F40B0"/>
    <w:rsid w:val="1EA70084"/>
    <w:rsid w:val="1EAA2CB1"/>
    <w:rsid w:val="1EAA5D14"/>
    <w:rsid w:val="1EB1403F"/>
    <w:rsid w:val="1EB37DB8"/>
    <w:rsid w:val="1EB83BDA"/>
    <w:rsid w:val="1ECC2C27"/>
    <w:rsid w:val="1ED5336F"/>
    <w:rsid w:val="1EDF515F"/>
    <w:rsid w:val="1EE75CB3"/>
    <w:rsid w:val="1EE76D90"/>
    <w:rsid w:val="1EE77A61"/>
    <w:rsid w:val="1EF532EF"/>
    <w:rsid w:val="1EFF4DAB"/>
    <w:rsid w:val="1F0647F7"/>
    <w:rsid w:val="1F114ADE"/>
    <w:rsid w:val="1F271888"/>
    <w:rsid w:val="1F2831B5"/>
    <w:rsid w:val="1F2B2044"/>
    <w:rsid w:val="1F2E5690"/>
    <w:rsid w:val="1F3D58D3"/>
    <w:rsid w:val="1F3F164B"/>
    <w:rsid w:val="1F5A46D7"/>
    <w:rsid w:val="1F6637FD"/>
    <w:rsid w:val="1F69491A"/>
    <w:rsid w:val="1F6B0692"/>
    <w:rsid w:val="1F737547"/>
    <w:rsid w:val="1F833B09"/>
    <w:rsid w:val="1F83778A"/>
    <w:rsid w:val="1F896D6A"/>
    <w:rsid w:val="1F9A2D26"/>
    <w:rsid w:val="1F9C78FB"/>
    <w:rsid w:val="1F9F0CB4"/>
    <w:rsid w:val="1FA60143"/>
    <w:rsid w:val="1FA63478"/>
    <w:rsid w:val="1FA74CB0"/>
    <w:rsid w:val="1FA83694"/>
    <w:rsid w:val="1FAB4F33"/>
    <w:rsid w:val="1FB636BA"/>
    <w:rsid w:val="1FBA4FAB"/>
    <w:rsid w:val="1FCA53B9"/>
    <w:rsid w:val="1FCB2EDF"/>
    <w:rsid w:val="1FE02E2E"/>
    <w:rsid w:val="1FE40369"/>
    <w:rsid w:val="1FE7539E"/>
    <w:rsid w:val="1FEF4E1F"/>
    <w:rsid w:val="1FF266BE"/>
    <w:rsid w:val="1FF3774C"/>
    <w:rsid w:val="1FF97DD1"/>
    <w:rsid w:val="1FFD3692"/>
    <w:rsid w:val="20012568"/>
    <w:rsid w:val="201725C8"/>
    <w:rsid w:val="20210D51"/>
    <w:rsid w:val="20315438"/>
    <w:rsid w:val="20362A4E"/>
    <w:rsid w:val="2036765B"/>
    <w:rsid w:val="203942EC"/>
    <w:rsid w:val="204038CD"/>
    <w:rsid w:val="20425DA8"/>
    <w:rsid w:val="204333BD"/>
    <w:rsid w:val="20457135"/>
    <w:rsid w:val="204D62AA"/>
    <w:rsid w:val="204E1B26"/>
    <w:rsid w:val="204F0742"/>
    <w:rsid w:val="20500291"/>
    <w:rsid w:val="205050C4"/>
    <w:rsid w:val="20561065"/>
    <w:rsid w:val="2059673D"/>
    <w:rsid w:val="20671BE0"/>
    <w:rsid w:val="206739B8"/>
    <w:rsid w:val="206D4A12"/>
    <w:rsid w:val="206F7D0E"/>
    <w:rsid w:val="20765541"/>
    <w:rsid w:val="20835FE9"/>
    <w:rsid w:val="20844D57"/>
    <w:rsid w:val="20896A9A"/>
    <w:rsid w:val="20963CB8"/>
    <w:rsid w:val="209D0D1F"/>
    <w:rsid w:val="20A81A1B"/>
    <w:rsid w:val="20AA343C"/>
    <w:rsid w:val="20B02F76"/>
    <w:rsid w:val="20B07FB6"/>
    <w:rsid w:val="20B3409F"/>
    <w:rsid w:val="20B646FB"/>
    <w:rsid w:val="20C067BC"/>
    <w:rsid w:val="20D858B3"/>
    <w:rsid w:val="20EB1A8B"/>
    <w:rsid w:val="20FD17BE"/>
    <w:rsid w:val="20FD356C"/>
    <w:rsid w:val="20FF72E4"/>
    <w:rsid w:val="21010926"/>
    <w:rsid w:val="2110329F"/>
    <w:rsid w:val="212156C5"/>
    <w:rsid w:val="21221225"/>
    <w:rsid w:val="2126720E"/>
    <w:rsid w:val="212B560D"/>
    <w:rsid w:val="212C6318"/>
    <w:rsid w:val="212E0A02"/>
    <w:rsid w:val="21392B2F"/>
    <w:rsid w:val="213A47C0"/>
    <w:rsid w:val="213B74B1"/>
    <w:rsid w:val="214473ED"/>
    <w:rsid w:val="215A2310"/>
    <w:rsid w:val="216625CA"/>
    <w:rsid w:val="21666426"/>
    <w:rsid w:val="21747CD2"/>
    <w:rsid w:val="21817CF9"/>
    <w:rsid w:val="218617B3"/>
    <w:rsid w:val="218F107C"/>
    <w:rsid w:val="21A165ED"/>
    <w:rsid w:val="21A25092"/>
    <w:rsid w:val="21B87493"/>
    <w:rsid w:val="21BD3EBC"/>
    <w:rsid w:val="21BF178B"/>
    <w:rsid w:val="21C30C02"/>
    <w:rsid w:val="21C81DCC"/>
    <w:rsid w:val="21CF1BE3"/>
    <w:rsid w:val="21D267A7"/>
    <w:rsid w:val="21D51317"/>
    <w:rsid w:val="21D544E9"/>
    <w:rsid w:val="21DC5877"/>
    <w:rsid w:val="21DE318A"/>
    <w:rsid w:val="21E30C07"/>
    <w:rsid w:val="21E36C06"/>
    <w:rsid w:val="21EF5B80"/>
    <w:rsid w:val="21F82FAD"/>
    <w:rsid w:val="21F8789E"/>
    <w:rsid w:val="2211229E"/>
    <w:rsid w:val="221C5F69"/>
    <w:rsid w:val="2230171F"/>
    <w:rsid w:val="2232028B"/>
    <w:rsid w:val="223A6DE0"/>
    <w:rsid w:val="223A7C79"/>
    <w:rsid w:val="22455707"/>
    <w:rsid w:val="22467181"/>
    <w:rsid w:val="22550014"/>
    <w:rsid w:val="22552F34"/>
    <w:rsid w:val="225673D8"/>
    <w:rsid w:val="22576990"/>
    <w:rsid w:val="22621A13"/>
    <w:rsid w:val="22631AF5"/>
    <w:rsid w:val="2265586D"/>
    <w:rsid w:val="22695CE1"/>
    <w:rsid w:val="227028F7"/>
    <w:rsid w:val="22714212"/>
    <w:rsid w:val="22721D38"/>
    <w:rsid w:val="22763F4E"/>
    <w:rsid w:val="227930C6"/>
    <w:rsid w:val="227B299A"/>
    <w:rsid w:val="227B6E3E"/>
    <w:rsid w:val="228F28EA"/>
    <w:rsid w:val="22957731"/>
    <w:rsid w:val="229B2C35"/>
    <w:rsid w:val="229D6DB5"/>
    <w:rsid w:val="22A250A5"/>
    <w:rsid w:val="22A30707"/>
    <w:rsid w:val="22A46395"/>
    <w:rsid w:val="22AF0896"/>
    <w:rsid w:val="22B42350"/>
    <w:rsid w:val="22B75275"/>
    <w:rsid w:val="22BD638F"/>
    <w:rsid w:val="22E04EF3"/>
    <w:rsid w:val="22E9024C"/>
    <w:rsid w:val="22EA7B20"/>
    <w:rsid w:val="22EF0D9B"/>
    <w:rsid w:val="22F47480"/>
    <w:rsid w:val="22F56BF1"/>
    <w:rsid w:val="22F64717"/>
    <w:rsid w:val="22F95FB5"/>
    <w:rsid w:val="23000780"/>
    <w:rsid w:val="23024E6A"/>
    <w:rsid w:val="2305495A"/>
    <w:rsid w:val="231150AD"/>
    <w:rsid w:val="2311780B"/>
    <w:rsid w:val="2313054B"/>
    <w:rsid w:val="232F19D7"/>
    <w:rsid w:val="2331574F"/>
    <w:rsid w:val="235F406A"/>
    <w:rsid w:val="236230E8"/>
    <w:rsid w:val="236663E1"/>
    <w:rsid w:val="236E1B6E"/>
    <w:rsid w:val="23767606"/>
    <w:rsid w:val="237F470C"/>
    <w:rsid w:val="238060CC"/>
    <w:rsid w:val="23887A65"/>
    <w:rsid w:val="238F72B6"/>
    <w:rsid w:val="23947315"/>
    <w:rsid w:val="23962BF2"/>
    <w:rsid w:val="239A7798"/>
    <w:rsid w:val="23A46E10"/>
    <w:rsid w:val="23AC4CFA"/>
    <w:rsid w:val="23BA5744"/>
    <w:rsid w:val="23BB0B4D"/>
    <w:rsid w:val="23BD5235"/>
    <w:rsid w:val="23C12F77"/>
    <w:rsid w:val="23CF70F6"/>
    <w:rsid w:val="23D0178C"/>
    <w:rsid w:val="23D031BA"/>
    <w:rsid w:val="23D06D16"/>
    <w:rsid w:val="23DE1C48"/>
    <w:rsid w:val="23DF5758"/>
    <w:rsid w:val="23E70F73"/>
    <w:rsid w:val="23ED3D6C"/>
    <w:rsid w:val="23F150C2"/>
    <w:rsid w:val="23F30C56"/>
    <w:rsid w:val="23F33FAA"/>
    <w:rsid w:val="23FB495D"/>
    <w:rsid w:val="23FE3883"/>
    <w:rsid w:val="23FF584D"/>
    <w:rsid w:val="24011984"/>
    <w:rsid w:val="24013373"/>
    <w:rsid w:val="240210CD"/>
    <w:rsid w:val="2405308F"/>
    <w:rsid w:val="240D1D18"/>
    <w:rsid w:val="240F3CE2"/>
    <w:rsid w:val="24125504"/>
    <w:rsid w:val="241367CC"/>
    <w:rsid w:val="24186FDB"/>
    <w:rsid w:val="24203790"/>
    <w:rsid w:val="24260856"/>
    <w:rsid w:val="24286B52"/>
    <w:rsid w:val="242B03F0"/>
    <w:rsid w:val="242B5D1D"/>
    <w:rsid w:val="242C1665"/>
    <w:rsid w:val="243458B8"/>
    <w:rsid w:val="24351FC6"/>
    <w:rsid w:val="24466FD8"/>
    <w:rsid w:val="24545B99"/>
    <w:rsid w:val="24613E12"/>
    <w:rsid w:val="24637B8A"/>
    <w:rsid w:val="2464562D"/>
    <w:rsid w:val="246758CC"/>
    <w:rsid w:val="246C4BFE"/>
    <w:rsid w:val="246E3AC2"/>
    <w:rsid w:val="24743B45"/>
    <w:rsid w:val="24820020"/>
    <w:rsid w:val="248D7828"/>
    <w:rsid w:val="248F34B2"/>
    <w:rsid w:val="24942439"/>
    <w:rsid w:val="249B7324"/>
    <w:rsid w:val="24A73F1B"/>
    <w:rsid w:val="24A8218C"/>
    <w:rsid w:val="24AB0E28"/>
    <w:rsid w:val="24AD52A9"/>
    <w:rsid w:val="24B02A77"/>
    <w:rsid w:val="24B228BF"/>
    <w:rsid w:val="24BF09F7"/>
    <w:rsid w:val="24C50845"/>
    <w:rsid w:val="24C60456"/>
    <w:rsid w:val="24CA5E5B"/>
    <w:rsid w:val="24D55738"/>
    <w:rsid w:val="24DB0068"/>
    <w:rsid w:val="24FB3B15"/>
    <w:rsid w:val="24FE03C2"/>
    <w:rsid w:val="250F0187"/>
    <w:rsid w:val="251A0B90"/>
    <w:rsid w:val="25203CCD"/>
    <w:rsid w:val="252235A1"/>
    <w:rsid w:val="252437BD"/>
    <w:rsid w:val="25275273"/>
    <w:rsid w:val="252857E4"/>
    <w:rsid w:val="25290DD3"/>
    <w:rsid w:val="252C2672"/>
    <w:rsid w:val="252D53FE"/>
    <w:rsid w:val="253F23A5"/>
    <w:rsid w:val="25496D80"/>
    <w:rsid w:val="255011C4"/>
    <w:rsid w:val="255816B9"/>
    <w:rsid w:val="25583467"/>
    <w:rsid w:val="255E0351"/>
    <w:rsid w:val="25626F67"/>
    <w:rsid w:val="25644C94"/>
    <w:rsid w:val="25657932"/>
    <w:rsid w:val="256B63FB"/>
    <w:rsid w:val="25710085"/>
    <w:rsid w:val="25861D82"/>
    <w:rsid w:val="258848A0"/>
    <w:rsid w:val="258B5D84"/>
    <w:rsid w:val="258B7E1B"/>
    <w:rsid w:val="258C4EBE"/>
    <w:rsid w:val="258E30BD"/>
    <w:rsid w:val="25951FC5"/>
    <w:rsid w:val="25A14E0E"/>
    <w:rsid w:val="25A267A9"/>
    <w:rsid w:val="25A55F80"/>
    <w:rsid w:val="25A72A99"/>
    <w:rsid w:val="25BB0549"/>
    <w:rsid w:val="25CB59E7"/>
    <w:rsid w:val="25D845A8"/>
    <w:rsid w:val="25EB7E37"/>
    <w:rsid w:val="25EC2D81"/>
    <w:rsid w:val="25EF3DCB"/>
    <w:rsid w:val="25F211C5"/>
    <w:rsid w:val="25F3304A"/>
    <w:rsid w:val="26084E8D"/>
    <w:rsid w:val="26154EB4"/>
    <w:rsid w:val="26166D51"/>
    <w:rsid w:val="261E378C"/>
    <w:rsid w:val="262D48F3"/>
    <w:rsid w:val="26303E31"/>
    <w:rsid w:val="264659B5"/>
    <w:rsid w:val="264D28A0"/>
    <w:rsid w:val="26594A5E"/>
    <w:rsid w:val="265956E8"/>
    <w:rsid w:val="266100F9"/>
    <w:rsid w:val="268A58A2"/>
    <w:rsid w:val="269C7383"/>
    <w:rsid w:val="26A50CB2"/>
    <w:rsid w:val="26A76454"/>
    <w:rsid w:val="26B14121"/>
    <w:rsid w:val="26B172D2"/>
    <w:rsid w:val="26B46909"/>
    <w:rsid w:val="26B66697"/>
    <w:rsid w:val="26BB1EFF"/>
    <w:rsid w:val="26BD3AB3"/>
    <w:rsid w:val="26C41924"/>
    <w:rsid w:val="26C7110B"/>
    <w:rsid w:val="26E36D60"/>
    <w:rsid w:val="26EE2542"/>
    <w:rsid w:val="26F30A48"/>
    <w:rsid w:val="2701209D"/>
    <w:rsid w:val="2701241E"/>
    <w:rsid w:val="270311B0"/>
    <w:rsid w:val="270A253F"/>
    <w:rsid w:val="271B0BF0"/>
    <w:rsid w:val="272F0D38"/>
    <w:rsid w:val="272F13E2"/>
    <w:rsid w:val="27343BAF"/>
    <w:rsid w:val="27377C55"/>
    <w:rsid w:val="275163C0"/>
    <w:rsid w:val="27545EB0"/>
    <w:rsid w:val="275859A0"/>
    <w:rsid w:val="275F0ADD"/>
    <w:rsid w:val="276F36D5"/>
    <w:rsid w:val="277057A2"/>
    <w:rsid w:val="278542BB"/>
    <w:rsid w:val="27895B59"/>
    <w:rsid w:val="278C5BC5"/>
    <w:rsid w:val="279F35CF"/>
    <w:rsid w:val="27A41F89"/>
    <w:rsid w:val="27A97FAA"/>
    <w:rsid w:val="27AE3812"/>
    <w:rsid w:val="27B0349F"/>
    <w:rsid w:val="27B216A8"/>
    <w:rsid w:val="27BB1617"/>
    <w:rsid w:val="27BF157B"/>
    <w:rsid w:val="27C9064C"/>
    <w:rsid w:val="27CA6378"/>
    <w:rsid w:val="27CA7E10"/>
    <w:rsid w:val="27D908C6"/>
    <w:rsid w:val="27DA0163"/>
    <w:rsid w:val="27E15995"/>
    <w:rsid w:val="27F136FF"/>
    <w:rsid w:val="27F21951"/>
    <w:rsid w:val="27F80B66"/>
    <w:rsid w:val="280276BA"/>
    <w:rsid w:val="28072F22"/>
    <w:rsid w:val="28081174"/>
    <w:rsid w:val="28082B8C"/>
    <w:rsid w:val="28096C9A"/>
    <w:rsid w:val="280B47C0"/>
    <w:rsid w:val="28133675"/>
    <w:rsid w:val="28164F13"/>
    <w:rsid w:val="28184C4C"/>
    <w:rsid w:val="281B502C"/>
    <w:rsid w:val="282F3658"/>
    <w:rsid w:val="2831714D"/>
    <w:rsid w:val="283C1E88"/>
    <w:rsid w:val="28481571"/>
    <w:rsid w:val="284B3F03"/>
    <w:rsid w:val="284E73FE"/>
    <w:rsid w:val="2851418A"/>
    <w:rsid w:val="285902A8"/>
    <w:rsid w:val="28606E9E"/>
    <w:rsid w:val="28610884"/>
    <w:rsid w:val="28631B9C"/>
    <w:rsid w:val="28682C2E"/>
    <w:rsid w:val="286B1703"/>
    <w:rsid w:val="28734D24"/>
    <w:rsid w:val="28741B8A"/>
    <w:rsid w:val="2874680A"/>
    <w:rsid w:val="28773C04"/>
    <w:rsid w:val="288325A9"/>
    <w:rsid w:val="28834AA5"/>
    <w:rsid w:val="288C5AEB"/>
    <w:rsid w:val="289A78F2"/>
    <w:rsid w:val="28A90C02"/>
    <w:rsid w:val="28A95D87"/>
    <w:rsid w:val="28AB13FD"/>
    <w:rsid w:val="28AC39C7"/>
    <w:rsid w:val="28B07116"/>
    <w:rsid w:val="28B27979"/>
    <w:rsid w:val="28C055AB"/>
    <w:rsid w:val="28C826B1"/>
    <w:rsid w:val="28D23530"/>
    <w:rsid w:val="28D37183"/>
    <w:rsid w:val="28E026ED"/>
    <w:rsid w:val="28E76FDC"/>
    <w:rsid w:val="28ED2118"/>
    <w:rsid w:val="28EE7676"/>
    <w:rsid w:val="28F2483B"/>
    <w:rsid w:val="28F466D7"/>
    <w:rsid w:val="28FA13F9"/>
    <w:rsid w:val="28FB4835"/>
    <w:rsid w:val="29003BF9"/>
    <w:rsid w:val="29015880"/>
    <w:rsid w:val="290C6A42"/>
    <w:rsid w:val="290D6316"/>
    <w:rsid w:val="29102A55"/>
    <w:rsid w:val="29206EB8"/>
    <w:rsid w:val="292C2C40"/>
    <w:rsid w:val="29310257"/>
    <w:rsid w:val="29360F1F"/>
    <w:rsid w:val="29387837"/>
    <w:rsid w:val="293B131C"/>
    <w:rsid w:val="293B2E83"/>
    <w:rsid w:val="293C7543"/>
    <w:rsid w:val="2944700D"/>
    <w:rsid w:val="29503323"/>
    <w:rsid w:val="29565F0F"/>
    <w:rsid w:val="29595666"/>
    <w:rsid w:val="295D4808"/>
    <w:rsid w:val="296C3A30"/>
    <w:rsid w:val="296D7FFE"/>
    <w:rsid w:val="29746395"/>
    <w:rsid w:val="29763EBB"/>
    <w:rsid w:val="297E051F"/>
    <w:rsid w:val="29820AB2"/>
    <w:rsid w:val="298505A2"/>
    <w:rsid w:val="298567F4"/>
    <w:rsid w:val="29874881"/>
    <w:rsid w:val="29946A38"/>
    <w:rsid w:val="29973106"/>
    <w:rsid w:val="299B7DC6"/>
    <w:rsid w:val="299F24CC"/>
    <w:rsid w:val="29A27F63"/>
    <w:rsid w:val="29AD32EF"/>
    <w:rsid w:val="29B6075C"/>
    <w:rsid w:val="29B73B28"/>
    <w:rsid w:val="29BC556C"/>
    <w:rsid w:val="29C25353"/>
    <w:rsid w:val="29CC4423"/>
    <w:rsid w:val="29E325E0"/>
    <w:rsid w:val="29FF02EB"/>
    <w:rsid w:val="2A063491"/>
    <w:rsid w:val="2A0C77C4"/>
    <w:rsid w:val="2A126D9F"/>
    <w:rsid w:val="2A135BAE"/>
    <w:rsid w:val="2A1E4C7B"/>
    <w:rsid w:val="2A1F58FE"/>
    <w:rsid w:val="2A3F4A96"/>
    <w:rsid w:val="2A444A48"/>
    <w:rsid w:val="2A452503"/>
    <w:rsid w:val="2A461AE0"/>
    <w:rsid w:val="2A4A530D"/>
    <w:rsid w:val="2A4B17EC"/>
    <w:rsid w:val="2A4B76D1"/>
    <w:rsid w:val="2A4D10C0"/>
    <w:rsid w:val="2A50295E"/>
    <w:rsid w:val="2A6E1037"/>
    <w:rsid w:val="2A6E59B1"/>
    <w:rsid w:val="2A742AF1"/>
    <w:rsid w:val="2A781EB5"/>
    <w:rsid w:val="2A7C7BF7"/>
    <w:rsid w:val="2A84085A"/>
    <w:rsid w:val="2A8478CB"/>
    <w:rsid w:val="2A866380"/>
    <w:rsid w:val="2A8678D3"/>
    <w:rsid w:val="2A8D5961"/>
    <w:rsid w:val="2A905451"/>
    <w:rsid w:val="2A9C3DF6"/>
    <w:rsid w:val="2AA633F9"/>
    <w:rsid w:val="2AAB228B"/>
    <w:rsid w:val="2AAC6188"/>
    <w:rsid w:val="2AB0164F"/>
    <w:rsid w:val="2ABA427C"/>
    <w:rsid w:val="2ACC6203"/>
    <w:rsid w:val="2ADB491E"/>
    <w:rsid w:val="2ADC0696"/>
    <w:rsid w:val="2AE35581"/>
    <w:rsid w:val="2AEB7FAB"/>
    <w:rsid w:val="2AEF1B5B"/>
    <w:rsid w:val="2AFE685E"/>
    <w:rsid w:val="2B0379D1"/>
    <w:rsid w:val="2B0C0F7B"/>
    <w:rsid w:val="2B0D0850"/>
    <w:rsid w:val="2B0D30CC"/>
    <w:rsid w:val="2B2234F7"/>
    <w:rsid w:val="2B2833E7"/>
    <w:rsid w:val="2B314DBC"/>
    <w:rsid w:val="2B3272FF"/>
    <w:rsid w:val="2B381D70"/>
    <w:rsid w:val="2B3C2EE3"/>
    <w:rsid w:val="2B3E6C5B"/>
    <w:rsid w:val="2B400C25"/>
    <w:rsid w:val="2B4324C3"/>
    <w:rsid w:val="2B4D3342"/>
    <w:rsid w:val="2B4F3899"/>
    <w:rsid w:val="2B632B65"/>
    <w:rsid w:val="2B645E37"/>
    <w:rsid w:val="2B731E6F"/>
    <w:rsid w:val="2B786FF9"/>
    <w:rsid w:val="2B7A3071"/>
    <w:rsid w:val="2B7D6408"/>
    <w:rsid w:val="2B836D64"/>
    <w:rsid w:val="2B85488A"/>
    <w:rsid w:val="2B887841"/>
    <w:rsid w:val="2B932E58"/>
    <w:rsid w:val="2BA936A8"/>
    <w:rsid w:val="2BB1567F"/>
    <w:rsid w:val="2BB84C5F"/>
    <w:rsid w:val="2BCA6741"/>
    <w:rsid w:val="2BD20926"/>
    <w:rsid w:val="2BD54B11"/>
    <w:rsid w:val="2BDC315C"/>
    <w:rsid w:val="2BE94E19"/>
    <w:rsid w:val="2BEF7575"/>
    <w:rsid w:val="2BFF463C"/>
    <w:rsid w:val="2C197A3A"/>
    <w:rsid w:val="2C1B00ED"/>
    <w:rsid w:val="2C2C1DEA"/>
    <w:rsid w:val="2C2E7758"/>
    <w:rsid w:val="2C315A5A"/>
    <w:rsid w:val="2C332538"/>
    <w:rsid w:val="2C352F19"/>
    <w:rsid w:val="2C3D7384"/>
    <w:rsid w:val="2C4934E1"/>
    <w:rsid w:val="2C4B1C25"/>
    <w:rsid w:val="2C504E98"/>
    <w:rsid w:val="2C5A5D16"/>
    <w:rsid w:val="2C673702"/>
    <w:rsid w:val="2C673F8F"/>
    <w:rsid w:val="2C686AC2"/>
    <w:rsid w:val="2C701096"/>
    <w:rsid w:val="2C752B50"/>
    <w:rsid w:val="2C754494"/>
    <w:rsid w:val="2C772424"/>
    <w:rsid w:val="2C7A1F15"/>
    <w:rsid w:val="2C7B44B3"/>
    <w:rsid w:val="2C7F6DBF"/>
    <w:rsid w:val="2C831189"/>
    <w:rsid w:val="2C83526D"/>
    <w:rsid w:val="2C8965FC"/>
    <w:rsid w:val="2C8B47F0"/>
    <w:rsid w:val="2C8B59DE"/>
    <w:rsid w:val="2C932FD6"/>
    <w:rsid w:val="2C9E3E55"/>
    <w:rsid w:val="2CA23219"/>
    <w:rsid w:val="2CA91BAE"/>
    <w:rsid w:val="2CAB47C4"/>
    <w:rsid w:val="2CAD321A"/>
    <w:rsid w:val="2CBA0563"/>
    <w:rsid w:val="2CBC252D"/>
    <w:rsid w:val="2CC47634"/>
    <w:rsid w:val="2CD07318"/>
    <w:rsid w:val="2CD86C3B"/>
    <w:rsid w:val="2CE55431"/>
    <w:rsid w:val="2CF33A75"/>
    <w:rsid w:val="2CF50633"/>
    <w:rsid w:val="2CF9108B"/>
    <w:rsid w:val="2CFA3055"/>
    <w:rsid w:val="2D0012C8"/>
    <w:rsid w:val="2D036F88"/>
    <w:rsid w:val="2D0A3299"/>
    <w:rsid w:val="2D117D82"/>
    <w:rsid w:val="2D1B36F8"/>
    <w:rsid w:val="2D200D0E"/>
    <w:rsid w:val="2D2C76B3"/>
    <w:rsid w:val="2D2F43CD"/>
    <w:rsid w:val="2D33312B"/>
    <w:rsid w:val="2D3E2F42"/>
    <w:rsid w:val="2D401D7D"/>
    <w:rsid w:val="2D4C0BF0"/>
    <w:rsid w:val="2D4D6E82"/>
    <w:rsid w:val="2D4F514F"/>
    <w:rsid w:val="2D524C40"/>
    <w:rsid w:val="2D633A8E"/>
    <w:rsid w:val="2D692F23"/>
    <w:rsid w:val="2D7832F7"/>
    <w:rsid w:val="2D79041E"/>
    <w:rsid w:val="2D7D03DE"/>
    <w:rsid w:val="2D7D1677"/>
    <w:rsid w:val="2D86600E"/>
    <w:rsid w:val="2D937732"/>
    <w:rsid w:val="2D984D48"/>
    <w:rsid w:val="2D99286E"/>
    <w:rsid w:val="2D9E56F5"/>
    <w:rsid w:val="2DAD6676"/>
    <w:rsid w:val="2DAF7798"/>
    <w:rsid w:val="2DB65266"/>
    <w:rsid w:val="2DC21DC5"/>
    <w:rsid w:val="2DC57E8C"/>
    <w:rsid w:val="2DC816D9"/>
    <w:rsid w:val="2DC93154"/>
    <w:rsid w:val="2DD60586"/>
    <w:rsid w:val="2DD90EBD"/>
    <w:rsid w:val="2DD91A0E"/>
    <w:rsid w:val="2DDE2CF3"/>
    <w:rsid w:val="2DE41D3C"/>
    <w:rsid w:val="2DE53D06"/>
    <w:rsid w:val="2DE863AA"/>
    <w:rsid w:val="2DEE595E"/>
    <w:rsid w:val="2DF06932"/>
    <w:rsid w:val="2DF301D1"/>
    <w:rsid w:val="2DF61A6F"/>
    <w:rsid w:val="2DF65CCA"/>
    <w:rsid w:val="2DFB0E33"/>
    <w:rsid w:val="2DFE724C"/>
    <w:rsid w:val="2DFF6B75"/>
    <w:rsid w:val="2E0F151E"/>
    <w:rsid w:val="2E0F48DF"/>
    <w:rsid w:val="2E1B3283"/>
    <w:rsid w:val="2E1E0DDF"/>
    <w:rsid w:val="2E293A7A"/>
    <w:rsid w:val="2E2E745B"/>
    <w:rsid w:val="2E30575E"/>
    <w:rsid w:val="2E34455C"/>
    <w:rsid w:val="2E36630F"/>
    <w:rsid w:val="2E374561"/>
    <w:rsid w:val="2E440A2C"/>
    <w:rsid w:val="2E494294"/>
    <w:rsid w:val="2E496125"/>
    <w:rsid w:val="2E497DF1"/>
    <w:rsid w:val="2E500078"/>
    <w:rsid w:val="2E534B5D"/>
    <w:rsid w:val="2E5D1AEE"/>
    <w:rsid w:val="2E5F5866"/>
    <w:rsid w:val="2E667F96"/>
    <w:rsid w:val="2E6868C1"/>
    <w:rsid w:val="2E6C1D31"/>
    <w:rsid w:val="2E6E5AA9"/>
    <w:rsid w:val="2E70690E"/>
    <w:rsid w:val="2E71035F"/>
    <w:rsid w:val="2E7A4C65"/>
    <w:rsid w:val="2E7C39AD"/>
    <w:rsid w:val="2E7D5CEC"/>
    <w:rsid w:val="2E8226AB"/>
    <w:rsid w:val="2E880A65"/>
    <w:rsid w:val="2EA550C2"/>
    <w:rsid w:val="2EAB4607"/>
    <w:rsid w:val="2EAC037F"/>
    <w:rsid w:val="2EB5368F"/>
    <w:rsid w:val="2EBA484A"/>
    <w:rsid w:val="2EBD7AB6"/>
    <w:rsid w:val="2EC12E8F"/>
    <w:rsid w:val="2EC13E2B"/>
    <w:rsid w:val="2EC456C9"/>
    <w:rsid w:val="2ECE217C"/>
    <w:rsid w:val="2ED0406E"/>
    <w:rsid w:val="2EDF0617"/>
    <w:rsid w:val="2EDF69A7"/>
    <w:rsid w:val="2EE87609"/>
    <w:rsid w:val="2EF517A1"/>
    <w:rsid w:val="2EFF4953"/>
    <w:rsid w:val="2F0274CC"/>
    <w:rsid w:val="2F0537C0"/>
    <w:rsid w:val="2F08082A"/>
    <w:rsid w:val="2F087CAC"/>
    <w:rsid w:val="2F097580"/>
    <w:rsid w:val="2F0C6E71"/>
    <w:rsid w:val="2F0F2DE8"/>
    <w:rsid w:val="2F156108"/>
    <w:rsid w:val="2F212E04"/>
    <w:rsid w:val="2F276D40"/>
    <w:rsid w:val="2F283334"/>
    <w:rsid w:val="2F2D14C0"/>
    <w:rsid w:val="2F3740ED"/>
    <w:rsid w:val="2F397E65"/>
    <w:rsid w:val="2F3B37D1"/>
    <w:rsid w:val="2F3D346B"/>
    <w:rsid w:val="2F3E7229"/>
    <w:rsid w:val="2F401A78"/>
    <w:rsid w:val="2F4D032A"/>
    <w:rsid w:val="2F560A17"/>
    <w:rsid w:val="2F566C69"/>
    <w:rsid w:val="2F6134CD"/>
    <w:rsid w:val="2F6F0971"/>
    <w:rsid w:val="2F7B66D0"/>
    <w:rsid w:val="2F7C5FA4"/>
    <w:rsid w:val="2F7D49C8"/>
    <w:rsid w:val="2F7E2440"/>
    <w:rsid w:val="2F882B9B"/>
    <w:rsid w:val="2F892B01"/>
    <w:rsid w:val="2F8D1F5F"/>
    <w:rsid w:val="2F8F3F29"/>
    <w:rsid w:val="2F971030"/>
    <w:rsid w:val="2F973E11"/>
    <w:rsid w:val="2FA774C5"/>
    <w:rsid w:val="2FAC3D7D"/>
    <w:rsid w:val="2FB15C4D"/>
    <w:rsid w:val="2FB41BE1"/>
    <w:rsid w:val="2FB63A73"/>
    <w:rsid w:val="2FB80094"/>
    <w:rsid w:val="2FCA31B3"/>
    <w:rsid w:val="2FCC6F2B"/>
    <w:rsid w:val="2FD065E6"/>
    <w:rsid w:val="2FD23E16"/>
    <w:rsid w:val="2FD656B4"/>
    <w:rsid w:val="2FD96870"/>
    <w:rsid w:val="2FE14059"/>
    <w:rsid w:val="2FEB3A53"/>
    <w:rsid w:val="2FF10740"/>
    <w:rsid w:val="2FF544EA"/>
    <w:rsid w:val="2FF65C9B"/>
    <w:rsid w:val="2FFD5337"/>
    <w:rsid w:val="30004E27"/>
    <w:rsid w:val="30055F99"/>
    <w:rsid w:val="301661E0"/>
    <w:rsid w:val="301663F8"/>
    <w:rsid w:val="3025663B"/>
    <w:rsid w:val="3027062B"/>
    <w:rsid w:val="30274161"/>
    <w:rsid w:val="30281C88"/>
    <w:rsid w:val="302C73AD"/>
    <w:rsid w:val="302F3016"/>
    <w:rsid w:val="30422D49"/>
    <w:rsid w:val="30473DDE"/>
    <w:rsid w:val="30515682"/>
    <w:rsid w:val="305807BF"/>
    <w:rsid w:val="30580BC9"/>
    <w:rsid w:val="30586A11"/>
    <w:rsid w:val="30640F12"/>
    <w:rsid w:val="30647164"/>
    <w:rsid w:val="30670A02"/>
    <w:rsid w:val="30726F5A"/>
    <w:rsid w:val="30883631"/>
    <w:rsid w:val="30905065"/>
    <w:rsid w:val="309A2B85"/>
    <w:rsid w:val="30A752A2"/>
    <w:rsid w:val="30B31E99"/>
    <w:rsid w:val="30B45580"/>
    <w:rsid w:val="30B64D10"/>
    <w:rsid w:val="30B72C30"/>
    <w:rsid w:val="30BE1F06"/>
    <w:rsid w:val="30C10112"/>
    <w:rsid w:val="30D02014"/>
    <w:rsid w:val="30D20571"/>
    <w:rsid w:val="30DC13F0"/>
    <w:rsid w:val="30E0693E"/>
    <w:rsid w:val="30E107B4"/>
    <w:rsid w:val="30EF7855"/>
    <w:rsid w:val="31061FC9"/>
    <w:rsid w:val="310A7EE2"/>
    <w:rsid w:val="311E2ED7"/>
    <w:rsid w:val="311F752F"/>
    <w:rsid w:val="31210BB1"/>
    <w:rsid w:val="31216E03"/>
    <w:rsid w:val="31244C86"/>
    <w:rsid w:val="31271F3F"/>
    <w:rsid w:val="31305298"/>
    <w:rsid w:val="31321010"/>
    <w:rsid w:val="31394A62"/>
    <w:rsid w:val="31456F95"/>
    <w:rsid w:val="31485B5C"/>
    <w:rsid w:val="314D52E5"/>
    <w:rsid w:val="315216B2"/>
    <w:rsid w:val="31532D34"/>
    <w:rsid w:val="31540F86"/>
    <w:rsid w:val="315619EE"/>
    <w:rsid w:val="3159424D"/>
    <w:rsid w:val="315947EF"/>
    <w:rsid w:val="315C409C"/>
    <w:rsid w:val="315C449C"/>
    <w:rsid w:val="315E5C19"/>
    <w:rsid w:val="3166368A"/>
    <w:rsid w:val="316D53D8"/>
    <w:rsid w:val="317C38D2"/>
    <w:rsid w:val="318765DF"/>
    <w:rsid w:val="31917EDC"/>
    <w:rsid w:val="3199307D"/>
    <w:rsid w:val="319E48F7"/>
    <w:rsid w:val="31A55C86"/>
    <w:rsid w:val="31AE025A"/>
    <w:rsid w:val="31AF3DF8"/>
    <w:rsid w:val="31B45EC9"/>
    <w:rsid w:val="31B5073F"/>
    <w:rsid w:val="31B82709"/>
    <w:rsid w:val="31B9530C"/>
    <w:rsid w:val="31B9703B"/>
    <w:rsid w:val="31BE0AF5"/>
    <w:rsid w:val="31BE2BD2"/>
    <w:rsid w:val="31C3435E"/>
    <w:rsid w:val="31D05482"/>
    <w:rsid w:val="31D10829"/>
    <w:rsid w:val="31D855AA"/>
    <w:rsid w:val="31DB3F62"/>
    <w:rsid w:val="31E00A6C"/>
    <w:rsid w:val="31E0281A"/>
    <w:rsid w:val="31E340B8"/>
    <w:rsid w:val="31F55384"/>
    <w:rsid w:val="320F75A3"/>
    <w:rsid w:val="32133CA5"/>
    <w:rsid w:val="32152D81"/>
    <w:rsid w:val="321B2B7A"/>
    <w:rsid w:val="3220530C"/>
    <w:rsid w:val="322560B0"/>
    <w:rsid w:val="322841C1"/>
    <w:rsid w:val="322A56AE"/>
    <w:rsid w:val="322F37A1"/>
    <w:rsid w:val="323E39E4"/>
    <w:rsid w:val="323F1C36"/>
    <w:rsid w:val="32400B34"/>
    <w:rsid w:val="3244724D"/>
    <w:rsid w:val="32470AEB"/>
    <w:rsid w:val="32491355"/>
    <w:rsid w:val="32582CF8"/>
    <w:rsid w:val="32631030"/>
    <w:rsid w:val="3264169D"/>
    <w:rsid w:val="32821B23"/>
    <w:rsid w:val="32827D75"/>
    <w:rsid w:val="328659B8"/>
    <w:rsid w:val="328C218C"/>
    <w:rsid w:val="328F5B92"/>
    <w:rsid w:val="328F5FEE"/>
    <w:rsid w:val="329E6876"/>
    <w:rsid w:val="32A537A6"/>
    <w:rsid w:val="32AB72CC"/>
    <w:rsid w:val="32B048E2"/>
    <w:rsid w:val="32B141B6"/>
    <w:rsid w:val="32B77AC3"/>
    <w:rsid w:val="32BF2D77"/>
    <w:rsid w:val="32C739DA"/>
    <w:rsid w:val="32CA2026"/>
    <w:rsid w:val="32CC0FF0"/>
    <w:rsid w:val="32D3412D"/>
    <w:rsid w:val="32D83E39"/>
    <w:rsid w:val="32DC15E2"/>
    <w:rsid w:val="32E26A66"/>
    <w:rsid w:val="32E33906"/>
    <w:rsid w:val="32ED06B0"/>
    <w:rsid w:val="32F66DD2"/>
    <w:rsid w:val="32FE389F"/>
    <w:rsid w:val="33016EEC"/>
    <w:rsid w:val="330A6082"/>
    <w:rsid w:val="330D1568"/>
    <w:rsid w:val="3310712F"/>
    <w:rsid w:val="331210F9"/>
    <w:rsid w:val="331D184C"/>
    <w:rsid w:val="331E5526"/>
    <w:rsid w:val="332D7CE1"/>
    <w:rsid w:val="333015F2"/>
    <w:rsid w:val="334B6320"/>
    <w:rsid w:val="334C066E"/>
    <w:rsid w:val="334E3F0D"/>
    <w:rsid w:val="33504C28"/>
    <w:rsid w:val="33562194"/>
    <w:rsid w:val="33584A7B"/>
    <w:rsid w:val="33590AD6"/>
    <w:rsid w:val="335F1665"/>
    <w:rsid w:val="33646B6C"/>
    <w:rsid w:val="3368440D"/>
    <w:rsid w:val="336B0809"/>
    <w:rsid w:val="33743B62"/>
    <w:rsid w:val="33767C7D"/>
    <w:rsid w:val="337A6C9E"/>
    <w:rsid w:val="337E053C"/>
    <w:rsid w:val="337E33C2"/>
    <w:rsid w:val="337F42B4"/>
    <w:rsid w:val="33857B1D"/>
    <w:rsid w:val="33862BB9"/>
    <w:rsid w:val="33896EE1"/>
    <w:rsid w:val="339B071B"/>
    <w:rsid w:val="339E2B0A"/>
    <w:rsid w:val="33AD0E22"/>
    <w:rsid w:val="33B0446E"/>
    <w:rsid w:val="33B26B54"/>
    <w:rsid w:val="33B977C6"/>
    <w:rsid w:val="33C54354"/>
    <w:rsid w:val="33C547BA"/>
    <w:rsid w:val="33C87A09"/>
    <w:rsid w:val="33D44600"/>
    <w:rsid w:val="33D934D4"/>
    <w:rsid w:val="33ED121E"/>
    <w:rsid w:val="33FE2F6A"/>
    <w:rsid w:val="34003796"/>
    <w:rsid w:val="34076784"/>
    <w:rsid w:val="340824FC"/>
    <w:rsid w:val="34085680"/>
    <w:rsid w:val="340E07E5"/>
    <w:rsid w:val="341C1B03"/>
    <w:rsid w:val="34235BF7"/>
    <w:rsid w:val="34243CDB"/>
    <w:rsid w:val="3427206A"/>
    <w:rsid w:val="3429576C"/>
    <w:rsid w:val="342B439E"/>
    <w:rsid w:val="3433113A"/>
    <w:rsid w:val="343E4BF3"/>
    <w:rsid w:val="34403A44"/>
    <w:rsid w:val="34425A0E"/>
    <w:rsid w:val="344D6161"/>
    <w:rsid w:val="34500976"/>
    <w:rsid w:val="345E0020"/>
    <w:rsid w:val="345E211C"/>
    <w:rsid w:val="3461446D"/>
    <w:rsid w:val="34632BD9"/>
    <w:rsid w:val="34660F2C"/>
    <w:rsid w:val="34696909"/>
    <w:rsid w:val="34781430"/>
    <w:rsid w:val="348A4407"/>
    <w:rsid w:val="348C5F98"/>
    <w:rsid w:val="349E3E98"/>
    <w:rsid w:val="34A92D4C"/>
    <w:rsid w:val="34AF4725"/>
    <w:rsid w:val="34B17E94"/>
    <w:rsid w:val="34B303A0"/>
    <w:rsid w:val="34B85CD0"/>
    <w:rsid w:val="34B87787"/>
    <w:rsid w:val="34C23C75"/>
    <w:rsid w:val="34D10A8B"/>
    <w:rsid w:val="34E70363"/>
    <w:rsid w:val="34F52E22"/>
    <w:rsid w:val="34F860CC"/>
    <w:rsid w:val="34FB5BBD"/>
    <w:rsid w:val="34FD7B87"/>
    <w:rsid w:val="350D601C"/>
    <w:rsid w:val="35163E18"/>
    <w:rsid w:val="35170C48"/>
    <w:rsid w:val="35284C04"/>
    <w:rsid w:val="352E1AEE"/>
    <w:rsid w:val="35340579"/>
    <w:rsid w:val="35386E11"/>
    <w:rsid w:val="353B3898"/>
    <w:rsid w:val="35407BD4"/>
    <w:rsid w:val="3546508A"/>
    <w:rsid w:val="35472BB0"/>
    <w:rsid w:val="354B7492"/>
    <w:rsid w:val="35514B86"/>
    <w:rsid w:val="35571045"/>
    <w:rsid w:val="355A6D87"/>
    <w:rsid w:val="35681D9A"/>
    <w:rsid w:val="356B689E"/>
    <w:rsid w:val="356C711A"/>
    <w:rsid w:val="357069B7"/>
    <w:rsid w:val="357E2571"/>
    <w:rsid w:val="357E3498"/>
    <w:rsid w:val="358B5193"/>
    <w:rsid w:val="358C5FA8"/>
    <w:rsid w:val="358D2CB9"/>
    <w:rsid w:val="35970F7D"/>
    <w:rsid w:val="35A3428A"/>
    <w:rsid w:val="35AB522C"/>
    <w:rsid w:val="35B07F83"/>
    <w:rsid w:val="35B2271F"/>
    <w:rsid w:val="35B47F08"/>
    <w:rsid w:val="35BB2833"/>
    <w:rsid w:val="35C15DF1"/>
    <w:rsid w:val="35C16E06"/>
    <w:rsid w:val="35C33A55"/>
    <w:rsid w:val="35C661CB"/>
    <w:rsid w:val="35E548A3"/>
    <w:rsid w:val="35E93C67"/>
    <w:rsid w:val="35F156D2"/>
    <w:rsid w:val="35FC1BEC"/>
    <w:rsid w:val="36025C55"/>
    <w:rsid w:val="36074A7F"/>
    <w:rsid w:val="360A4309"/>
    <w:rsid w:val="360F36CE"/>
    <w:rsid w:val="362058DB"/>
    <w:rsid w:val="36211653"/>
    <w:rsid w:val="36315D3A"/>
    <w:rsid w:val="363E3FB3"/>
    <w:rsid w:val="364041CF"/>
    <w:rsid w:val="3643080C"/>
    <w:rsid w:val="364F79E0"/>
    <w:rsid w:val="365732C7"/>
    <w:rsid w:val="365B2EDD"/>
    <w:rsid w:val="36624145"/>
    <w:rsid w:val="36637533"/>
    <w:rsid w:val="36641223"/>
    <w:rsid w:val="367A5CF6"/>
    <w:rsid w:val="367B0D63"/>
    <w:rsid w:val="368816D2"/>
    <w:rsid w:val="36914A2B"/>
    <w:rsid w:val="36923549"/>
    <w:rsid w:val="369260AD"/>
    <w:rsid w:val="36932551"/>
    <w:rsid w:val="369938DF"/>
    <w:rsid w:val="36AE44FB"/>
    <w:rsid w:val="36B75FBF"/>
    <w:rsid w:val="36BD0C45"/>
    <w:rsid w:val="36BD312A"/>
    <w:rsid w:val="36C02C1A"/>
    <w:rsid w:val="36CB3777"/>
    <w:rsid w:val="36D668E1"/>
    <w:rsid w:val="36D961D1"/>
    <w:rsid w:val="36E83F1F"/>
    <w:rsid w:val="36F82B6E"/>
    <w:rsid w:val="36F86858"/>
    <w:rsid w:val="36FB1EA4"/>
    <w:rsid w:val="36FF3742"/>
    <w:rsid w:val="37055F11"/>
    <w:rsid w:val="370D0B25"/>
    <w:rsid w:val="371A4BFA"/>
    <w:rsid w:val="3727713D"/>
    <w:rsid w:val="372907BF"/>
    <w:rsid w:val="37335F00"/>
    <w:rsid w:val="373F546C"/>
    <w:rsid w:val="37425D25"/>
    <w:rsid w:val="374B4E10"/>
    <w:rsid w:val="374E46CA"/>
    <w:rsid w:val="37537F32"/>
    <w:rsid w:val="3757357E"/>
    <w:rsid w:val="375D66BB"/>
    <w:rsid w:val="375D6B6F"/>
    <w:rsid w:val="37702892"/>
    <w:rsid w:val="37726E39"/>
    <w:rsid w:val="377A54BF"/>
    <w:rsid w:val="377C1237"/>
    <w:rsid w:val="37893954"/>
    <w:rsid w:val="379C1691"/>
    <w:rsid w:val="37A10C9D"/>
    <w:rsid w:val="37A306CA"/>
    <w:rsid w:val="37B30F66"/>
    <w:rsid w:val="37B52479"/>
    <w:rsid w:val="37B87D95"/>
    <w:rsid w:val="37BD0825"/>
    <w:rsid w:val="37C31F61"/>
    <w:rsid w:val="37C93D50"/>
    <w:rsid w:val="37CD3840"/>
    <w:rsid w:val="37D526F5"/>
    <w:rsid w:val="37DD15AA"/>
    <w:rsid w:val="37DE3C9F"/>
    <w:rsid w:val="37E00298"/>
    <w:rsid w:val="37EC1B2A"/>
    <w:rsid w:val="380F260F"/>
    <w:rsid w:val="381270FD"/>
    <w:rsid w:val="3815129B"/>
    <w:rsid w:val="381C20D2"/>
    <w:rsid w:val="3821593A"/>
    <w:rsid w:val="382402CC"/>
    <w:rsid w:val="382673F4"/>
    <w:rsid w:val="382B39F8"/>
    <w:rsid w:val="3849264D"/>
    <w:rsid w:val="3851068C"/>
    <w:rsid w:val="38591578"/>
    <w:rsid w:val="3862042D"/>
    <w:rsid w:val="38653A79"/>
    <w:rsid w:val="386F3594"/>
    <w:rsid w:val="38720C42"/>
    <w:rsid w:val="38747024"/>
    <w:rsid w:val="387C6968"/>
    <w:rsid w:val="387E4B3B"/>
    <w:rsid w:val="3881462B"/>
    <w:rsid w:val="38814FC6"/>
    <w:rsid w:val="38922A9F"/>
    <w:rsid w:val="38926838"/>
    <w:rsid w:val="389425B0"/>
    <w:rsid w:val="38983D94"/>
    <w:rsid w:val="389B393F"/>
    <w:rsid w:val="38A547BD"/>
    <w:rsid w:val="38A722E3"/>
    <w:rsid w:val="38A8605B"/>
    <w:rsid w:val="38AB79C4"/>
    <w:rsid w:val="38B302F9"/>
    <w:rsid w:val="38B844F1"/>
    <w:rsid w:val="38BB18EB"/>
    <w:rsid w:val="38C06F01"/>
    <w:rsid w:val="38C20ECB"/>
    <w:rsid w:val="38C618CB"/>
    <w:rsid w:val="38CD06CF"/>
    <w:rsid w:val="38D5752B"/>
    <w:rsid w:val="38D70A29"/>
    <w:rsid w:val="38D94467"/>
    <w:rsid w:val="38DB3D3B"/>
    <w:rsid w:val="38EB0AD0"/>
    <w:rsid w:val="38F12CD3"/>
    <w:rsid w:val="38F94775"/>
    <w:rsid w:val="38FC0C16"/>
    <w:rsid w:val="38FD0155"/>
    <w:rsid w:val="38FF3ECD"/>
    <w:rsid w:val="38FF7B17"/>
    <w:rsid w:val="39034A0D"/>
    <w:rsid w:val="390765FC"/>
    <w:rsid w:val="391536F1"/>
    <w:rsid w:val="392971ED"/>
    <w:rsid w:val="39325651"/>
    <w:rsid w:val="393671C3"/>
    <w:rsid w:val="39396CB4"/>
    <w:rsid w:val="39397EF6"/>
    <w:rsid w:val="3947398A"/>
    <w:rsid w:val="394B6748"/>
    <w:rsid w:val="394C4C39"/>
    <w:rsid w:val="39620592"/>
    <w:rsid w:val="3962445C"/>
    <w:rsid w:val="39763A64"/>
    <w:rsid w:val="397A79F8"/>
    <w:rsid w:val="397D519A"/>
    <w:rsid w:val="3986014B"/>
    <w:rsid w:val="39900FC9"/>
    <w:rsid w:val="39972358"/>
    <w:rsid w:val="39987E7E"/>
    <w:rsid w:val="39994DAE"/>
    <w:rsid w:val="399A1E48"/>
    <w:rsid w:val="39A209AA"/>
    <w:rsid w:val="39A704FB"/>
    <w:rsid w:val="39AE6531"/>
    <w:rsid w:val="39BA53ED"/>
    <w:rsid w:val="39C3252A"/>
    <w:rsid w:val="39E430C3"/>
    <w:rsid w:val="39E82BB3"/>
    <w:rsid w:val="39EB5893"/>
    <w:rsid w:val="39F0323C"/>
    <w:rsid w:val="39F552D0"/>
    <w:rsid w:val="3A015A23"/>
    <w:rsid w:val="3A137505"/>
    <w:rsid w:val="3A1A6AE5"/>
    <w:rsid w:val="3A282FB0"/>
    <w:rsid w:val="3A371514"/>
    <w:rsid w:val="3A3F67B6"/>
    <w:rsid w:val="3A422C11"/>
    <w:rsid w:val="3A623524"/>
    <w:rsid w:val="3A63335F"/>
    <w:rsid w:val="3A6B46F3"/>
    <w:rsid w:val="3A6C5593"/>
    <w:rsid w:val="3A6D130B"/>
    <w:rsid w:val="3A782DB5"/>
    <w:rsid w:val="3A7E7074"/>
    <w:rsid w:val="3A872856"/>
    <w:rsid w:val="3A8C79E3"/>
    <w:rsid w:val="3A916DA7"/>
    <w:rsid w:val="3A9262A6"/>
    <w:rsid w:val="3A930688"/>
    <w:rsid w:val="3A9643BE"/>
    <w:rsid w:val="3A9B5E78"/>
    <w:rsid w:val="3AA34D11"/>
    <w:rsid w:val="3AAA60BB"/>
    <w:rsid w:val="3AAD5BAB"/>
    <w:rsid w:val="3AAE0FDE"/>
    <w:rsid w:val="3AB111F7"/>
    <w:rsid w:val="3AB53232"/>
    <w:rsid w:val="3AB6680E"/>
    <w:rsid w:val="3AEB51B4"/>
    <w:rsid w:val="3AED5FA8"/>
    <w:rsid w:val="3AEF1D20"/>
    <w:rsid w:val="3AF31810"/>
    <w:rsid w:val="3AF51D2D"/>
    <w:rsid w:val="3B0412EB"/>
    <w:rsid w:val="3B111C96"/>
    <w:rsid w:val="3B1E5BE0"/>
    <w:rsid w:val="3B211535"/>
    <w:rsid w:val="3B331C0C"/>
    <w:rsid w:val="3B367EE4"/>
    <w:rsid w:val="3B3763D1"/>
    <w:rsid w:val="3B3D6073"/>
    <w:rsid w:val="3B3D6F2F"/>
    <w:rsid w:val="3B4A3A0E"/>
    <w:rsid w:val="3B4F320D"/>
    <w:rsid w:val="3B5129DA"/>
    <w:rsid w:val="3B572F52"/>
    <w:rsid w:val="3B5C69B2"/>
    <w:rsid w:val="3B5D0BCA"/>
    <w:rsid w:val="3B5F6EA5"/>
    <w:rsid w:val="3B612874"/>
    <w:rsid w:val="3B620744"/>
    <w:rsid w:val="3B66210C"/>
    <w:rsid w:val="3B771616"/>
    <w:rsid w:val="3B7B35B3"/>
    <w:rsid w:val="3B871F58"/>
    <w:rsid w:val="3B8B1A48"/>
    <w:rsid w:val="3BA84C18"/>
    <w:rsid w:val="3BA90120"/>
    <w:rsid w:val="3BB1191E"/>
    <w:rsid w:val="3BCB453B"/>
    <w:rsid w:val="3BD50F16"/>
    <w:rsid w:val="3BDB631A"/>
    <w:rsid w:val="3BE1721A"/>
    <w:rsid w:val="3BE46ABB"/>
    <w:rsid w:val="3BE92C13"/>
    <w:rsid w:val="3BF75330"/>
    <w:rsid w:val="3C0D6901"/>
    <w:rsid w:val="3C145EE2"/>
    <w:rsid w:val="3C1D466B"/>
    <w:rsid w:val="3C1F6635"/>
    <w:rsid w:val="3C277297"/>
    <w:rsid w:val="3C2F6E1E"/>
    <w:rsid w:val="3C371BD0"/>
    <w:rsid w:val="3C3A346E"/>
    <w:rsid w:val="3C405C05"/>
    <w:rsid w:val="3C4B11D8"/>
    <w:rsid w:val="3C4D31A2"/>
    <w:rsid w:val="3C4F64BA"/>
    <w:rsid w:val="3C5827C6"/>
    <w:rsid w:val="3C5A141B"/>
    <w:rsid w:val="3C5C1637"/>
    <w:rsid w:val="3C6C680C"/>
    <w:rsid w:val="3C700C3E"/>
    <w:rsid w:val="3C7544A7"/>
    <w:rsid w:val="3C7A05A5"/>
    <w:rsid w:val="3C805325"/>
    <w:rsid w:val="3C8A36DC"/>
    <w:rsid w:val="3C8F7316"/>
    <w:rsid w:val="3C9243FF"/>
    <w:rsid w:val="3C97266F"/>
    <w:rsid w:val="3CB3492E"/>
    <w:rsid w:val="3CB74ABF"/>
    <w:rsid w:val="3CB87DA4"/>
    <w:rsid w:val="3CC571DC"/>
    <w:rsid w:val="3CC64D02"/>
    <w:rsid w:val="3CCD7E3F"/>
    <w:rsid w:val="3CD029E3"/>
    <w:rsid w:val="3CD553C5"/>
    <w:rsid w:val="3CDA245A"/>
    <w:rsid w:val="3CE55188"/>
    <w:rsid w:val="3CE94050"/>
    <w:rsid w:val="3CEA279F"/>
    <w:rsid w:val="3CFD0C7E"/>
    <w:rsid w:val="3D070FA9"/>
    <w:rsid w:val="3D0A2E41"/>
    <w:rsid w:val="3D0E0B83"/>
    <w:rsid w:val="3D112421"/>
    <w:rsid w:val="3D1631BD"/>
    <w:rsid w:val="3D1E06B7"/>
    <w:rsid w:val="3D212204"/>
    <w:rsid w:val="3D2B7162"/>
    <w:rsid w:val="3D2F2C1F"/>
    <w:rsid w:val="3D314871"/>
    <w:rsid w:val="3D341CBC"/>
    <w:rsid w:val="3D3E2AEA"/>
    <w:rsid w:val="3D4079CD"/>
    <w:rsid w:val="3D412A21"/>
    <w:rsid w:val="3D46194C"/>
    <w:rsid w:val="3D4A148F"/>
    <w:rsid w:val="3D510A70"/>
    <w:rsid w:val="3D5B369C"/>
    <w:rsid w:val="3D606F05"/>
    <w:rsid w:val="3D722041"/>
    <w:rsid w:val="3D8524C4"/>
    <w:rsid w:val="3D874491"/>
    <w:rsid w:val="3D8F3346"/>
    <w:rsid w:val="3D9E3267"/>
    <w:rsid w:val="3DA7331F"/>
    <w:rsid w:val="3DA9265A"/>
    <w:rsid w:val="3DB0560B"/>
    <w:rsid w:val="3DB37034"/>
    <w:rsid w:val="3DB923AA"/>
    <w:rsid w:val="3DBF00CF"/>
    <w:rsid w:val="3DC2371B"/>
    <w:rsid w:val="3DC76F84"/>
    <w:rsid w:val="3DC92CFC"/>
    <w:rsid w:val="3DD82F3F"/>
    <w:rsid w:val="3DE511B8"/>
    <w:rsid w:val="3DE64C93"/>
    <w:rsid w:val="3DFB09DB"/>
    <w:rsid w:val="3E111FAD"/>
    <w:rsid w:val="3E18333B"/>
    <w:rsid w:val="3E1A3557"/>
    <w:rsid w:val="3E1A5306"/>
    <w:rsid w:val="3E1F46CA"/>
    <w:rsid w:val="3E2004D7"/>
    <w:rsid w:val="3E247F32"/>
    <w:rsid w:val="3E265A58"/>
    <w:rsid w:val="3E287437"/>
    <w:rsid w:val="3E2A6360"/>
    <w:rsid w:val="3E2B17C2"/>
    <w:rsid w:val="3E3115F6"/>
    <w:rsid w:val="3E344170"/>
    <w:rsid w:val="3E467EA9"/>
    <w:rsid w:val="3E5500EC"/>
    <w:rsid w:val="3E5C147A"/>
    <w:rsid w:val="3E5D132B"/>
    <w:rsid w:val="3E624571"/>
    <w:rsid w:val="3E6267CA"/>
    <w:rsid w:val="3E645C6A"/>
    <w:rsid w:val="3E6646EC"/>
    <w:rsid w:val="3E6652E1"/>
    <w:rsid w:val="3E6B3DB3"/>
    <w:rsid w:val="3E752DDF"/>
    <w:rsid w:val="3E772758"/>
    <w:rsid w:val="3E7F160D"/>
    <w:rsid w:val="3E8A33F3"/>
    <w:rsid w:val="3E9450B8"/>
    <w:rsid w:val="3E9E5F37"/>
    <w:rsid w:val="3EA73CCD"/>
    <w:rsid w:val="3EAD4513"/>
    <w:rsid w:val="3EB05C6A"/>
    <w:rsid w:val="3EB70DA6"/>
    <w:rsid w:val="3EBC5573"/>
    <w:rsid w:val="3EC55271"/>
    <w:rsid w:val="3ECE553B"/>
    <w:rsid w:val="3ED352A3"/>
    <w:rsid w:val="3ED90D1D"/>
    <w:rsid w:val="3EDA0523"/>
    <w:rsid w:val="3EDA2976"/>
    <w:rsid w:val="3EDB2CE7"/>
    <w:rsid w:val="3EDC080D"/>
    <w:rsid w:val="3EEC4EF4"/>
    <w:rsid w:val="3EED2A1A"/>
    <w:rsid w:val="3EF71E77"/>
    <w:rsid w:val="3F006C8E"/>
    <w:rsid w:val="3F043D71"/>
    <w:rsid w:val="3F067638"/>
    <w:rsid w:val="3F092141"/>
    <w:rsid w:val="3F0A42C5"/>
    <w:rsid w:val="3F0C10F2"/>
    <w:rsid w:val="3F11495A"/>
    <w:rsid w:val="3F1E7077"/>
    <w:rsid w:val="3F2116BA"/>
    <w:rsid w:val="3F2969DF"/>
    <w:rsid w:val="3F3348D1"/>
    <w:rsid w:val="3F340649"/>
    <w:rsid w:val="3F367F1D"/>
    <w:rsid w:val="3F3D1329"/>
    <w:rsid w:val="3F43263A"/>
    <w:rsid w:val="3F44774E"/>
    <w:rsid w:val="3F4B5621"/>
    <w:rsid w:val="3F542A99"/>
    <w:rsid w:val="3F654D19"/>
    <w:rsid w:val="3F66685E"/>
    <w:rsid w:val="3F6A0766"/>
    <w:rsid w:val="3F6A406B"/>
    <w:rsid w:val="3F6B531D"/>
    <w:rsid w:val="3F6E3B5B"/>
    <w:rsid w:val="3F6F1681"/>
    <w:rsid w:val="3F735883"/>
    <w:rsid w:val="3F740A45"/>
    <w:rsid w:val="3F75230B"/>
    <w:rsid w:val="3F770DD5"/>
    <w:rsid w:val="3F892743"/>
    <w:rsid w:val="3F984734"/>
    <w:rsid w:val="3F9966FE"/>
    <w:rsid w:val="3FA05CDE"/>
    <w:rsid w:val="3FA550A3"/>
    <w:rsid w:val="3FB07750"/>
    <w:rsid w:val="3FB35A12"/>
    <w:rsid w:val="3FC574F3"/>
    <w:rsid w:val="3FC9517B"/>
    <w:rsid w:val="3FCB0095"/>
    <w:rsid w:val="3FCB2D5B"/>
    <w:rsid w:val="3FD55362"/>
    <w:rsid w:val="3FDB1988"/>
    <w:rsid w:val="3FE43E1D"/>
    <w:rsid w:val="3FE47979"/>
    <w:rsid w:val="3FED4C9B"/>
    <w:rsid w:val="3FF12096"/>
    <w:rsid w:val="3FF83B2F"/>
    <w:rsid w:val="3FFA304F"/>
    <w:rsid w:val="40016322"/>
    <w:rsid w:val="40073668"/>
    <w:rsid w:val="40132D5E"/>
    <w:rsid w:val="401975EF"/>
    <w:rsid w:val="401A339B"/>
    <w:rsid w:val="40295CD4"/>
    <w:rsid w:val="402F634B"/>
    <w:rsid w:val="40334F2C"/>
    <w:rsid w:val="40363F4D"/>
    <w:rsid w:val="40367549"/>
    <w:rsid w:val="404B3C32"/>
    <w:rsid w:val="404D19C2"/>
    <w:rsid w:val="405525A2"/>
    <w:rsid w:val="405F34A4"/>
    <w:rsid w:val="4066403F"/>
    <w:rsid w:val="40774C91"/>
    <w:rsid w:val="407A6407"/>
    <w:rsid w:val="40810C47"/>
    <w:rsid w:val="408178BE"/>
    <w:rsid w:val="4084342C"/>
    <w:rsid w:val="40925627"/>
    <w:rsid w:val="409D6B76"/>
    <w:rsid w:val="40A86BF9"/>
    <w:rsid w:val="40AD4AAD"/>
    <w:rsid w:val="40BC5C45"/>
    <w:rsid w:val="40C357E1"/>
    <w:rsid w:val="40CE138D"/>
    <w:rsid w:val="40CF0629"/>
    <w:rsid w:val="40F42C5D"/>
    <w:rsid w:val="40FE0F0E"/>
    <w:rsid w:val="40FF6AA7"/>
    <w:rsid w:val="41080763"/>
    <w:rsid w:val="410D4CAE"/>
    <w:rsid w:val="4112796A"/>
    <w:rsid w:val="41195D48"/>
    <w:rsid w:val="412546ED"/>
    <w:rsid w:val="41296207"/>
    <w:rsid w:val="412B15D8"/>
    <w:rsid w:val="412D5350"/>
    <w:rsid w:val="415B010F"/>
    <w:rsid w:val="415E3F7F"/>
    <w:rsid w:val="41720FB5"/>
    <w:rsid w:val="41744D2D"/>
    <w:rsid w:val="41821150"/>
    <w:rsid w:val="4182265E"/>
    <w:rsid w:val="41891071"/>
    <w:rsid w:val="419070DF"/>
    <w:rsid w:val="419453CF"/>
    <w:rsid w:val="419B675D"/>
    <w:rsid w:val="41A4625C"/>
    <w:rsid w:val="41B15F81"/>
    <w:rsid w:val="41B17D2F"/>
    <w:rsid w:val="41B73728"/>
    <w:rsid w:val="41BB0BAE"/>
    <w:rsid w:val="41C07F72"/>
    <w:rsid w:val="41C30EF6"/>
    <w:rsid w:val="41CA2B9F"/>
    <w:rsid w:val="41CC6917"/>
    <w:rsid w:val="41DA48BB"/>
    <w:rsid w:val="4200449D"/>
    <w:rsid w:val="42022339"/>
    <w:rsid w:val="422B7AE1"/>
    <w:rsid w:val="422D6551"/>
    <w:rsid w:val="422F6EA6"/>
    <w:rsid w:val="423170C2"/>
    <w:rsid w:val="42360701"/>
    <w:rsid w:val="423A3BCC"/>
    <w:rsid w:val="4246491B"/>
    <w:rsid w:val="42483437"/>
    <w:rsid w:val="424961B9"/>
    <w:rsid w:val="424E57D2"/>
    <w:rsid w:val="425274ED"/>
    <w:rsid w:val="426621C4"/>
    <w:rsid w:val="42664FBD"/>
    <w:rsid w:val="42672AE3"/>
    <w:rsid w:val="426D1219"/>
    <w:rsid w:val="427A45C5"/>
    <w:rsid w:val="428E62C2"/>
    <w:rsid w:val="42976E80"/>
    <w:rsid w:val="429D02B3"/>
    <w:rsid w:val="42A15FF5"/>
    <w:rsid w:val="42A96C58"/>
    <w:rsid w:val="42B04A1B"/>
    <w:rsid w:val="42B151A3"/>
    <w:rsid w:val="42B26C49"/>
    <w:rsid w:val="42B27D92"/>
    <w:rsid w:val="42B3131D"/>
    <w:rsid w:val="42BA5EB0"/>
    <w:rsid w:val="42BC2E2F"/>
    <w:rsid w:val="42D069A7"/>
    <w:rsid w:val="42D27F5D"/>
    <w:rsid w:val="42DF267A"/>
    <w:rsid w:val="42E5624D"/>
    <w:rsid w:val="42FA74B4"/>
    <w:rsid w:val="43000F6E"/>
    <w:rsid w:val="43016A94"/>
    <w:rsid w:val="430345BA"/>
    <w:rsid w:val="430C07AC"/>
    <w:rsid w:val="43105949"/>
    <w:rsid w:val="43210EE4"/>
    <w:rsid w:val="433A6FE6"/>
    <w:rsid w:val="43457534"/>
    <w:rsid w:val="43480868"/>
    <w:rsid w:val="434A0B09"/>
    <w:rsid w:val="434A21E9"/>
    <w:rsid w:val="434D7F2B"/>
    <w:rsid w:val="4350713C"/>
    <w:rsid w:val="4355099C"/>
    <w:rsid w:val="43594069"/>
    <w:rsid w:val="435C57EC"/>
    <w:rsid w:val="436239D7"/>
    <w:rsid w:val="436653E0"/>
    <w:rsid w:val="43670FED"/>
    <w:rsid w:val="437473DB"/>
    <w:rsid w:val="43761230"/>
    <w:rsid w:val="437C611B"/>
    <w:rsid w:val="43827BD5"/>
    <w:rsid w:val="4383375E"/>
    <w:rsid w:val="438A0837"/>
    <w:rsid w:val="438A4CDB"/>
    <w:rsid w:val="438B38EA"/>
    <w:rsid w:val="43917E18"/>
    <w:rsid w:val="43943464"/>
    <w:rsid w:val="439711A6"/>
    <w:rsid w:val="43AA0EDA"/>
    <w:rsid w:val="43AC2EA4"/>
    <w:rsid w:val="43B27D8E"/>
    <w:rsid w:val="43C4431A"/>
    <w:rsid w:val="43CF3AAE"/>
    <w:rsid w:val="43D1290A"/>
    <w:rsid w:val="43E51F12"/>
    <w:rsid w:val="43EA7528"/>
    <w:rsid w:val="43EF1CD5"/>
    <w:rsid w:val="43F62371"/>
    <w:rsid w:val="43F71340"/>
    <w:rsid w:val="440A037D"/>
    <w:rsid w:val="441647C1"/>
    <w:rsid w:val="44223166"/>
    <w:rsid w:val="44231388"/>
    <w:rsid w:val="4423214D"/>
    <w:rsid w:val="44242A3A"/>
    <w:rsid w:val="442C18EF"/>
    <w:rsid w:val="4433033C"/>
    <w:rsid w:val="4434082A"/>
    <w:rsid w:val="443B1FF0"/>
    <w:rsid w:val="443E0904"/>
    <w:rsid w:val="44425260"/>
    <w:rsid w:val="44496945"/>
    <w:rsid w:val="444C01E3"/>
    <w:rsid w:val="44505F25"/>
    <w:rsid w:val="44511355"/>
    <w:rsid w:val="44692B43"/>
    <w:rsid w:val="44753296"/>
    <w:rsid w:val="447D2D74"/>
    <w:rsid w:val="447D65EE"/>
    <w:rsid w:val="448160DE"/>
    <w:rsid w:val="44852115"/>
    <w:rsid w:val="44893BAC"/>
    <w:rsid w:val="448E723D"/>
    <w:rsid w:val="44902BBE"/>
    <w:rsid w:val="44983428"/>
    <w:rsid w:val="44A94395"/>
    <w:rsid w:val="44B7553B"/>
    <w:rsid w:val="44B951CC"/>
    <w:rsid w:val="44C21A8E"/>
    <w:rsid w:val="44CD14E0"/>
    <w:rsid w:val="44D528E3"/>
    <w:rsid w:val="44D73F50"/>
    <w:rsid w:val="44DC50C3"/>
    <w:rsid w:val="44EE129A"/>
    <w:rsid w:val="44F20B0B"/>
    <w:rsid w:val="44FC0F64"/>
    <w:rsid w:val="44FD6E94"/>
    <w:rsid w:val="44FE1D2F"/>
    <w:rsid w:val="4502438F"/>
    <w:rsid w:val="4502666D"/>
    <w:rsid w:val="450F5202"/>
    <w:rsid w:val="451063AB"/>
    <w:rsid w:val="451900C5"/>
    <w:rsid w:val="452137A8"/>
    <w:rsid w:val="45233988"/>
    <w:rsid w:val="45240818"/>
    <w:rsid w:val="452E5F4C"/>
    <w:rsid w:val="45356EC9"/>
    <w:rsid w:val="45423923"/>
    <w:rsid w:val="4545710C"/>
    <w:rsid w:val="45521829"/>
    <w:rsid w:val="455957D0"/>
    <w:rsid w:val="455E01CE"/>
    <w:rsid w:val="45612018"/>
    <w:rsid w:val="456368E1"/>
    <w:rsid w:val="4565330A"/>
    <w:rsid w:val="456A6B72"/>
    <w:rsid w:val="456D6663"/>
    <w:rsid w:val="457572C5"/>
    <w:rsid w:val="45790B64"/>
    <w:rsid w:val="457A48DC"/>
    <w:rsid w:val="458946E9"/>
    <w:rsid w:val="45951884"/>
    <w:rsid w:val="459E0E35"/>
    <w:rsid w:val="45A47C0E"/>
    <w:rsid w:val="45B24076"/>
    <w:rsid w:val="45C9393B"/>
    <w:rsid w:val="45CC4C17"/>
    <w:rsid w:val="45CC56AE"/>
    <w:rsid w:val="45CF2E79"/>
    <w:rsid w:val="45D4223E"/>
    <w:rsid w:val="45D73EE5"/>
    <w:rsid w:val="45DB7AEE"/>
    <w:rsid w:val="45E02BB8"/>
    <w:rsid w:val="45E561F9"/>
    <w:rsid w:val="45EA1A61"/>
    <w:rsid w:val="45F66658"/>
    <w:rsid w:val="45F8417E"/>
    <w:rsid w:val="45FD1795"/>
    <w:rsid w:val="46004DE1"/>
    <w:rsid w:val="460C5E7C"/>
    <w:rsid w:val="46113C2D"/>
    <w:rsid w:val="46240D57"/>
    <w:rsid w:val="462501C6"/>
    <w:rsid w:val="462B7278"/>
    <w:rsid w:val="462E5DF2"/>
    <w:rsid w:val="46333408"/>
    <w:rsid w:val="46390730"/>
    <w:rsid w:val="463F1A8F"/>
    <w:rsid w:val="464A0752"/>
    <w:rsid w:val="464F5D68"/>
    <w:rsid w:val="46530D8D"/>
    <w:rsid w:val="46577FD6"/>
    <w:rsid w:val="465810C1"/>
    <w:rsid w:val="46687488"/>
    <w:rsid w:val="466C06C8"/>
    <w:rsid w:val="467224C3"/>
    <w:rsid w:val="46731A57"/>
    <w:rsid w:val="46792C76"/>
    <w:rsid w:val="467F664E"/>
    <w:rsid w:val="46833F80"/>
    <w:rsid w:val="468A6821"/>
    <w:rsid w:val="469814BD"/>
    <w:rsid w:val="4698326B"/>
    <w:rsid w:val="46A75BA4"/>
    <w:rsid w:val="46AE0CE1"/>
    <w:rsid w:val="46BC33FE"/>
    <w:rsid w:val="46C2478C"/>
    <w:rsid w:val="46C422B2"/>
    <w:rsid w:val="46C6602A"/>
    <w:rsid w:val="46D955A7"/>
    <w:rsid w:val="46E30157"/>
    <w:rsid w:val="46F07559"/>
    <w:rsid w:val="46F451E2"/>
    <w:rsid w:val="46F84898"/>
    <w:rsid w:val="46F93AD3"/>
    <w:rsid w:val="470734DA"/>
    <w:rsid w:val="47133957"/>
    <w:rsid w:val="4717587D"/>
    <w:rsid w:val="471F593F"/>
    <w:rsid w:val="472A2F4D"/>
    <w:rsid w:val="473841ED"/>
    <w:rsid w:val="473935F2"/>
    <w:rsid w:val="47493D54"/>
    <w:rsid w:val="474B72D2"/>
    <w:rsid w:val="474D4586"/>
    <w:rsid w:val="47507FEA"/>
    <w:rsid w:val="4754492D"/>
    <w:rsid w:val="47573126"/>
    <w:rsid w:val="475A4FF7"/>
    <w:rsid w:val="475E504C"/>
    <w:rsid w:val="476B6BD2"/>
    <w:rsid w:val="47767549"/>
    <w:rsid w:val="477A786B"/>
    <w:rsid w:val="47803AED"/>
    <w:rsid w:val="478121E5"/>
    <w:rsid w:val="478B6F43"/>
    <w:rsid w:val="478C04F1"/>
    <w:rsid w:val="479559FD"/>
    <w:rsid w:val="479779C7"/>
    <w:rsid w:val="4799729B"/>
    <w:rsid w:val="47A07E0C"/>
    <w:rsid w:val="47A143A2"/>
    <w:rsid w:val="47A147BF"/>
    <w:rsid w:val="47A65E5C"/>
    <w:rsid w:val="47A81BD4"/>
    <w:rsid w:val="47B36036"/>
    <w:rsid w:val="47B458BE"/>
    <w:rsid w:val="47B6609F"/>
    <w:rsid w:val="47B913DB"/>
    <w:rsid w:val="47BC742D"/>
    <w:rsid w:val="47CA1B4A"/>
    <w:rsid w:val="47CF7161"/>
    <w:rsid w:val="47DA393C"/>
    <w:rsid w:val="47DC2325"/>
    <w:rsid w:val="47E0311C"/>
    <w:rsid w:val="47E726FC"/>
    <w:rsid w:val="47EA25BC"/>
    <w:rsid w:val="4800731A"/>
    <w:rsid w:val="48027536"/>
    <w:rsid w:val="480C3F11"/>
    <w:rsid w:val="480C5CBF"/>
    <w:rsid w:val="481334F1"/>
    <w:rsid w:val="48337081"/>
    <w:rsid w:val="483A1140"/>
    <w:rsid w:val="483D231C"/>
    <w:rsid w:val="4844140F"/>
    <w:rsid w:val="484C6A03"/>
    <w:rsid w:val="48524CC8"/>
    <w:rsid w:val="486129C9"/>
    <w:rsid w:val="48623B31"/>
    <w:rsid w:val="48645AFB"/>
    <w:rsid w:val="4867383D"/>
    <w:rsid w:val="48674C76"/>
    <w:rsid w:val="486755EB"/>
    <w:rsid w:val="4870272E"/>
    <w:rsid w:val="487B2E45"/>
    <w:rsid w:val="487D4DCB"/>
    <w:rsid w:val="4883037A"/>
    <w:rsid w:val="48841CEB"/>
    <w:rsid w:val="488F68F0"/>
    <w:rsid w:val="48977BB9"/>
    <w:rsid w:val="489F6B33"/>
    <w:rsid w:val="48A81D82"/>
    <w:rsid w:val="48AE321A"/>
    <w:rsid w:val="48AE3F11"/>
    <w:rsid w:val="48B16866"/>
    <w:rsid w:val="48B819A3"/>
    <w:rsid w:val="48BA396D"/>
    <w:rsid w:val="48BE3122"/>
    <w:rsid w:val="48BE3EB0"/>
    <w:rsid w:val="48C53A09"/>
    <w:rsid w:val="48C60564"/>
    <w:rsid w:val="48C657AA"/>
    <w:rsid w:val="48CC18F2"/>
    <w:rsid w:val="48D04F3E"/>
    <w:rsid w:val="48D93D7E"/>
    <w:rsid w:val="48DD3AFF"/>
    <w:rsid w:val="48DD6139"/>
    <w:rsid w:val="49066BB2"/>
    <w:rsid w:val="49080B7C"/>
    <w:rsid w:val="49211C3E"/>
    <w:rsid w:val="49227C13"/>
    <w:rsid w:val="492359B6"/>
    <w:rsid w:val="49296771"/>
    <w:rsid w:val="492A6A68"/>
    <w:rsid w:val="49325BF9"/>
    <w:rsid w:val="49331971"/>
    <w:rsid w:val="4934660C"/>
    <w:rsid w:val="493F0316"/>
    <w:rsid w:val="493F20C4"/>
    <w:rsid w:val="495054F2"/>
    <w:rsid w:val="49570768"/>
    <w:rsid w:val="495E4091"/>
    <w:rsid w:val="496640E6"/>
    <w:rsid w:val="49690EEF"/>
    <w:rsid w:val="496D4E83"/>
    <w:rsid w:val="49746212"/>
    <w:rsid w:val="49791AE5"/>
    <w:rsid w:val="497C6E74"/>
    <w:rsid w:val="498814BA"/>
    <w:rsid w:val="49891591"/>
    <w:rsid w:val="498F4403"/>
    <w:rsid w:val="49975A5C"/>
    <w:rsid w:val="49A308A5"/>
    <w:rsid w:val="49A34401"/>
    <w:rsid w:val="49A5384E"/>
    <w:rsid w:val="49A62143"/>
    <w:rsid w:val="49AA1581"/>
    <w:rsid w:val="49C62440"/>
    <w:rsid w:val="49C748E8"/>
    <w:rsid w:val="49CF5300"/>
    <w:rsid w:val="49D96CC7"/>
    <w:rsid w:val="49DC7715"/>
    <w:rsid w:val="49E35145"/>
    <w:rsid w:val="49E61432"/>
    <w:rsid w:val="49EF5898"/>
    <w:rsid w:val="49FB0B34"/>
    <w:rsid w:val="4A023139"/>
    <w:rsid w:val="4A0D21C2"/>
    <w:rsid w:val="4A0F1A96"/>
    <w:rsid w:val="4A1C2405"/>
    <w:rsid w:val="4A3C14E4"/>
    <w:rsid w:val="4A3D4856"/>
    <w:rsid w:val="4A4060F4"/>
    <w:rsid w:val="4A451A59"/>
    <w:rsid w:val="4A4536BD"/>
    <w:rsid w:val="4A4756D4"/>
    <w:rsid w:val="4A4A35FA"/>
    <w:rsid w:val="4A5D6DF6"/>
    <w:rsid w:val="4A633B90"/>
    <w:rsid w:val="4A6B5BB5"/>
    <w:rsid w:val="4A715D39"/>
    <w:rsid w:val="4A7364C9"/>
    <w:rsid w:val="4A752027"/>
    <w:rsid w:val="4A791606"/>
    <w:rsid w:val="4A7B576F"/>
    <w:rsid w:val="4A7F5CBF"/>
    <w:rsid w:val="4A8515A3"/>
    <w:rsid w:val="4A8561FD"/>
    <w:rsid w:val="4A866A46"/>
    <w:rsid w:val="4A8909CB"/>
    <w:rsid w:val="4A991E77"/>
    <w:rsid w:val="4A9B332A"/>
    <w:rsid w:val="4A9F72BD"/>
    <w:rsid w:val="4AA2290B"/>
    <w:rsid w:val="4AA541A9"/>
    <w:rsid w:val="4AAA5C63"/>
    <w:rsid w:val="4AAE7501"/>
    <w:rsid w:val="4ABF170F"/>
    <w:rsid w:val="4ABF6609"/>
    <w:rsid w:val="4ACE54AE"/>
    <w:rsid w:val="4AD0171C"/>
    <w:rsid w:val="4AD52CE0"/>
    <w:rsid w:val="4AD625B4"/>
    <w:rsid w:val="4AD93E52"/>
    <w:rsid w:val="4AE06401"/>
    <w:rsid w:val="4AE178D7"/>
    <w:rsid w:val="4AE31F2B"/>
    <w:rsid w:val="4AE33FEE"/>
    <w:rsid w:val="4AE51CD6"/>
    <w:rsid w:val="4AEC1085"/>
    <w:rsid w:val="4AEF3C04"/>
    <w:rsid w:val="4AF561A9"/>
    <w:rsid w:val="4AFB201B"/>
    <w:rsid w:val="4B0709C0"/>
    <w:rsid w:val="4B0842D4"/>
    <w:rsid w:val="4B1E5E20"/>
    <w:rsid w:val="4B201A81"/>
    <w:rsid w:val="4B2477C4"/>
    <w:rsid w:val="4B2C0426"/>
    <w:rsid w:val="4B2C54CC"/>
    <w:rsid w:val="4B3043BA"/>
    <w:rsid w:val="4B3A2B43"/>
    <w:rsid w:val="4B3C2D5F"/>
    <w:rsid w:val="4B3D2633"/>
    <w:rsid w:val="4B4340EE"/>
    <w:rsid w:val="4B532522"/>
    <w:rsid w:val="4B5775E9"/>
    <w:rsid w:val="4B5F25AA"/>
    <w:rsid w:val="4B6D6E5C"/>
    <w:rsid w:val="4B7778F3"/>
    <w:rsid w:val="4B8464B4"/>
    <w:rsid w:val="4B8B7843"/>
    <w:rsid w:val="4B95302F"/>
    <w:rsid w:val="4BA754D9"/>
    <w:rsid w:val="4BB07716"/>
    <w:rsid w:val="4BB23021"/>
    <w:rsid w:val="4BB25718"/>
    <w:rsid w:val="4BB70638"/>
    <w:rsid w:val="4BBA1ED6"/>
    <w:rsid w:val="4BBC5C4E"/>
    <w:rsid w:val="4BD05255"/>
    <w:rsid w:val="4BDB1B9D"/>
    <w:rsid w:val="4BDC3BFA"/>
    <w:rsid w:val="4BE07B8E"/>
    <w:rsid w:val="4BEA27E7"/>
    <w:rsid w:val="4BFB49C8"/>
    <w:rsid w:val="4C0D2006"/>
    <w:rsid w:val="4C2630C7"/>
    <w:rsid w:val="4C2C2DD4"/>
    <w:rsid w:val="4C2E37C9"/>
    <w:rsid w:val="4C2F6420"/>
    <w:rsid w:val="4C3457E4"/>
    <w:rsid w:val="4C3E2AF8"/>
    <w:rsid w:val="4C3F61C1"/>
    <w:rsid w:val="4C475A00"/>
    <w:rsid w:val="4C4A0649"/>
    <w:rsid w:val="4C4F261E"/>
    <w:rsid w:val="4C5166E1"/>
    <w:rsid w:val="4C532DE7"/>
    <w:rsid w:val="4C536E11"/>
    <w:rsid w:val="4C59349D"/>
    <w:rsid w:val="4C670843"/>
    <w:rsid w:val="4C681932"/>
    <w:rsid w:val="4C6919DE"/>
    <w:rsid w:val="4C6B503C"/>
    <w:rsid w:val="4C6F2CC0"/>
    <w:rsid w:val="4C6F4A6E"/>
    <w:rsid w:val="4C706B3A"/>
    <w:rsid w:val="4C7C7F01"/>
    <w:rsid w:val="4C7E5ECA"/>
    <w:rsid w:val="4C871DB8"/>
    <w:rsid w:val="4C876AA5"/>
    <w:rsid w:val="4C891FD4"/>
    <w:rsid w:val="4C8F3363"/>
    <w:rsid w:val="4C927CD7"/>
    <w:rsid w:val="4C9E5354"/>
    <w:rsid w:val="4CAC7A71"/>
    <w:rsid w:val="4CAD7625"/>
    <w:rsid w:val="4CB30DFF"/>
    <w:rsid w:val="4CB701C3"/>
    <w:rsid w:val="4CB919EE"/>
    <w:rsid w:val="4CC76658"/>
    <w:rsid w:val="4CC918F2"/>
    <w:rsid w:val="4CD430E2"/>
    <w:rsid w:val="4CD46FC7"/>
    <w:rsid w:val="4CD82614"/>
    <w:rsid w:val="4CE0596C"/>
    <w:rsid w:val="4CE16B2E"/>
    <w:rsid w:val="4CE4545C"/>
    <w:rsid w:val="4CEA0599"/>
    <w:rsid w:val="4CEE1E37"/>
    <w:rsid w:val="4D021D86"/>
    <w:rsid w:val="4D027691"/>
    <w:rsid w:val="4D0A5D2E"/>
    <w:rsid w:val="4D0E00FB"/>
    <w:rsid w:val="4D16138E"/>
    <w:rsid w:val="4D176606"/>
    <w:rsid w:val="4D1A5E8D"/>
    <w:rsid w:val="4D1D18CA"/>
    <w:rsid w:val="4D1D44CA"/>
    <w:rsid w:val="4D203FBB"/>
    <w:rsid w:val="4D227D33"/>
    <w:rsid w:val="4D245859"/>
    <w:rsid w:val="4D2B308B"/>
    <w:rsid w:val="4D3161C8"/>
    <w:rsid w:val="4D317F76"/>
    <w:rsid w:val="4D331F40"/>
    <w:rsid w:val="4D3E2EA5"/>
    <w:rsid w:val="4D4759EB"/>
    <w:rsid w:val="4D4B6A9F"/>
    <w:rsid w:val="4D4D0727"/>
    <w:rsid w:val="4D622825"/>
    <w:rsid w:val="4D6B16DA"/>
    <w:rsid w:val="4D764404"/>
    <w:rsid w:val="4D7E0465"/>
    <w:rsid w:val="4D8012AB"/>
    <w:rsid w:val="4D847445"/>
    <w:rsid w:val="4D8602C2"/>
    <w:rsid w:val="4D896004"/>
    <w:rsid w:val="4D981DA3"/>
    <w:rsid w:val="4DA70238"/>
    <w:rsid w:val="4DAE5A6A"/>
    <w:rsid w:val="4DB82445"/>
    <w:rsid w:val="4DBA440F"/>
    <w:rsid w:val="4DBB6CE7"/>
    <w:rsid w:val="4DBC05B9"/>
    <w:rsid w:val="4DC64B62"/>
    <w:rsid w:val="4DDA654A"/>
    <w:rsid w:val="4DE17BEE"/>
    <w:rsid w:val="4DE27513"/>
    <w:rsid w:val="4DE33966"/>
    <w:rsid w:val="4DE654E1"/>
    <w:rsid w:val="4DEB53B0"/>
    <w:rsid w:val="4DEC4FB0"/>
    <w:rsid w:val="4E013DEC"/>
    <w:rsid w:val="4E032A66"/>
    <w:rsid w:val="4E075D8A"/>
    <w:rsid w:val="4E094A4F"/>
    <w:rsid w:val="4E0B07C7"/>
    <w:rsid w:val="4E2B70BB"/>
    <w:rsid w:val="4E3106B4"/>
    <w:rsid w:val="4E323FA5"/>
    <w:rsid w:val="4E3F66C2"/>
    <w:rsid w:val="4E451F2B"/>
    <w:rsid w:val="4E4D5283"/>
    <w:rsid w:val="4E563093"/>
    <w:rsid w:val="4E5959D6"/>
    <w:rsid w:val="4E662D54"/>
    <w:rsid w:val="4E720846"/>
    <w:rsid w:val="4E783390"/>
    <w:rsid w:val="4E802F63"/>
    <w:rsid w:val="4E962786"/>
    <w:rsid w:val="4E9D5A90"/>
    <w:rsid w:val="4EA35843"/>
    <w:rsid w:val="4EB8045D"/>
    <w:rsid w:val="4EBA383A"/>
    <w:rsid w:val="4EC00FAD"/>
    <w:rsid w:val="4ED60DD5"/>
    <w:rsid w:val="4EDB63EB"/>
    <w:rsid w:val="4EE31744"/>
    <w:rsid w:val="4EE94FAC"/>
    <w:rsid w:val="4EF13E61"/>
    <w:rsid w:val="4EF61CFD"/>
    <w:rsid w:val="4F041BE5"/>
    <w:rsid w:val="4F041DE6"/>
    <w:rsid w:val="4F077894"/>
    <w:rsid w:val="4F196F13"/>
    <w:rsid w:val="4F2D6DE4"/>
    <w:rsid w:val="4F367AC5"/>
    <w:rsid w:val="4F393873"/>
    <w:rsid w:val="4F416B96"/>
    <w:rsid w:val="4F423267"/>
    <w:rsid w:val="4F471292"/>
    <w:rsid w:val="4F4950D8"/>
    <w:rsid w:val="4F6C6C7D"/>
    <w:rsid w:val="4F7A1EFB"/>
    <w:rsid w:val="4F7D74A2"/>
    <w:rsid w:val="4F8B6063"/>
    <w:rsid w:val="4F8C3B89"/>
    <w:rsid w:val="4F8D1EF0"/>
    <w:rsid w:val="4F9273F2"/>
    <w:rsid w:val="4F9843DC"/>
    <w:rsid w:val="4FA0530A"/>
    <w:rsid w:val="4FA21F7E"/>
    <w:rsid w:val="4FA964E9"/>
    <w:rsid w:val="4FB10A5F"/>
    <w:rsid w:val="4FB43F36"/>
    <w:rsid w:val="4FBA2EEE"/>
    <w:rsid w:val="4FC62A8C"/>
    <w:rsid w:val="4FCB6460"/>
    <w:rsid w:val="4FDA66A3"/>
    <w:rsid w:val="4FDC066D"/>
    <w:rsid w:val="4FE20F0D"/>
    <w:rsid w:val="4FE51552"/>
    <w:rsid w:val="4FF00E48"/>
    <w:rsid w:val="4FF66DE7"/>
    <w:rsid w:val="50041972"/>
    <w:rsid w:val="500433A9"/>
    <w:rsid w:val="50096F88"/>
    <w:rsid w:val="500E2788"/>
    <w:rsid w:val="50141A57"/>
    <w:rsid w:val="501D717B"/>
    <w:rsid w:val="501F67AB"/>
    <w:rsid w:val="502D0EC8"/>
    <w:rsid w:val="50354221"/>
    <w:rsid w:val="50397C5E"/>
    <w:rsid w:val="504D2B60"/>
    <w:rsid w:val="50504C4B"/>
    <w:rsid w:val="505A5E86"/>
    <w:rsid w:val="50624317"/>
    <w:rsid w:val="50632ECA"/>
    <w:rsid w:val="50722D7F"/>
    <w:rsid w:val="507C59AC"/>
    <w:rsid w:val="507D4CD9"/>
    <w:rsid w:val="508F1B83"/>
    <w:rsid w:val="509176A9"/>
    <w:rsid w:val="50966A6E"/>
    <w:rsid w:val="509727E6"/>
    <w:rsid w:val="509A5B6A"/>
    <w:rsid w:val="509C604E"/>
    <w:rsid w:val="509C6E7C"/>
    <w:rsid w:val="509E1DC6"/>
    <w:rsid w:val="50A53155"/>
    <w:rsid w:val="50A849F3"/>
    <w:rsid w:val="50AA076B"/>
    <w:rsid w:val="50AF18DD"/>
    <w:rsid w:val="50B05655"/>
    <w:rsid w:val="50C07F8E"/>
    <w:rsid w:val="50C833CA"/>
    <w:rsid w:val="50CC248F"/>
    <w:rsid w:val="50EA0B67"/>
    <w:rsid w:val="50F639B0"/>
    <w:rsid w:val="51031C29"/>
    <w:rsid w:val="510A12E0"/>
    <w:rsid w:val="510A745C"/>
    <w:rsid w:val="510C31D4"/>
    <w:rsid w:val="51260B78"/>
    <w:rsid w:val="51330760"/>
    <w:rsid w:val="513D7728"/>
    <w:rsid w:val="514209A3"/>
    <w:rsid w:val="514D1066"/>
    <w:rsid w:val="514E7348"/>
    <w:rsid w:val="51523EFE"/>
    <w:rsid w:val="51586963"/>
    <w:rsid w:val="51600E2A"/>
    <w:rsid w:val="5162104E"/>
    <w:rsid w:val="5167040A"/>
    <w:rsid w:val="516A73D8"/>
    <w:rsid w:val="5176064D"/>
    <w:rsid w:val="517B5C63"/>
    <w:rsid w:val="517D19DC"/>
    <w:rsid w:val="51804844"/>
    <w:rsid w:val="518A40F8"/>
    <w:rsid w:val="518B7D4B"/>
    <w:rsid w:val="51943C1F"/>
    <w:rsid w:val="51966543"/>
    <w:rsid w:val="519A1A9B"/>
    <w:rsid w:val="519A433C"/>
    <w:rsid w:val="51A21548"/>
    <w:rsid w:val="51A72608"/>
    <w:rsid w:val="51AD4828"/>
    <w:rsid w:val="51B318A1"/>
    <w:rsid w:val="51BD44CE"/>
    <w:rsid w:val="51C62A78"/>
    <w:rsid w:val="51C94C21"/>
    <w:rsid w:val="51D51818"/>
    <w:rsid w:val="51D7275F"/>
    <w:rsid w:val="51DB6702"/>
    <w:rsid w:val="51DD691E"/>
    <w:rsid w:val="51E47CAD"/>
    <w:rsid w:val="51F5351C"/>
    <w:rsid w:val="51F76ECE"/>
    <w:rsid w:val="51FF6894"/>
    <w:rsid w:val="52061C8F"/>
    <w:rsid w:val="520C7A0B"/>
    <w:rsid w:val="520E446C"/>
    <w:rsid w:val="52102850"/>
    <w:rsid w:val="521160F2"/>
    <w:rsid w:val="521F4AB1"/>
    <w:rsid w:val="522E00B4"/>
    <w:rsid w:val="523405C8"/>
    <w:rsid w:val="52416EAD"/>
    <w:rsid w:val="524D1F73"/>
    <w:rsid w:val="524E4CF3"/>
    <w:rsid w:val="5251726B"/>
    <w:rsid w:val="525B694F"/>
    <w:rsid w:val="52612F1E"/>
    <w:rsid w:val="52622D5C"/>
    <w:rsid w:val="527A5F1B"/>
    <w:rsid w:val="527D3EB6"/>
    <w:rsid w:val="528154FB"/>
    <w:rsid w:val="52831274"/>
    <w:rsid w:val="5286268F"/>
    <w:rsid w:val="52880F79"/>
    <w:rsid w:val="529167FF"/>
    <w:rsid w:val="529945F3"/>
    <w:rsid w:val="529A4049"/>
    <w:rsid w:val="52A116FA"/>
    <w:rsid w:val="52A66D10"/>
    <w:rsid w:val="52A7759D"/>
    <w:rsid w:val="52AF3E17"/>
    <w:rsid w:val="52B21B59"/>
    <w:rsid w:val="52B6279E"/>
    <w:rsid w:val="52B8501E"/>
    <w:rsid w:val="52C076B1"/>
    <w:rsid w:val="52DD0A68"/>
    <w:rsid w:val="52DE294E"/>
    <w:rsid w:val="52E433EC"/>
    <w:rsid w:val="52ED493F"/>
    <w:rsid w:val="52FB6742"/>
    <w:rsid w:val="53130849"/>
    <w:rsid w:val="53175BC3"/>
    <w:rsid w:val="531F5E2E"/>
    <w:rsid w:val="5325057D"/>
    <w:rsid w:val="533261B7"/>
    <w:rsid w:val="533573F7"/>
    <w:rsid w:val="533E30A2"/>
    <w:rsid w:val="534358A9"/>
    <w:rsid w:val="53470DD7"/>
    <w:rsid w:val="53542C10"/>
    <w:rsid w:val="53542FEC"/>
    <w:rsid w:val="535624E4"/>
    <w:rsid w:val="535722C9"/>
    <w:rsid w:val="53580AEC"/>
    <w:rsid w:val="535B3F9E"/>
    <w:rsid w:val="535E0CB2"/>
    <w:rsid w:val="5362532D"/>
    <w:rsid w:val="53726B00"/>
    <w:rsid w:val="537957C3"/>
    <w:rsid w:val="537E1A3B"/>
    <w:rsid w:val="538232D9"/>
    <w:rsid w:val="5386726D"/>
    <w:rsid w:val="53876B42"/>
    <w:rsid w:val="53897FB5"/>
    <w:rsid w:val="539F3E8B"/>
    <w:rsid w:val="53A039CC"/>
    <w:rsid w:val="53A1505A"/>
    <w:rsid w:val="53A70F92"/>
    <w:rsid w:val="53A95833"/>
    <w:rsid w:val="53BA6F17"/>
    <w:rsid w:val="53BC42C6"/>
    <w:rsid w:val="53C102A5"/>
    <w:rsid w:val="53D004E8"/>
    <w:rsid w:val="53D8075F"/>
    <w:rsid w:val="53DF072C"/>
    <w:rsid w:val="53E33F51"/>
    <w:rsid w:val="53E775E0"/>
    <w:rsid w:val="53EA0E7E"/>
    <w:rsid w:val="53EA2CA5"/>
    <w:rsid w:val="53EC2E48"/>
    <w:rsid w:val="53F561A1"/>
    <w:rsid w:val="54063E08"/>
    <w:rsid w:val="540B5688"/>
    <w:rsid w:val="540E1011"/>
    <w:rsid w:val="541008E5"/>
    <w:rsid w:val="54104D89"/>
    <w:rsid w:val="54114AC3"/>
    <w:rsid w:val="541741D6"/>
    <w:rsid w:val="542C5C75"/>
    <w:rsid w:val="54306E86"/>
    <w:rsid w:val="54323179"/>
    <w:rsid w:val="54330A77"/>
    <w:rsid w:val="543437E8"/>
    <w:rsid w:val="54387E3C"/>
    <w:rsid w:val="543B3BCC"/>
    <w:rsid w:val="54431726"/>
    <w:rsid w:val="54442C85"/>
    <w:rsid w:val="544B4013"/>
    <w:rsid w:val="544E58B1"/>
    <w:rsid w:val="54576514"/>
    <w:rsid w:val="546038E7"/>
    <w:rsid w:val="546649A9"/>
    <w:rsid w:val="54684BC5"/>
    <w:rsid w:val="548117E3"/>
    <w:rsid w:val="54890697"/>
    <w:rsid w:val="548D63DA"/>
    <w:rsid w:val="549B4C02"/>
    <w:rsid w:val="54A82088"/>
    <w:rsid w:val="54AA0D3A"/>
    <w:rsid w:val="54B13143"/>
    <w:rsid w:val="54B94441"/>
    <w:rsid w:val="54B96354"/>
    <w:rsid w:val="54BF230B"/>
    <w:rsid w:val="54D264E2"/>
    <w:rsid w:val="54D403CB"/>
    <w:rsid w:val="54E30C95"/>
    <w:rsid w:val="54F73313"/>
    <w:rsid w:val="54F80955"/>
    <w:rsid w:val="54FF12D2"/>
    <w:rsid w:val="55020B76"/>
    <w:rsid w:val="55066D8B"/>
    <w:rsid w:val="550A7A2A"/>
    <w:rsid w:val="550C4CAA"/>
    <w:rsid w:val="55123EDC"/>
    <w:rsid w:val="55125918"/>
    <w:rsid w:val="5527238A"/>
    <w:rsid w:val="5531145B"/>
    <w:rsid w:val="553B3FF0"/>
    <w:rsid w:val="55434CEA"/>
    <w:rsid w:val="55450A62"/>
    <w:rsid w:val="555170A7"/>
    <w:rsid w:val="555C7024"/>
    <w:rsid w:val="55627866"/>
    <w:rsid w:val="55661D3B"/>
    <w:rsid w:val="55677968"/>
    <w:rsid w:val="556A04C9"/>
    <w:rsid w:val="55704153"/>
    <w:rsid w:val="55736D2E"/>
    <w:rsid w:val="55756F33"/>
    <w:rsid w:val="557F231A"/>
    <w:rsid w:val="55837FA1"/>
    <w:rsid w:val="5587536D"/>
    <w:rsid w:val="558772CD"/>
    <w:rsid w:val="558C6691"/>
    <w:rsid w:val="558E2409"/>
    <w:rsid w:val="5594498E"/>
    <w:rsid w:val="5597645B"/>
    <w:rsid w:val="559B174B"/>
    <w:rsid w:val="55AB7106"/>
    <w:rsid w:val="55AF05D2"/>
    <w:rsid w:val="55AF1CE0"/>
    <w:rsid w:val="55B300C2"/>
    <w:rsid w:val="55B87486"/>
    <w:rsid w:val="55B9174D"/>
    <w:rsid w:val="55BD75FE"/>
    <w:rsid w:val="55CC6160"/>
    <w:rsid w:val="55CE0CF4"/>
    <w:rsid w:val="55D10548"/>
    <w:rsid w:val="55E10CD2"/>
    <w:rsid w:val="55E71B19"/>
    <w:rsid w:val="55E95892"/>
    <w:rsid w:val="55E97C2C"/>
    <w:rsid w:val="55EC7130"/>
    <w:rsid w:val="55F601C1"/>
    <w:rsid w:val="560A6AAB"/>
    <w:rsid w:val="5613290E"/>
    <w:rsid w:val="56187F25"/>
    <w:rsid w:val="56244B1C"/>
    <w:rsid w:val="56250A66"/>
    <w:rsid w:val="5625775C"/>
    <w:rsid w:val="562C39D0"/>
    <w:rsid w:val="563A572B"/>
    <w:rsid w:val="563A60ED"/>
    <w:rsid w:val="56435206"/>
    <w:rsid w:val="56486A5C"/>
    <w:rsid w:val="564D7444"/>
    <w:rsid w:val="565C6063"/>
    <w:rsid w:val="565D1DDC"/>
    <w:rsid w:val="565F5B54"/>
    <w:rsid w:val="567549F3"/>
    <w:rsid w:val="56764C4B"/>
    <w:rsid w:val="568630E0"/>
    <w:rsid w:val="568864B6"/>
    <w:rsid w:val="56A25A40"/>
    <w:rsid w:val="56A812A9"/>
    <w:rsid w:val="56AE2637"/>
    <w:rsid w:val="56B22A9C"/>
    <w:rsid w:val="56B522DB"/>
    <w:rsid w:val="56B714EC"/>
    <w:rsid w:val="56C50CC4"/>
    <w:rsid w:val="56C97D2A"/>
    <w:rsid w:val="56CE5406"/>
    <w:rsid w:val="56D007FF"/>
    <w:rsid w:val="56D0674C"/>
    <w:rsid w:val="56D24578"/>
    <w:rsid w:val="56DB6AED"/>
    <w:rsid w:val="56F269C8"/>
    <w:rsid w:val="56F62377"/>
    <w:rsid w:val="56FC05AE"/>
    <w:rsid w:val="56FD7718"/>
    <w:rsid w:val="56FE0681"/>
    <w:rsid w:val="570D55B0"/>
    <w:rsid w:val="57105925"/>
    <w:rsid w:val="57193F55"/>
    <w:rsid w:val="571F2AB0"/>
    <w:rsid w:val="57231423"/>
    <w:rsid w:val="572B3C88"/>
    <w:rsid w:val="573C0CB0"/>
    <w:rsid w:val="574865E8"/>
    <w:rsid w:val="574A6804"/>
    <w:rsid w:val="574F16AC"/>
    <w:rsid w:val="574F5BC8"/>
    <w:rsid w:val="57541431"/>
    <w:rsid w:val="57572CCF"/>
    <w:rsid w:val="576912EF"/>
    <w:rsid w:val="576A2A02"/>
    <w:rsid w:val="57783371"/>
    <w:rsid w:val="57792C45"/>
    <w:rsid w:val="578A4E52"/>
    <w:rsid w:val="578E4942"/>
    <w:rsid w:val="579927C7"/>
    <w:rsid w:val="579D2DD8"/>
    <w:rsid w:val="57A80A4D"/>
    <w:rsid w:val="57B123DF"/>
    <w:rsid w:val="57B72A76"/>
    <w:rsid w:val="57B819BF"/>
    <w:rsid w:val="57BD5228"/>
    <w:rsid w:val="57BE0ED7"/>
    <w:rsid w:val="57C00874"/>
    <w:rsid w:val="57C3426C"/>
    <w:rsid w:val="57CD430F"/>
    <w:rsid w:val="57CE1F93"/>
    <w:rsid w:val="57D12A81"/>
    <w:rsid w:val="57D63BF4"/>
    <w:rsid w:val="57DA7B88"/>
    <w:rsid w:val="57E62B94"/>
    <w:rsid w:val="57F91F71"/>
    <w:rsid w:val="57FB18AC"/>
    <w:rsid w:val="57FD73D2"/>
    <w:rsid w:val="57FF6D7D"/>
    <w:rsid w:val="580F0885"/>
    <w:rsid w:val="5812354C"/>
    <w:rsid w:val="581B5AAA"/>
    <w:rsid w:val="582232DD"/>
    <w:rsid w:val="58226E39"/>
    <w:rsid w:val="58254B7B"/>
    <w:rsid w:val="582E03F8"/>
    <w:rsid w:val="58337298"/>
    <w:rsid w:val="58392B46"/>
    <w:rsid w:val="583A289D"/>
    <w:rsid w:val="583D0117"/>
    <w:rsid w:val="583F3E8F"/>
    <w:rsid w:val="58586CFE"/>
    <w:rsid w:val="585C67EF"/>
    <w:rsid w:val="585D4C1E"/>
    <w:rsid w:val="58647451"/>
    <w:rsid w:val="586E207E"/>
    <w:rsid w:val="586F46A1"/>
    <w:rsid w:val="5886561A"/>
    <w:rsid w:val="588743D1"/>
    <w:rsid w:val="5887701A"/>
    <w:rsid w:val="588C0756"/>
    <w:rsid w:val="58B030A9"/>
    <w:rsid w:val="58B71C77"/>
    <w:rsid w:val="58B74CDD"/>
    <w:rsid w:val="58B8154B"/>
    <w:rsid w:val="58BB545E"/>
    <w:rsid w:val="58C669E3"/>
    <w:rsid w:val="58D33018"/>
    <w:rsid w:val="58D43CB8"/>
    <w:rsid w:val="58DC2558"/>
    <w:rsid w:val="58E761AB"/>
    <w:rsid w:val="58E80082"/>
    <w:rsid w:val="58E9679B"/>
    <w:rsid w:val="58F307D5"/>
    <w:rsid w:val="59042484"/>
    <w:rsid w:val="590F2A76"/>
    <w:rsid w:val="591C41D0"/>
    <w:rsid w:val="591C5EC5"/>
    <w:rsid w:val="59246BE1"/>
    <w:rsid w:val="592D3CE7"/>
    <w:rsid w:val="59374B66"/>
    <w:rsid w:val="593C6AF4"/>
    <w:rsid w:val="594159E5"/>
    <w:rsid w:val="59421EFC"/>
    <w:rsid w:val="59501EEB"/>
    <w:rsid w:val="595158B5"/>
    <w:rsid w:val="59547C85"/>
    <w:rsid w:val="59613991"/>
    <w:rsid w:val="596A4F3B"/>
    <w:rsid w:val="59706686"/>
    <w:rsid w:val="59782066"/>
    <w:rsid w:val="597865A7"/>
    <w:rsid w:val="5979517E"/>
    <w:rsid w:val="59803D05"/>
    <w:rsid w:val="59883613"/>
    <w:rsid w:val="598D0C2A"/>
    <w:rsid w:val="598F3A95"/>
    <w:rsid w:val="59A0270B"/>
    <w:rsid w:val="59A9390D"/>
    <w:rsid w:val="59BC5884"/>
    <w:rsid w:val="59C0439F"/>
    <w:rsid w:val="59C3464B"/>
    <w:rsid w:val="59C45287"/>
    <w:rsid w:val="59C51FD2"/>
    <w:rsid w:val="59C74C5E"/>
    <w:rsid w:val="59C84922"/>
    <w:rsid w:val="59CC1865"/>
    <w:rsid w:val="59E05281"/>
    <w:rsid w:val="59E44CEE"/>
    <w:rsid w:val="59F94355"/>
    <w:rsid w:val="5A0031AA"/>
    <w:rsid w:val="5A075B34"/>
    <w:rsid w:val="5A081918"/>
    <w:rsid w:val="5A1530F9"/>
    <w:rsid w:val="5A181F42"/>
    <w:rsid w:val="5A24333C"/>
    <w:rsid w:val="5A307F33"/>
    <w:rsid w:val="5A316DF7"/>
    <w:rsid w:val="5A364E1D"/>
    <w:rsid w:val="5A4707FC"/>
    <w:rsid w:val="5A4C1A97"/>
    <w:rsid w:val="5A537C37"/>
    <w:rsid w:val="5A557999"/>
    <w:rsid w:val="5A5B4884"/>
    <w:rsid w:val="5A601E9A"/>
    <w:rsid w:val="5A614BEE"/>
    <w:rsid w:val="5A634291"/>
    <w:rsid w:val="5A763006"/>
    <w:rsid w:val="5A783688"/>
    <w:rsid w:val="5A7A2F5C"/>
    <w:rsid w:val="5A860E50"/>
    <w:rsid w:val="5A8A5675"/>
    <w:rsid w:val="5A8D5E0E"/>
    <w:rsid w:val="5A9D5D69"/>
    <w:rsid w:val="5AAB75B9"/>
    <w:rsid w:val="5AB67D0C"/>
    <w:rsid w:val="5ABE2233"/>
    <w:rsid w:val="5ACA00CD"/>
    <w:rsid w:val="5ACD5782"/>
    <w:rsid w:val="5ADA3DB4"/>
    <w:rsid w:val="5AE2724E"/>
    <w:rsid w:val="5AF36F32"/>
    <w:rsid w:val="5AF95341"/>
    <w:rsid w:val="5B0303AE"/>
    <w:rsid w:val="5B0A7A07"/>
    <w:rsid w:val="5B0E3379"/>
    <w:rsid w:val="5B1433B1"/>
    <w:rsid w:val="5B1C78EB"/>
    <w:rsid w:val="5B2630E4"/>
    <w:rsid w:val="5B277374"/>
    <w:rsid w:val="5B2D6220"/>
    <w:rsid w:val="5B2D7FCE"/>
    <w:rsid w:val="5B345801"/>
    <w:rsid w:val="5B3A6B8F"/>
    <w:rsid w:val="5B3B7CC5"/>
    <w:rsid w:val="5B42099A"/>
    <w:rsid w:val="5B511ED5"/>
    <w:rsid w:val="5B535EA0"/>
    <w:rsid w:val="5B5A5164"/>
    <w:rsid w:val="5B5C4D58"/>
    <w:rsid w:val="5B5D445C"/>
    <w:rsid w:val="5B687259"/>
    <w:rsid w:val="5B70435F"/>
    <w:rsid w:val="5B751A8B"/>
    <w:rsid w:val="5B81646C"/>
    <w:rsid w:val="5B920779"/>
    <w:rsid w:val="5B975D90"/>
    <w:rsid w:val="5BA069F2"/>
    <w:rsid w:val="5BA30291"/>
    <w:rsid w:val="5BAA59CB"/>
    <w:rsid w:val="5BB06439"/>
    <w:rsid w:val="5BCA019E"/>
    <w:rsid w:val="5BCB127E"/>
    <w:rsid w:val="5BDF5D95"/>
    <w:rsid w:val="5BE03293"/>
    <w:rsid w:val="5BED59B0"/>
    <w:rsid w:val="5BFC5BF3"/>
    <w:rsid w:val="5BFE7528"/>
    <w:rsid w:val="5C0576D6"/>
    <w:rsid w:val="5C0A0310"/>
    <w:rsid w:val="5C164F06"/>
    <w:rsid w:val="5C186ED1"/>
    <w:rsid w:val="5C1C4071"/>
    <w:rsid w:val="5C221AFD"/>
    <w:rsid w:val="5C2E04A2"/>
    <w:rsid w:val="5C3F445D"/>
    <w:rsid w:val="5C433822"/>
    <w:rsid w:val="5C4F2D91"/>
    <w:rsid w:val="5C512D32"/>
    <w:rsid w:val="5C653798"/>
    <w:rsid w:val="5C6A44D8"/>
    <w:rsid w:val="5C6D033B"/>
    <w:rsid w:val="5C723653"/>
    <w:rsid w:val="5C734C3B"/>
    <w:rsid w:val="5C761E49"/>
    <w:rsid w:val="5C7659A5"/>
    <w:rsid w:val="5C7F7AB4"/>
    <w:rsid w:val="5C81530D"/>
    <w:rsid w:val="5C8F6A67"/>
    <w:rsid w:val="5C910737"/>
    <w:rsid w:val="5C9D6C85"/>
    <w:rsid w:val="5CA34451"/>
    <w:rsid w:val="5CB31FEC"/>
    <w:rsid w:val="5CB32755"/>
    <w:rsid w:val="5CB5471F"/>
    <w:rsid w:val="5CB63FF4"/>
    <w:rsid w:val="5CBD1826"/>
    <w:rsid w:val="5CC101EF"/>
    <w:rsid w:val="5CD86660"/>
    <w:rsid w:val="5CDC6150"/>
    <w:rsid w:val="5CEC7439"/>
    <w:rsid w:val="5CF36FF6"/>
    <w:rsid w:val="5CF52D6E"/>
    <w:rsid w:val="5CF8285E"/>
    <w:rsid w:val="5D027239"/>
    <w:rsid w:val="5D0F6E2D"/>
    <w:rsid w:val="5D1256CE"/>
    <w:rsid w:val="5D186A5C"/>
    <w:rsid w:val="5D1F428F"/>
    <w:rsid w:val="5D3C274B"/>
    <w:rsid w:val="5D486FBE"/>
    <w:rsid w:val="5D5201C0"/>
    <w:rsid w:val="5D537A94"/>
    <w:rsid w:val="5D543F38"/>
    <w:rsid w:val="5D573A29"/>
    <w:rsid w:val="5D5C0057"/>
    <w:rsid w:val="5D5C671E"/>
    <w:rsid w:val="5D6610B7"/>
    <w:rsid w:val="5D6A01F5"/>
    <w:rsid w:val="5D700646"/>
    <w:rsid w:val="5D755C5D"/>
    <w:rsid w:val="5D805D1B"/>
    <w:rsid w:val="5D876BFA"/>
    <w:rsid w:val="5D885990"/>
    <w:rsid w:val="5D8F6D1E"/>
    <w:rsid w:val="5D902A97"/>
    <w:rsid w:val="5D9205BD"/>
    <w:rsid w:val="5D977FBF"/>
    <w:rsid w:val="5D9E1657"/>
    <w:rsid w:val="5DAD1924"/>
    <w:rsid w:val="5DB1138B"/>
    <w:rsid w:val="5DB55661"/>
    <w:rsid w:val="5DB6074F"/>
    <w:rsid w:val="5DB669A1"/>
    <w:rsid w:val="5DBF4DCA"/>
    <w:rsid w:val="5DBF5342"/>
    <w:rsid w:val="5DBF7E8B"/>
    <w:rsid w:val="5DD07337"/>
    <w:rsid w:val="5DD46E27"/>
    <w:rsid w:val="5DD60DF1"/>
    <w:rsid w:val="5DDC5CDC"/>
    <w:rsid w:val="5DE95E3F"/>
    <w:rsid w:val="5DF81D63"/>
    <w:rsid w:val="5DFB43B4"/>
    <w:rsid w:val="5E047D74"/>
    <w:rsid w:val="5E057FA5"/>
    <w:rsid w:val="5E07636F"/>
    <w:rsid w:val="5E0B2D70"/>
    <w:rsid w:val="5E0D2339"/>
    <w:rsid w:val="5E0E2BEE"/>
    <w:rsid w:val="5E154014"/>
    <w:rsid w:val="5E1D6FBC"/>
    <w:rsid w:val="5E2467F1"/>
    <w:rsid w:val="5E2B6149"/>
    <w:rsid w:val="5E2C6B18"/>
    <w:rsid w:val="5E473A9D"/>
    <w:rsid w:val="5E493194"/>
    <w:rsid w:val="5E4F4700"/>
    <w:rsid w:val="5E5A37D0"/>
    <w:rsid w:val="5E652175"/>
    <w:rsid w:val="5E710B1A"/>
    <w:rsid w:val="5E7D126D"/>
    <w:rsid w:val="5E824AD5"/>
    <w:rsid w:val="5E91431A"/>
    <w:rsid w:val="5EAE07E6"/>
    <w:rsid w:val="5EAE58CA"/>
    <w:rsid w:val="5EB709A4"/>
    <w:rsid w:val="5EB804F7"/>
    <w:rsid w:val="5EBB1968"/>
    <w:rsid w:val="5EC07074"/>
    <w:rsid w:val="5EC86EC3"/>
    <w:rsid w:val="5ECC5D38"/>
    <w:rsid w:val="5ECC5D50"/>
    <w:rsid w:val="5ED03A93"/>
    <w:rsid w:val="5EE24E67"/>
    <w:rsid w:val="5EE3020E"/>
    <w:rsid w:val="5EE50BC0"/>
    <w:rsid w:val="5EE66E12"/>
    <w:rsid w:val="5EE830A8"/>
    <w:rsid w:val="5EEF6C5A"/>
    <w:rsid w:val="5EF961E9"/>
    <w:rsid w:val="5EFF1C82"/>
    <w:rsid w:val="5F0140EF"/>
    <w:rsid w:val="5F0157EA"/>
    <w:rsid w:val="5F061262"/>
    <w:rsid w:val="5F08322C"/>
    <w:rsid w:val="5F0E6369"/>
    <w:rsid w:val="5F131BD1"/>
    <w:rsid w:val="5F1A2B43"/>
    <w:rsid w:val="5F1E62BE"/>
    <w:rsid w:val="5F221E14"/>
    <w:rsid w:val="5F23023A"/>
    <w:rsid w:val="5F457F02"/>
    <w:rsid w:val="5F477B32"/>
    <w:rsid w:val="5F481454"/>
    <w:rsid w:val="5F520E80"/>
    <w:rsid w:val="5F5C5FB8"/>
    <w:rsid w:val="5F6C7FF2"/>
    <w:rsid w:val="5F6D3E62"/>
    <w:rsid w:val="5F72379B"/>
    <w:rsid w:val="5F727684"/>
    <w:rsid w:val="5F7F7267"/>
    <w:rsid w:val="5F883784"/>
    <w:rsid w:val="5F8962CE"/>
    <w:rsid w:val="5F9734FF"/>
    <w:rsid w:val="5FA32F55"/>
    <w:rsid w:val="5FA40A7B"/>
    <w:rsid w:val="5FAB005C"/>
    <w:rsid w:val="5FB15979"/>
    <w:rsid w:val="5FB837BB"/>
    <w:rsid w:val="5FBA3DFB"/>
    <w:rsid w:val="5FC65787"/>
    <w:rsid w:val="5FD41360"/>
    <w:rsid w:val="5FDB1382"/>
    <w:rsid w:val="5FEA7CA5"/>
    <w:rsid w:val="5FEF7F48"/>
    <w:rsid w:val="5FF76DFD"/>
    <w:rsid w:val="5FF83AFB"/>
    <w:rsid w:val="5FFC08B7"/>
    <w:rsid w:val="5FFD6D65"/>
    <w:rsid w:val="60107EBF"/>
    <w:rsid w:val="60275934"/>
    <w:rsid w:val="603B318E"/>
    <w:rsid w:val="603B6257"/>
    <w:rsid w:val="603C2654"/>
    <w:rsid w:val="60534544"/>
    <w:rsid w:val="605D1356"/>
    <w:rsid w:val="60634492"/>
    <w:rsid w:val="60636240"/>
    <w:rsid w:val="60685C3E"/>
    <w:rsid w:val="606A75CF"/>
    <w:rsid w:val="606D2C19"/>
    <w:rsid w:val="606F72DB"/>
    <w:rsid w:val="6070010A"/>
    <w:rsid w:val="607448F1"/>
    <w:rsid w:val="607664CF"/>
    <w:rsid w:val="607E7B7B"/>
    <w:rsid w:val="60922013"/>
    <w:rsid w:val="60950EF8"/>
    <w:rsid w:val="6098238E"/>
    <w:rsid w:val="60A206C0"/>
    <w:rsid w:val="60AA4643"/>
    <w:rsid w:val="60B1138E"/>
    <w:rsid w:val="60B70AD7"/>
    <w:rsid w:val="60BA0556"/>
    <w:rsid w:val="60BF3DBF"/>
    <w:rsid w:val="60C4501F"/>
    <w:rsid w:val="60C90799"/>
    <w:rsid w:val="60CC405A"/>
    <w:rsid w:val="60CE079C"/>
    <w:rsid w:val="60DB04CD"/>
    <w:rsid w:val="60EE0200"/>
    <w:rsid w:val="60EE2D37"/>
    <w:rsid w:val="60EE6452"/>
    <w:rsid w:val="60EF5D26"/>
    <w:rsid w:val="60FC09A2"/>
    <w:rsid w:val="60FD3BA3"/>
    <w:rsid w:val="61001CE1"/>
    <w:rsid w:val="61050FC1"/>
    <w:rsid w:val="610F0176"/>
    <w:rsid w:val="61137C66"/>
    <w:rsid w:val="61181721"/>
    <w:rsid w:val="611C29AC"/>
    <w:rsid w:val="6128605B"/>
    <w:rsid w:val="61291238"/>
    <w:rsid w:val="61300818"/>
    <w:rsid w:val="613113D7"/>
    <w:rsid w:val="613413C7"/>
    <w:rsid w:val="613A3445"/>
    <w:rsid w:val="61450556"/>
    <w:rsid w:val="61466490"/>
    <w:rsid w:val="61467E9C"/>
    <w:rsid w:val="614A1ED5"/>
    <w:rsid w:val="6152179A"/>
    <w:rsid w:val="61535E2D"/>
    <w:rsid w:val="615D7134"/>
    <w:rsid w:val="61614E76"/>
    <w:rsid w:val="6167743C"/>
    <w:rsid w:val="616B35FF"/>
    <w:rsid w:val="616B7AA3"/>
    <w:rsid w:val="6178224E"/>
    <w:rsid w:val="617A7CE6"/>
    <w:rsid w:val="61812E22"/>
    <w:rsid w:val="61952A3A"/>
    <w:rsid w:val="61AE798F"/>
    <w:rsid w:val="61B01959"/>
    <w:rsid w:val="61BA27D8"/>
    <w:rsid w:val="61BC3E5A"/>
    <w:rsid w:val="61C827FF"/>
    <w:rsid w:val="61D03DA9"/>
    <w:rsid w:val="61D844D4"/>
    <w:rsid w:val="61DB5E79"/>
    <w:rsid w:val="61E215D8"/>
    <w:rsid w:val="61EE49A3"/>
    <w:rsid w:val="61F01D56"/>
    <w:rsid w:val="61FC6D54"/>
    <w:rsid w:val="621B3775"/>
    <w:rsid w:val="6220263B"/>
    <w:rsid w:val="62312A9A"/>
    <w:rsid w:val="62360F7F"/>
    <w:rsid w:val="62364782"/>
    <w:rsid w:val="623D288E"/>
    <w:rsid w:val="623E6F65"/>
    <w:rsid w:val="624C78D4"/>
    <w:rsid w:val="62570027"/>
    <w:rsid w:val="625B5DAD"/>
    <w:rsid w:val="625E3163"/>
    <w:rsid w:val="626C5880"/>
    <w:rsid w:val="626E5527"/>
    <w:rsid w:val="62760AAF"/>
    <w:rsid w:val="627F1696"/>
    <w:rsid w:val="62894684"/>
    <w:rsid w:val="628B44A6"/>
    <w:rsid w:val="62966DA1"/>
    <w:rsid w:val="629A4409"/>
    <w:rsid w:val="62AF0A36"/>
    <w:rsid w:val="62AF39BF"/>
    <w:rsid w:val="62B84C15"/>
    <w:rsid w:val="62B965EC"/>
    <w:rsid w:val="62D22238"/>
    <w:rsid w:val="62D85737"/>
    <w:rsid w:val="62DB1B22"/>
    <w:rsid w:val="62DD4B3D"/>
    <w:rsid w:val="62DF5F43"/>
    <w:rsid w:val="62F07074"/>
    <w:rsid w:val="62F53AC8"/>
    <w:rsid w:val="62F96804"/>
    <w:rsid w:val="62FA2749"/>
    <w:rsid w:val="62FF4946"/>
    <w:rsid w:val="6300421A"/>
    <w:rsid w:val="630E685B"/>
    <w:rsid w:val="631B1054"/>
    <w:rsid w:val="631C0CD5"/>
    <w:rsid w:val="632443AD"/>
    <w:rsid w:val="632C14B3"/>
    <w:rsid w:val="6337700B"/>
    <w:rsid w:val="63433437"/>
    <w:rsid w:val="63473BF7"/>
    <w:rsid w:val="63480EA8"/>
    <w:rsid w:val="63494739"/>
    <w:rsid w:val="63495BC1"/>
    <w:rsid w:val="635F53E5"/>
    <w:rsid w:val="63666773"/>
    <w:rsid w:val="636B2239"/>
    <w:rsid w:val="636C365E"/>
    <w:rsid w:val="638766EA"/>
    <w:rsid w:val="6394356A"/>
    <w:rsid w:val="639A2453"/>
    <w:rsid w:val="639A2C94"/>
    <w:rsid w:val="63A1155A"/>
    <w:rsid w:val="63A4729C"/>
    <w:rsid w:val="63A53859"/>
    <w:rsid w:val="63A70B3A"/>
    <w:rsid w:val="63A728E8"/>
    <w:rsid w:val="63AB687C"/>
    <w:rsid w:val="63AC7EFE"/>
    <w:rsid w:val="63B15515"/>
    <w:rsid w:val="63B514A9"/>
    <w:rsid w:val="63BC6393"/>
    <w:rsid w:val="63BF5E84"/>
    <w:rsid w:val="63C35974"/>
    <w:rsid w:val="63C61B2C"/>
    <w:rsid w:val="63C83889"/>
    <w:rsid w:val="63CA05F2"/>
    <w:rsid w:val="63D40BE9"/>
    <w:rsid w:val="63D74F1D"/>
    <w:rsid w:val="63DA20C8"/>
    <w:rsid w:val="63E200F9"/>
    <w:rsid w:val="63E47698"/>
    <w:rsid w:val="63E82984"/>
    <w:rsid w:val="63EF65C6"/>
    <w:rsid w:val="63F0428F"/>
    <w:rsid w:val="63F907C6"/>
    <w:rsid w:val="640C2F78"/>
    <w:rsid w:val="64102431"/>
    <w:rsid w:val="64126752"/>
    <w:rsid w:val="641C0076"/>
    <w:rsid w:val="64281C7B"/>
    <w:rsid w:val="64281D22"/>
    <w:rsid w:val="642937DE"/>
    <w:rsid w:val="642C2458"/>
    <w:rsid w:val="643423CE"/>
    <w:rsid w:val="644C5778"/>
    <w:rsid w:val="647A412F"/>
    <w:rsid w:val="64833355"/>
    <w:rsid w:val="648E5A88"/>
    <w:rsid w:val="64A5243A"/>
    <w:rsid w:val="64AA2690"/>
    <w:rsid w:val="64B21544"/>
    <w:rsid w:val="64B33C3A"/>
    <w:rsid w:val="64B70542"/>
    <w:rsid w:val="64B943B5"/>
    <w:rsid w:val="64C179D9"/>
    <w:rsid w:val="64C319A4"/>
    <w:rsid w:val="64C32220"/>
    <w:rsid w:val="64C4780C"/>
    <w:rsid w:val="64CC6AAA"/>
    <w:rsid w:val="64D36B2E"/>
    <w:rsid w:val="64DB4EA9"/>
    <w:rsid w:val="64E060B2"/>
    <w:rsid w:val="64E35BA2"/>
    <w:rsid w:val="64E948B9"/>
    <w:rsid w:val="64EC323A"/>
    <w:rsid w:val="64F531DE"/>
    <w:rsid w:val="65000632"/>
    <w:rsid w:val="65295CAB"/>
    <w:rsid w:val="652F7039"/>
    <w:rsid w:val="6530645D"/>
    <w:rsid w:val="65373578"/>
    <w:rsid w:val="65384140"/>
    <w:rsid w:val="65426D6C"/>
    <w:rsid w:val="65476131"/>
    <w:rsid w:val="6554064F"/>
    <w:rsid w:val="65555212"/>
    <w:rsid w:val="655F16CC"/>
    <w:rsid w:val="656211BC"/>
    <w:rsid w:val="656811E8"/>
    <w:rsid w:val="656960A7"/>
    <w:rsid w:val="656B0071"/>
    <w:rsid w:val="656C700F"/>
    <w:rsid w:val="65745E90"/>
    <w:rsid w:val="657D174F"/>
    <w:rsid w:val="657D7DA4"/>
    <w:rsid w:val="658168F5"/>
    <w:rsid w:val="658D63C9"/>
    <w:rsid w:val="65982E30"/>
    <w:rsid w:val="65A76BCF"/>
    <w:rsid w:val="65AA7568"/>
    <w:rsid w:val="65CF4630"/>
    <w:rsid w:val="65D33E68"/>
    <w:rsid w:val="65D5373C"/>
    <w:rsid w:val="65D56B0E"/>
    <w:rsid w:val="65DF6369"/>
    <w:rsid w:val="65E120E1"/>
    <w:rsid w:val="65E44FF1"/>
    <w:rsid w:val="65F668B2"/>
    <w:rsid w:val="65F751AF"/>
    <w:rsid w:val="660758C0"/>
    <w:rsid w:val="66083B12"/>
    <w:rsid w:val="660A4C6E"/>
    <w:rsid w:val="661029C7"/>
    <w:rsid w:val="661A55F3"/>
    <w:rsid w:val="661E50E3"/>
    <w:rsid w:val="66215782"/>
    <w:rsid w:val="662B7800"/>
    <w:rsid w:val="663B260B"/>
    <w:rsid w:val="666B40A1"/>
    <w:rsid w:val="66763171"/>
    <w:rsid w:val="667C6A4B"/>
    <w:rsid w:val="667E5B82"/>
    <w:rsid w:val="66805D9E"/>
    <w:rsid w:val="66864050"/>
    <w:rsid w:val="668C78D6"/>
    <w:rsid w:val="669058B5"/>
    <w:rsid w:val="66A12093"/>
    <w:rsid w:val="66AD397C"/>
    <w:rsid w:val="66B21CD0"/>
    <w:rsid w:val="66B24FBC"/>
    <w:rsid w:val="66B772E6"/>
    <w:rsid w:val="66BB1946"/>
    <w:rsid w:val="66CD08B8"/>
    <w:rsid w:val="66CF2882"/>
    <w:rsid w:val="66D659BE"/>
    <w:rsid w:val="66E04A8F"/>
    <w:rsid w:val="66E474E7"/>
    <w:rsid w:val="66E7011D"/>
    <w:rsid w:val="66E71979"/>
    <w:rsid w:val="66EC6F90"/>
    <w:rsid w:val="66ED2D08"/>
    <w:rsid w:val="66F26570"/>
    <w:rsid w:val="66F65DDF"/>
    <w:rsid w:val="66F9345B"/>
    <w:rsid w:val="67006F3E"/>
    <w:rsid w:val="67024A05"/>
    <w:rsid w:val="670818F0"/>
    <w:rsid w:val="671D183F"/>
    <w:rsid w:val="671F124A"/>
    <w:rsid w:val="67380427"/>
    <w:rsid w:val="673D77EB"/>
    <w:rsid w:val="67424E02"/>
    <w:rsid w:val="674E7C4A"/>
    <w:rsid w:val="67564D51"/>
    <w:rsid w:val="67566AFF"/>
    <w:rsid w:val="67585B1F"/>
    <w:rsid w:val="6759214B"/>
    <w:rsid w:val="675A65EF"/>
    <w:rsid w:val="675D60DF"/>
    <w:rsid w:val="6761434B"/>
    <w:rsid w:val="67672ABA"/>
    <w:rsid w:val="676A6106"/>
    <w:rsid w:val="676C1AE0"/>
    <w:rsid w:val="67737AD5"/>
    <w:rsid w:val="67784CC7"/>
    <w:rsid w:val="677A33C6"/>
    <w:rsid w:val="677A34AC"/>
    <w:rsid w:val="677B2349"/>
    <w:rsid w:val="67800D6E"/>
    <w:rsid w:val="679C1682"/>
    <w:rsid w:val="67A4786A"/>
    <w:rsid w:val="67A96C2F"/>
    <w:rsid w:val="67B47909"/>
    <w:rsid w:val="67BF3F84"/>
    <w:rsid w:val="67C03F80"/>
    <w:rsid w:val="67CB3465"/>
    <w:rsid w:val="67CE0D8B"/>
    <w:rsid w:val="67D11C12"/>
    <w:rsid w:val="67DB1ABC"/>
    <w:rsid w:val="67F87D29"/>
    <w:rsid w:val="6809299C"/>
    <w:rsid w:val="680E73DA"/>
    <w:rsid w:val="68152516"/>
    <w:rsid w:val="681A7B2C"/>
    <w:rsid w:val="681F6961"/>
    <w:rsid w:val="68224C33"/>
    <w:rsid w:val="68273FF7"/>
    <w:rsid w:val="682816DB"/>
    <w:rsid w:val="68282249"/>
    <w:rsid w:val="68336E40"/>
    <w:rsid w:val="68353357"/>
    <w:rsid w:val="68393962"/>
    <w:rsid w:val="684150B9"/>
    <w:rsid w:val="68424832"/>
    <w:rsid w:val="68466F8B"/>
    <w:rsid w:val="684B23DC"/>
    <w:rsid w:val="6852376A"/>
    <w:rsid w:val="6853303E"/>
    <w:rsid w:val="68535A66"/>
    <w:rsid w:val="685A0027"/>
    <w:rsid w:val="685F3791"/>
    <w:rsid w:val="68610A2F"/>
    <w:rsid w:val="686C626D"/>
    <w:rsid w:val="686F60CA"/>
    <w:rsid w:val="68721717"/>
    <w:rsid w:val="68725BBA"/>
    <w:rsid w:val="687E00BB"/>
    <w:rsid w:val="687F3E33"/>
    <w:rsid w:val="68805514"/>
    <w:rsid w:val="6885769C"/>
    <w:rsid w:val="68866F70"/>
    <w:rsid w:val="689618A9"/>
    <w:rsid w:val="68A85138"/>
    <w:rsid w:val="68AA773C"/>
    <w:rsid w:val="68AD09A1"/>
    <w:rsid w:val="68B06E22"/>
    <w:rsid w:val="68B12FED"/>
    <w:rsid w:val="68BC1DFD"/>
    <w:rsid w:val="68D273BC"/>
    <w:rsid w:val="68D5723F"/>
    <w:rsid w:val="68E72849"/>
    <w:rsid w:val="68E85E1E"/>
    <w:rsid w:val="68ED6FEF"/>
    <w:rsid w:val="68F0517F"/>
    <w:rsid w:val="68FB5BB0"/>
    <w:rsid w:val="69036813"/>
    <w:rsid w:val="690528E1"/>
    <w:rsid w:val="69197DE4"/>
    <w:rsid w:val="691C4FF1"/>
    <w:rsid w:val="69280ED7"/>
    <w:rsid w:val="69316E2F"/>
    <w:rsid w:val="69335C12"/>
    <w:rsid w:val="6942733B"/>
    <w:rsid w:val="694E2071"/>
    <w:rsid w:val="69513A22"/>
    <w:rsid w:val="6953779A"/>
    <w:rsid w:val="695B21AB"/>
    <w:rsid w:val="6971090C"/>
    <w:rsid w:val="697274F4"/>
    <w:rsid w:val="69766163"/>
    <w:rsid w:val="69782D5D"/>
    <w:rsid w:val="69796AD5"/>
    <w:rsid w:val="697A3B33"/>
    <w:rsid w:val="697C05A8"/>
    <w:rsid w:val="6985191D"/>
    <w:rsid w:val="698E5885"/>
    <w:rsid w:val="698F62F8"/>
    <w:rsid w:val="69961435"/>
    <w:rsid w:val="699A5B63"/>
    <w:rsid w:val="699B2EEF"/>
    <w:rsid w:val="69A3298A"/>
    <w:rsid w:val="69AB4E06"/>
    <w:rsid w:val="69B343B3"/>
    <w:rsid w:val="69C32F88"/>
    <w:rsid w:val="69C9474F"/>
    <w:rsid w:val="69D44760"/>
    <w:rsid w:val="69D63F27"/>
    <w:rsid w:val="69D65CD5"/>
    <w:rsid w:val="69DF2DDC"/>
    <w:rsid w:val="69E44896"/>
    <w:rsid w:val="69E55F18"/>
    <w:rsid w:val="69EB1780"/>
    <w:rsid w:val="69F50851"/>
    <w:rsid w:val="69F66377"/>
    <w:rsid w:val="69FC1BE0"/>
    <w:rsid w:val="6A0A114A"/>
    <w:rsid w:val="6A14522C"/>
    <w:rsid w:val="6A154A4F"/>
    <w:rsid w:val="6A1707C7"/>
    <w:rsid w:val="6A1D26C6"/>
    <w:rsid w:val="6A1D2E21"/>
    <w:rsid w:val="6A1D6AD4"/>
    <w:rsid w:val="6A2133F4"/>
    <w:rsid w:val="6A2151A2"/>
    <w:rsid w:val="6A282268"/>
    <w:rsid w:val="6A2C3B47"/>
    <w:rsid w:val="6A3331BC"/>
    <w:rsid w:val="6A3B29CA"/>
    <w:rsid w:val="6A40194C"/>
    <w:rsid w:val="6A4E240E"/>
    <w:rsid w:val="6A4E61B3"/>
    <w:rsid w:val="6A520EC7"/>
    <w:rsid w:val="6A5A51A1"/>
    <w:rsid w:val="6A5A55F9"/>
    <w:rsid w:val="6A6E7B53"/>
    <w:rsid w:val="6A724FB2"/>
    <w:rsid w:val="6A7A2B04"/>
    <w:rsid w:val="6A7C19FC"/>
    <w:rsid w:val="6A860E84"/>
    <w:rsid w:val="6A880126"/>
    <w:rsid w:val="6A9811DC"/>
    <w:rsid w:val="6AAD4C88"/>
    <w:rsid w:val="6AB66C63"/>
    <w:rsid w:val="6ABC311D"/>
    <w:rsid w:val="6ABE49EB"/>
    <w:rsid w:val="6ACD70D8"/>
    <w:rsid w:val="6ADA6221"/>
    <w:rsid w:val="6ADE3093"/>
    <w:rsid w:val="6AE213F9"/>
    <w:rsid w:val="6AF87E20"/>
    <w:rsid w:val="6AFE1987"/>
    <w:rsid w:val="6AFF1033"/>
    <w:rsid w:val="6B030D4C"/>
    <w:rsid w:val="6B1271E1"/>
    <w:rsid w:val="6B146ADA"/>
    <w:rsid w:val="6B194154"/>
    <w:rsid w:val="6B215D18"/>
    <w:rsid w:val="6B2667E8"/>
    <w:rsid w:val="6B2756CD"/>
    <w:rsid w:val="6B2A277C"/>
    <w:rsid w:val="6B322639"/>
    <w:rsid w:val="6B3715F5"/>
    <w:rsid w:val="6B397FE0"/>
    <w:rsid w:val="6B3D24B0"/>
    <w:rsid w:val="6B453112"/>
    <w:rsid w:val="6B4A697B"/>
    <w:rsid w:val="6B4B23F5"/>
    <w:rsid w:val="6B4C5FA2"/>
    <w:rsid w:val="6B4F5D3F"/>
    <w:rsid w:val="6B560E7C"/>
    <w:rsid w:val="6B655563"/>
    <w:rsid w:val="6B6F018F"/>
    <w:rsid w:val="6B723A55"/>
    <w:rsid w:val="6B833C3B"/>
    <w:rsid w:val="6B883128"/>
    <w:rsid w:val="6B916358"/>
    <w:rsid w:val="6B9B2D32"/>
    <w:rsid w:val="6B9D4CFC"/>
    <w:rsid w:val="6BA02A3F"/>
    <w:rsid w:val="6BA31452"/>
    <w:rsid w:val="6BAE4C0B"/>
    <w:rsid w:val="6BB94560"/>
    <w:rsid w:val="6BBB1626"/>
    <w:rsid w:val="6BBF7A9F"/>
    <w:rsid w:val="6BCF4C5B"/>
    <w:rsid w:val="6BD93095"/>
    <w:rsid w:val="6BE0108D"/>
    <w:rsid w:val="6C0134DD"/>
    <w:rsid w:val="6C021003"/>
    <w:rsid w:val="6C0905E4"/>
    <w:rsid w:val="6C111246"/>
    <w:rsid w:val="6C117498"/>
    <w:rsid w:val="6C2076DB"/>
    <w:rsid w:val="6C240F7A"/>
    <w:rsid w:val="6C254022"/>
    <w:rsid w:val="6C292A34"/>
    <w:rsid w:val="6C423AF6"/>
    <w:rsid w:val="6C43195A"/>
    <w:rsid w:val="6C511909"/>
    <w:rsid w:val="6C53360D"/>
    <w:rsid w:val="6C537AB1"/>
    <w:rsid w:val="6C5853BF"/>
    <w:rsid w:val="6C586E75"/>
    <w:rsid w:val="6C5E2D6F"/>
    <w:rsid w:val="6C621AA2"/>
    <w:rsid w:val="6C636C38"/>
    <w:rsid w:val="6C646D57"/>
    <w:rsid w:val="6C6770B8"/>
    <w:rsid w:val="6C6E0A22"/>
    <w:rsid w:val="6C7505DA"/>
    <w:rsid w:val="6C7C2B64"/>
    <w:rsid w:val="6C7C675B"/>
    <w:rsid w:val="6C810784"/>
    <w:rsid w:val="6C821877"/>
    <w:rsid w:val="6C86350C"/>
    <w:rsid w:val="6C8639E2"/>
    <w:rsid w:val="6C880581"/>
    <w:rsid w:val="6C895281"/>
    <w:rsid w:val="6C9E511A"/>
    <w:rsid w:val="6CD434EA"/>
    <w:rsid w:val="6CD71106"/>
    <w:rsid w:val="6CDA788A"/>
    <w:rsid w:val="6CDC560A"/>
    <w:rsid w:val="6CE95D1F"/>
    <w:rsid w:val="6D031404"/>
    <w:rsid w:val="6D0668D1"/>
    <w:rsid w:val="6D0A2952"/>
    <w:rsid w:val="6D0D5EB2"/>
    <w:rsid w:val="6D142D9C"/>
    <w:rsid w:val="6D147915"/>
    <w:rsid w:val="6D170ADE"/>
    <w:rsid w:val="6D17288C"/>
    <w:rsid w:val="6D1A5BDA"/>
    <w:rsid w:val="6D211B33"/>
    <w:rsid w:val="6D317DF2"/>
    <w:rsid w:val="6D3A26DC"/>
    <w:rsid w:val="6D3E606B"/>
    <w:rsid w:val="6D464F20"/>
    <w:rsid w:val="6D527D69"/>
    <w:rsid w:val="6D567859"/>
    <w:rsid w:val="6D5B6DA7"/>
    <w:rsid w:val="6D5E04BB"/>
    <w:rsid w:val="6D6C1E23"/>
    <w:rsid w:val="6D725D15"/>
    <w:rsid w:val="6D7E0B5E"/>
    <w:rsid w:val="6D822F93"/>
    <w:rsid w:val="6D853E80"/>
    <w:rsid w:val="6D8F4B19"/>
    <w:rsid w:val="6D9C39E4"/>
    <w:rsid w:val="6DB34098"/>
    <w:rsid w:val="6DB545B6"/>
    <w:rsid w:val="6DC81A4A"/>
    <w:rsid w:val="6DCF4F15"/>
    <w:rsid w:val="6DDF7C7F"/>
    <w:rsid w:val="6DE02FB4"/>
    <w:rsid w:val="6DE035C6"/>
    <w:rsid w:val="6DEC05EB"/>
    <w:rsid w:val="6DEC3D19"/>
    <w:rsid w:val="6DF350A8"/>
    <w:rsid w:val="6DF40E20"/>
    <w:rsid w:val="6DFF1C9E"/>
    <w:rsid w:val="6E046BEA"/>
    <w:rsid w:val="6E0D007A"/>
    <w:rsid w:val="6E0E17C4"/>
    <w:rsid w:val="6E0E732F"/>
    <w:rsid w:val="6E184B0E"/>
    <w:rsid w:val="6E1A0CB2"/>
    <w:rsid w:val="6E292877"/>
    <w:rsid w:val="6E2A0810"/>
    <w:rsid w:val="6E361438"/>
    <w:rsid w:val="6E3D27C7"/>
    <w:rsid w:val="6E4461BB"/>
    <w:rsid w:val="6E4E6782"/>
    <w:rsid w:val="6E4F0B95"/>
    <w:rsid w:val="6E514CED"/>
    <w:rsid w:val="6E5D0773"/>
    <w:rsid w:val="6E677844"/>
    <w:rsid w:val="6E6A3AD5"/>
    <w:rsid w:val="6E6B2475"/>
    <w:rsid w:val="6E7855AD"/>
    <w:rsid w:val="6E7D0A2A"/>
    <w:rsid w:val="6E8201DA"/>
    <w:rsid w:val="6E836BA0"/>
    <w:rsid w:val="6E893F8C"/>
    <w:rsid w:val="6E8E6B7E"/>
    <w:rsid w:val="6E930639"/>
    <w:rsid w:val="6E9B03C3"/>
    <w:rsid w:val="6EA63EC8"/>
    <w:rsid w:val="6EA77C40"/>
    <w:rsid w:val="6EB563D5"/>
    <w:rsid w:val="6EC151A6"/>
    <w:rsid w:val="6ECD58F9"/>
    <w:rsid w:val="6ECD5D26"/>
    <w:rsid w:val="6ECF78C3"/>
    <w:rsid w:val="6ED22F0F"/>
    <w:rsid w:val="6ED92677"/>
    <w:rsid w:val="6EE129AB"/>
    <w:rsid w:val="6EE42C42"/>
    <w:rsid w:val="6EE93AC5"/>
    <w:rsid w:val="6EED5D73"/>
    <w:rsid w:val="6EEE1C90"/>
    <w:rsid w:val="6EF32E85"/>
    <w:rsid w:val="6EF530A1"/>
    <w:rsid w:val="6EF63681"/>
    <w:rsid w:val="6EFC2D9D"/>
    <w:rsid w:val="6EFC7910"/>
    <w:rsid w:val="6EFE1F56"/>
    <w:rsid w:val="6F0A08FB"/>
    <w:rsid w:val="6F0B2F77"/>
    <w:rsid w:val="6F190B3E"/>
    <w:rsid w:val="6F1F1B1F"/>
    <w:rsid w:val="6F225983"/>
    <w:rsid w:val="6F2F210F"/>
    <w:rsid w:val="6F364B3B"/>
    <w:rsid w:val="6F5778B8"/>
    <w:rsid w:val="6F636421"/>
    <w:rsid w:val="6F721716"/>
    <w:rsid w:val="6F7B7E0B"/>
    <w:rsid w:val="6F8306AD"/>
    <w:rsid w:val="6F841711"/>
    <w:rsid w:val="6F887A72"/>
    <w:rsid w:val="6F8D32DA"/>
    <w:rsid w:val="6F96470D"/>
    <w:rsid w:val="6F9C4C95"/>
    <w:rsid w:val="6FA80114"/>
    <w:rsid w:val="6FAF14A2"/>
    <w:rsid w:val="6FBD3BBF"/>
    <w:rsid w:val="6FD44635"/>
    <w:rsid w:val="6FDF7BFE"/>
    <w:rsid w:val="6FE437FB"/>
    <w:rsid w:val="6FEA4288"/>
    <w:rsid w:val="6FF25160"/>
    <w:rsid w:val="6FFC5590"/>
    <w:rsid w:val="700510C2"/>
    <w:rsid w:val="700E796F"/>
    <w:rsid w:val="701173B3"/>
    <w:rsid w:val="70193C68"/>
    <w:rsid w:val="701C1190"/>
    <w:rsid w:val="701E3F32"/>
    <w:rsid w:val="702A5065"/>
    <w:rsid w:val="703379DD"/>
    <w:rsid w:val="70480FAF"/>
    <w:rsid w:val="70495453"/>
    <w:rsid w:val="70497201"/>
    <w:rsid w:val="705067E1"/>
    <w:rsid w:val="7054785D"/>
    <w:rsid w:val="706B67A1"/>
    <w:rsid w:val="706C5B05"/>
    <w:rsid w:val="706D1DD0"/>
    <w:rsid w:val="706F76F1"/>
    <w:rsid w:val="70735633"/>
    <w:rsid w:val="707F2526"/>
    <w:rsid w:val="708244C1"/>
    <w:rsid w:val="70834BB2"/>
    <w:rsid w:val="70856B87"/>
    <w:rsid w:val="709578E2"/>
    <w:rsid w:val="70974410"/>
    <w:rsid w:val="70C04FE9"/>
    <w:rsid w:val="70C20D61"/>
    <w:rsid w:val="70C251BD"/>
    <w:rsid w:val="70C32074"/>
    <w:rsid w:val="70C8281B"/>
    <w:rsid w:val="70CC2581"/>
    <w:rsid w:val="70D527EE"/>
    <w:rsid w:val="70D80585"/>
    <w:rsid w:val="70E51A2A"/>
    <w:rsid w:val="70ED2282"/>
    <w:rsid w:val="70EE1B56"/>
    <w:rsid w:val="70F03B20"/>
    <w:rsid w:val="70F74EAF"/>
    <w:rsid w:val="710475CC"/>
    <w:rsid w:val="710650F2"/>
    <w:rsid w:val="71143EC4"/>
    <w:rsid w:val="7126794F"/>
    <w:rsid w:val="71453E6C"/>
    <w:rsid w:val="714E35F1"/>
    <w:rsid w:val="715045BF"/>
    <w:rsid w:val="71522CA8"/>
    <w:rsid w:val="715B5300"/>
    <w:rsid w:val="71600CA6"/>
    <w:rsid w:val="71632544"/>
    <w:rsid w:val="7167110B"/>
    <w:rsid w:val="716D33C3"/>
    <w:rsid w:val="716F7240"/>
    <w:rsid w:val="717238AA"/>
    <w:rsid w:val="71733E3F"/>
    <w:rsid w:val="71741FE5"/>
    <w:rsid w:val="71797598"/>
    <w:rsid w:val="717C7162"/>
    <w:rsid w:val="719E17CE"/>
    <w:rsid w:val="71A52B5D"/>
    <w:rsid w:val="71A843FB"/>
    <w:rsid w:val="71B838A2"/>
    <w:rsid w:val="71CD20B4"/>
    <w:rsid w:val="71CD79BE"/>
    <w:rsid w:val="71CF1988"/>
    <w:rsid w:val="71CF5C09"/>
    <w:rsid w:val="71D27F8A"/>
    <w:rsid w:val="71D621DC"/>
    <w:rsid w:val="71DE1BCB"/>
    <w:rsid w:val="71DE7E1D"/>
    <w:rsid w:val="71E463A9"/>
    <w:rsid w:val="71F413EE"/>
    <w:rsid w:val="71FC02A3"/>
    <w:rsid w:val="721004D2"/>
    <w:rsid w:val="72145E3A"/>
    <w:rsid w:val="721750DD"/>
    <w:rsid w:val="721D0945"/>
    <w:rsid w:val="722324E1"/>
    <w:rsid w:val="722515A8"/>
    <w:rsid w:val="722B17DF"/>
    <w:rsid w:val="72330169"/>
    <w:rsid w:val="72427E54"/>
    <w:rsid w:val="72553024"/>
    <w:rsid w:val="726E11A1"/>
    <w:rsid w:val="727D5888"/>
    <w:rsid w:val="727E455F"/>
    <w:rsid w:val="729602F8"/>
    <w:rsid w:val="729C5709"/>
    <w:rsid w:val="72A20473"/>
    <w:rsid w:val="72B34E05"/>
    <w:rsid w:val="72B57D8F"/>
    <w:rsid w:val="72BC22AC"/>
    <w:rsid w:val="72C33577"/>
    <w:rsid w:val="72C74E94"/>
    <w:rsid w:val="72C90136"/>
    <w:rsid w:val="72CB03A1"/>
    <w:rsid w:val="72CD65F4"/>
    <w:rsid w:val="72D37256"/>
    <w:rsid w:val="72DB5A3C"/>
    <w:rsid w:val="72E267B9"/>
    <w:rsid w:val="72F84F0E"/>
    <w:rsid w:val="72FD51BB"/>
    <w:rsid w:val="73011D37"/>
    <w:rsid w:val="73102258"/>
    <w:rsid w:val="73122968"/>
    <w:rsid w:val="73126C49"/>
    <w:rsid w:val="731F5D5E"/>
    <w:rsid w:val="73221F8B"/>
    <w:rsid w:val="732301DD"/>
    <w:rsid w:val="732775A1"/>
    <w:rsid w:val="732D628D"/>
    <w:rsid w:val="73334198"/>
    <w:rsid w:val="73347CB2"/>
    <w:rsid w:val="734575B9"/>
    <w:rsid w:val="735A6D42"/>
    <w:rsid w:val="73685E6F"/>
    <w:rsid w:val="736D1458"/>
    <w:rsid w:val="73751E5F"/>
    <w:rsid w:val="73797DFD"/>
    <w:rsid w:val="738B5D82"/>
    <w:rsid w:val="73A473E5"/>
    <w:rsid w:val="73A806E2"/>
    <w:rsid w:val="73AB3D2F"/>
    <w:rsid w:val="73B07597"/>
    <w:rsid w:val="73B250BD"/>
    <w:rsid w:val="73B72E77"/>
    <w:rsid w:val="73B76B77"/>
    <w:rsid w:val="73BC71F9"/>
    <w:rsid w:val="73C51294"/>
    <w:rsid w:val="73C51AD5"/>
    <w:rsid w:val="73CF4398"/>
    <w:rsid w:val="73D43285"/>
    <w:rsid w:val="73D94CFF"/>
    <w:rsid w:val="73E35E8C"/>
    <w:rsid w:val="73E831D5"/>
    <w:rsid w:val="73EB7AB0"/>
    <w:rsid w:val="73EF6311"/>
    <w:rsid w:val="73F25E01"/>
    <w:rsid w:val="73F676A0"/>
    <w:rsid w:val="73F73418"/>
    <w:rsid w:val="73FC0A2E"/>
    <w:rsid w:val="740A4EF9"/>
    <w:rsid w:val="741E793C"/>
    <w:rsid w:val="74274E08"/>
    <w:rsid w:val="742C1313"/>
    <w:rsid w:val="74341F76"/>
    <w:rsid w:val="744F6DB0"/>
    <w:rsid w:val="74597CAA"/>
    <w:rsid w:val="745E3944"/>
    <w:rsid w:val="745F66ED"/>
    <w:rsid w:val="74670B77"/>
    <w:rsid w:val="746D1C7C"/>
    <w:rsid w:val="747131CA"/>
    <w:rsid w:val="74714A6A"/>
    <w:rsid w:val="74746816"/>
    <w:rsid w:val="74933140"/>
    <w:rsid w:val="74933BDF"/>
    <w:rsid w:val="74AF0F5C"/>
    <w:rsid w:val="74B310ED"/>
    <w:rsid w:val="74BF5CE3"/>
    <w:rsid w:val="74C41C74"/>
    <w:rsid w:val="74C47503"/>
    <w:rsid w:val="74D326E8"/>
    <w:rsid w:val="74D379E1"/>
    <w:rsid w:val="74DC0F51"/>
    <w:rsid w:val="74E74B66"/>
    <w:rsid w:val="74F2006E"/>
    <w:rsid w:val="74F21F2B"/>
    <w:rsid w:val="74F2528E"/>
    <w:rsid w:val="74F45AC7"/>
    <w:rsid w:val="750117DC"/>
    <w:rsid w:val="750C4CA1"/>
    <w:rsid w:val="750D2EF3"/>
    <w:rsid w:val="751D0C5C"/>
    <w:rsid w:val="75221E06"/>
    <w:rsid w:val="75260EE2"/>
    <w:rsid w:val="752C669A"/>
    <w:rsid w:val="752F06C6"/>
    <w:rsid w:val="75363ACC"/>
    <w:rsid w:val="753D12FE"/>
    <w:rsid w:val="75524DAA"/>
    <w:rsid w:val="7557416E"/>
    <w:rsid w:val="755A1EB0"/>
    <w:rsid w:val="755F74C6"/>
    <w:rsid w:val="75631977"/>
    <w:rsid w:val="75673AB5"/>
    <w:rsid w:val="75675898"/>
    <w:rsid w:val="7568355A"/>
    <w:rsid w:val="7568637B"/>
    <w:rsid w:val="756A4F88"/>
    <w:rsid w:val="756B19C7"/>
    <w:rsid w:val="757B3AB0"/>
    <w:rsid w:val="757E0B61"/>
    <w:rsid w:val="759B4699"/>
    <w:rsid w:val="759E0577"/>
    <w:rsid w:val="75A3600B"/>
    <w:rsid w:val="75A66EA3"/>
    <w:rsid w:val="75A66EAD"/>
    <w:rsid w:val="75B710B1"/>
    <w:rsid w:val="75CB4B5C"/>
    <w:rsid w:val="75D92DD5"/>
    <w:rsid w:val="75DD4DDB"/>
    <w:rsid w:val="75DE488F"/>
    <w:rsid w:val="75E553EF"/>
    <w:rsid w:val="75F56BB1"/>
    <w:rsid w:val="75FE0A8D"/>
    <w:rsid w:val="76051B05"/>
    <w:rsid w:val="760D4538"/>
    <w:rsid w:val="760E4E86"/>
    <w:rsid w:val="76121DD9"/>
    <w:rsid w:val="761A519B"/>
    <w:rsid w:val="76333B91"/>
    <w:rsid w:val="7635099D"/>
    <w:rsid w:val="763A62A2"/>
    <w:rsid w:val="764364A0"/>
    <w:rsid w:val="765863F0"/>
    <w:rsid w:val="76595B72"/>
    <w:rsid w:val="7661379C"/>
    <w:rsid w:val="76685F07"/>
    <w:rsid w:val="76695453"/>
    <w:rsid w:val="767C54FB"/>
    <w:rsid w:val="767E1BCE"/>
    <w:rsid w:val="768A40CF"/>
    <w:rsid w:val="768C311F"/>
    <w:rsid w:val="769767EC"/>
    <w:rsid w:val="76A258BD"/>
    <w:rsid w:val="76AC2E78"/>
    <w:rsid w:val="76B54B6D"/>
    <w:rsid w:val="76CA684C"/>
    <w:rsid w:val="76CF41D8"/>
    <w:rsid w:val="76D87530"/>
    <w:rsid w:val="76DB2B7D"/>
    <w:rsid w:val="76E5596D"/>
    <w:rsid w:val="76E9529A"/>
    <w:rsid w:val="76F04B87"/>
    <w:rsid w:val="76F31C74"/>
    <w:rsid w:val="76F75022"/>
    <w:rsid w:val="76FD0D45"/>
    <w:rsid w:val="7702635B"/>
    <w:rsid w:val="770A1532"/>
    <w:rsid w:val="770B3462"/>
    <w:rsid w:val="77161E07"/>
    <w:rsid w:val="77170059"/>
    <w:rsid w:val="77184757"/>
    <w:rsid w:val="771A36A5"/>
    <w:rsid w:val="771F2A69"/>
    <w:rsid w:val="773B361B"/>
    <w:rsid w:val="77435C67"/>
    <w:rsid w:val="77470212"/>
    <w:rsid w:val="77473484"/>
    <w:rsid w:val="77512E3F"/>
    <w:rsid w:val="77530965"/>
    <w:rsid w:val="775766A7"/>
    <w:rsid w:val="775B345C"/>
    <w:rsid w:val="775E51FE"/>
    <w:rsid w:val="776B2153"/>
    <w:rsid w:val="77711C8D"/>
    <w:rsid w:val="77732DB5"/>
    <w:rsid w:val="77754D7F"/>
    <w:rsid w:val="77762421"/>
    <w:rsid w:val="777D6F6E"/>
    <w:rsid w:val="77811976"/>
    <w:rsid w:val="77886F1E"/>
    <w:rsid w:val="778B00FF"/>
    <w:rsid w:val="778B6351"/>
    <w:rsid w:val="778B65B7"/>
    <w:rsid w:val="7790490F"/>
    <w:rsid w:val="77905715"/>
    <w:rsid w:val="779F3BAA"/>
    <w:rsid w:val="77A21080"/>
    <w:rsid w:val="77A45665"/>
    <w:rsid w:val="77B533CE"/>
    <w:rsid w:val="77B56B1F"/>
    <w:rsid w:val="77B77FF7"/>
    <w:rsid w:val="77BC0047"/>
    <w:rsid w:val="77BC475C"/>
    <w:rsid w:val="77BE2401"/>
    <w:rsid w:val="77BF2045"/>
    <w:rsid w:val="77C014F0"/>
    <w:rsid w:val="77C96155"/>
    <w:rsid w:val="77D25D2E"/>
    <w:rsid w:val="77EE068E"/>
    <w:rsid w:val="77F42148"/>
    <w:rsid w:val="77FD490E"/>
    <w:rsid w:val="78090CD5"/>
    <w:rsid w:val="780F09F4"/>
    <w:rsid w:val="780F6F82"/>
    <w:rsid w:val="781107EF"/>
    <w:rsid w:val="78146346"/>
    <w:rsid w:val="78160310"/>
    <w:rsid w:val="781A1483"/>
    <w:rsid w:val="781E5417"/>
    <w:rsid w:val="78252301"/>
    <w:rsid w:val="782B03C9"/>
    <w:rsid w:val="783267CC"/>
    <w:rsid w:val="783A38D3"/>
    <w:rsid w:val="78547F06"/>
    <w:rsid w:val="78576307"/>
    <w:rsid w:val="78680440"/>
    <w:rsid w:val="78687FEA"/>
    <w:rsid w:val="78716419"/>
    <w:rsid w:val="78791EB4"/>
    <w:rsid w:val="787B0EF3"/>
    <w:rsid w:val="78821690"/>
    <w:rsid w:val="788F3C1F"/>
    <w:rsid w:val="789B25C4"/>
    <w:rsid w:val="78A85EB9"/>
    <w:rsid w:val="78A90480"/>
    <w:rsid w:val="78B139A5"/>
    <w:rsid w:val="78BE6326"/>
    <w:rsid w:val="78BF67F5"/>
    <w:rsid w:val="78C80EDF"/>
    <w:rsid w:val="78D12489"/>
    <w:rsid w:val="78D15FE5"/>
    <w:rsid w:val="78D635FC"/>
    <w:rsid w:val="78D75F6F"/>
    <w:rsid w:val="78E21661"/>
    <w:rsid w:val="78ED37C6"/>
    <w:rsid w:val="78F66741"/>
    <w:rsid w:val="78F66793"/>
    <w:rsid w:val="78FD327E"/>
    <w:rsid w:val="78FF6FF6"/>
    <w:rsid w:val="79004B1D"/>
    <w:rsid w:val="7904192A"/>
    <w:rsid w:val="79054684"/>
    <w:rsid w:val="790C1E1B"/>
    <w:rsid w:val="790C526F"/>
    <w:rsid w:val="790E548B"/>
    <w:rsid w:val="79167E9C"/>
    <w:rsid w:val="791D0EE8"/>
    <w:rsid w:val="791F3EE4"/>
    <w:rsid w:val="79215FD8"/>
    <w:rsid w:val="792917D7"/>
    <w:rsid w:val="793A5C62"/>
    <w:rsid w:val="793B5B55"/>
    <w:rsid w:val="79425135"/>
    <w:rsid w:val="794E3ADA"/>
    <w:rsid w:val="795250E7"/>
    <w:rsid w:val="79534C4C"/>
    <w:rsid w:val="795A247F"/>
    <w:rsid w:val="79674B9C"/>
    <w:rsid w:val="797C0647"/>
    <w:rsid w:val="797F1EE5"/>
    <w:rsid w:val="79813AC2"/>
    <w:rsid w:val="79856DD0"/>
    <w:rsid w:val="79870D9A"/>
    <w:rsid w:val="798D1176"/>
    <w:rsid w:val="79944EA2"/>
    <w:rsid w:val="79A27982"/>
    <w:rsid w:val="79A96F62"/>
    <w:rsid w:val="79BD35AF"/>
    <w:rsid w:val="79BE0CC8"/>
    <w:rsid w:val="79C913B2"/>
    <w:rsid w:val="79C93160"/>
    <w:rsid w:val="79CD2C51"/>
    <w:rsid w:val="79D12015"/>
    <w:rsid w:val="79D47B56"/>
    <w:rsid w:val="79D86597"/>
    <w:rsid w:val="79F4253B"/>
    <w:rsid w:val="79F674E2"/>
    <w:rsid w:val="79F906F3"/>
    <w:rsid w:val="79FA02F0"/>
    <w:rsid w:val="7A027ADB"/>
    <w:rsid w:val="7A0C27F9"/>
    <w:rsid w:val="7A11166C"/>
    <w:rsid w:val="7A1150E2"/>
    <w:rsid w:val="7A1545F8"/>
    <w:rsid w:val="7A1C5986"/>
    <w:rsid w:val="7A291E51"/>
    <w:rsid w:val="7A2D7B93"/>
    <w:rsid w:val="7A2E1215"/>
    <w:rsid w:val="7A2F27AB"/>
    <w:rsid w:val="7A3251AA"/>
    <w:rsid w:val="7A364017"/>
    <w:rsid w:val="7A3941D4"/>
    <w:rsid w:val="7A460C55"/>
    <w:rsid w:val="7A4647B1"/>
    <w:rsid w:val="7A4E3666"/>
    <w:rsid w:val="7A5275FA"/>
    <w:rsid w:val="7A58117B"/>
    <w:rsid w:val="7A5A200A"/>
    <w:rsid w:val="7A5D0D6F"/>
    <w:rsid w:val="7A6D41D3"/>
    <w:rsid w:val="7A6F3D08"/>
    <w:rsid w:val="7A717781"/>
    <w:rsid w:val="7A796935"/>
    <w:rsid w:val="7A7E2B36"/>
    <w:rsid w:val="7A7E64DC"/>
    <w:rsid w:val="7A8014A6"/>
    <w:rsid w:val="7A802D36"/>
    <w:rsid w:val="7A811C8D"/>
    <w:rsid w:val="7A8265E1"/>
    <w:rsid w:val="7A85352B"/>
    <w:rsid w:val="7A8A6D94"/>
    <w:rsid w:val="7A8B3BA4"/>
    <w:rsid w:val="7A8F0AEF"/>
    <w:rsid w:val="7A924DAC"/>
    <w:rsid w:val="7A992B33"/>
    <w:rsid w:val="7AA1660B"/>
    <w:rsid w:val="7AA22941"/>
    <w:rsid w:val="7AAC0AB8"/>
    <w:rsid w:val="7AB1712B"/>
    <w:rsid w:val="7AB61937"/>
    <w:rsid w:val="7AB7745D"/>
    <w:rsid w:val="7ABB519F"/>
    <w:rsid w:val="7ABD0F17"/>
    <w:rsid w:val="7AC676A0"/>
    <w:rsid w:val="7AD149C3"/>
    <w:rsid w:val="7AE83ABA"/>
    <w:rsid w:val="7AE94C3B"/>
    <w:rsid w:val="7AEF4E49"/>
    <w:rsid w:val="7AF16E13"/>
    <w:rsid w:val="7B1623D5"/>
    <w:rsid w:val="7B262D6D"/>
    <w:rsid w:val="7B2965AD"/>
    <w:rsid w:val="7B302FF9"/>
    <w:rsid w:val="7B337E59"/>
    <w:rsid w:val="7B3867F0"/>
    <w:rsid w:val="7B4038F6"/>
    <w:rsid w:val="7B474C85"/>
    <w:rsid w:val="7B477C43"/>
    <w:rsid w:val="7B4C76B4"/>
    <w:rsid w:val="7B5D6256"/>
    <w:rsid w:val="7B6128D5"/>
    <w:rsid w:val="7B65510B"/>
    <w:rsid w:val="7B686D42"/>
    <w:rsid w:val="7B6D3E0C"/>
    <w:rsid w:val="7B732DBC"/>
    <w:rsid w:val="7B74154A"/>
    <w:rsid w:val="7B75123F"/>
    <w:rsid w:val="7B7C3653"/>
    <w:rsid w:val="7B7C3FF2"/>
    <w:rsid w:val="7B80290E"/>
    <w:rsid w:val="7B841746"/>
    <w:rsid w:val="7B846902"/>
    <w:rsid w:val="7B871525"/>
    <w:rsid w:val="7B8837EF"/>
    <w:rsid w:val="7B8D6581"/>
    <w:rsid w:val="7B9337D7"/>
    <w:rsid w:val="7B9C1CE2"/>
    <w:rsid w:val="7BA0772C"/>
    <w:rsid w:val="7BA36562"/>
    <w:rsid w:val="7BBE660A"/>
    <w:rsid w:val="7BBF481B"/>
    <w:rsid w:val="7BD61B65"/>
    <w:rsid w:val="7BDC3DDF"/>
    <w:rsid w:val="7BDE0490"/>
    <w:rsid w:val="7BE44282"/>
    <w:rsid w:val="7BEC77A8"/>
    <w:rsid w:val="7BF70459"/>
    <w:rsid w:val="7BFF2E69"/>
    <w:rsid w:val="7C057C10"/>
    <w:rsid w:val="7C0971A1"/>
    <w:rsid w:val="7C0B683D"/>
    <w:rsid w:val="7C0E7550"/>
    <w:rsid w:val="7C183F2B"/>
    <w:rsid w:val="7C1D1542"/>
    <w:rsid w:val="7C256DAB"/>
    <w:rsid w:val="7C2B2981"/>
    <w:rsid w:val="7C43369E"/>
    <w:rsid w:val="7C4674E4"/>
    <w:rsid w:val="7C473969"/>
    <w:rsid w:val="7C480A5D"/>
    <w:rsid w:val="7C4C62DD"/>
    <w:rsid w:val="7C516DA3"/>
    <w:rsid w:val="7C547659"/>
    <w:rsid w:val="7C63789C"/>
    <w:rsid w:val="7C6C5AC7"/>
    <w:rsid w:val="7C75184C"/>
    <w:rsid w:val="7C7C270C"/>
    <w:rsid w:val="7C7E46D6"/>
    <w:rsid w:val="7C8617DD"/>
    <w:rsid w:val="7C99506C"/>
    <w:rsid w:val="7CA37C99"/>
    <w:rsid w:val="7CA83501"/>
    <w:rsid w:val="7CAD4FBB"/>
    <w:rsid w:val="7CB00608"/>
    <w:rsid w:val="7CC3658D"/>
    <w:rsid w:val="7CC6544B"/>
    <w:rsid w:val="7CCB0353"/>
    <w:rsid w:val="7CD2538F"/>
    <w:rsid w:val="7CD504FE"/>
    <w:rsid w:val="7CD603E9"/>
    <w:rsid w:val="7CDD6705"/>
    <w:rsid w:val="7CDE37DD"/>
    <w:rsid w:val="7CE704CD"/>
    <w:rsid w:val="7CED360A"/>
    <w:rsid w:val="7CFE75C5"/>
    <w:rsid w:val="7D0239FF"/>
    <w:rsid w:val="7D0270B5"/>
    <w:rsid w:val="7D056BA5"/>
    <w:rsid w:val="7D080444"/>
    <w:rsid w:val="7D0E7D73"/>
    <w:rsid w:val="7D1110A6"/>
    <w:rsid w:val="7D16032D"/>
    <w:rsid w:val="7D160888"/>
    <w:rsid w:val="7D162B61"/>
    <w:rsid w:val="7D1E0842"/>
    <w:rsid w:val="7D256900"/>
    <w:rsid w:val="7D2D530A"/>
    <w:rsid w:val="7D320E0A"/>
    <w:rsid w:val="7D33176C"/>
    <w:rsid w:val="7D354385"/>
    <w:rsid w:val="7D562F5D"/>
    <w:rsid w:val="7D5E40CD"/>
    <w:rsid w:val="7D64618E"/>
    <w:rsid w:val="7D761851"/>
    <w:rsid w:val="7D7810B5"/>
    <w:rsid w:val="7D7F4845"/>
    <w:rsid w:val="7D873368"/>
    <w:rsid w:val="7D8A0E59"/>
    <w:rsid w:val="7D9341B1"/>
    <w:rsid w:val="7D937D0D"/>
    <w:rsid w:val="7D977C2D"/>
    <w:rsid w:val="7D9A0F6E"/>
    <w:rsid w:val="7DA22D90"/>
    <w:rsid w:val="7DA7080B"/>
    <w:rsid w:val="7DA97531"/>
    <w:rsid w:val="7DB3215D"/>
    <w:rsid w:val="7DC05053"/>
    <w:rsid w:val="7DC51E91"/>
    <w:rsid w:val="7DCD56F2"/>
    <w:rsid w:val="7DDB3462"/>
    <w:rsid w:val="7DF05160"/>
    <w:rsid w:val="7DF52776"/>
    <w:rsid w:val="7DFB5517"/>
    <w:rsid w:val="7E01736D"/>
    <w:rsid w:val="7E09286B"/>
    <w:rsid w:val="7E094473"/>
    <w:rsid w:val="7E1A042F"/>
    <w:rsid w:val="7E21356B"/>
    <w:rsid w:val="7E243FBE"/>
    <w:rsid w:val="7E3E128C"/>
    <w:rsid w:val="7E464D80"/>
    <w:rsid w:val="7E490D14"/>
    <w:rsid w:val="7E492AC2"/>
    <w:rsid w:val="7E573431"/>
    <w:rsid w:val="7E5C0A47"/>
    <w:rsid w:val="7E616773"/>
    <w:rsid w:val="7E617E0B"/>
    <w:rsid w:val="7E6E42D6"/>
    <w:rsid w:val="7E7523DA"/>
    <w:rsid w:val="7E857F9E"/>
    <w:rsid w:val="7E8809BA"/>
    <w:rsid w:val="7E8B4E88"/>
    <w:rsid w:val="7E8F4979"/>
    <w:rsid w:val="7E965AD2"/>
    <w:rsid w:val="7E980994"/>
    <w:rsid w:val="7E981291"/>
    <w:rsid w:val="7E991353"/>
    <w:rsid w:val="7E9D23DF"/>
    <w:rsid w:val="7E9E696A"/>
    <w:rsid w:val="7EB919F5"/>
    <w:rsid w:val="7EB96F29"/>
    <w:rsid w:val="7EC76FB1"/>
    <w:rsid w:val="7ECA2FD7"/>
    <w:rsid w:val="7EDE5696"/>
    <w:rsid w:val="7EE66563"/>
    <w:rsid w:val="7EF26CB5"/>
    <w:rsid w:val="7EF96485"/>
    <w:rsid w:val="7F001CE7"/>
    <w:rsid w:val="7F016EF9"/>
    <w:rsid w:val="7F0215EE"/>
    <w:rsid w:val="7F0C421B"/>
    <w:rsid w:val="7F2D7552"/>
    <w:rsid w:val="7F3217A8"/>
    <w:rsid w:val="7F35208F"/>
    <w:rsid w:val="7F402117"/>
    <w:rsid w:val="7F4212B7"/>
    <w:rsid w:val="7F436F35"/>
    <w:rsid w:val="7F4803D2"/>
    <w:rsid w:val="7F484B27"/>
    <w:rsid w:val="7F5259A6"/>
    <w:rsid w:val="7F5645AF"/>
    <w:rsid w:val="7F5659A9"/>
    <w:rsid w:val="7F68160F"/>
    <w:rsid w:val="7F692467"/>
    <w:rsid w:val="7F7B314F"/>
    <w:rsid w:val="7F8848D0"/>
    <w:rsid w:val="7F930498"/>
    <w:rsid w:val="7F9575B4"/>
    <w:rsid w:val="7F963AE5"/>
    <w:rsid w:val="7F9B4A35"/>
    <w:rsid w:val="7FA1545D"/>
    <w:rsid w:val="7FA53D28"/>
    <w:rsid w:val="7FB421BD"/>
    <w:rsid w:val="7FB87EFF"/>
    <w:rsid w:val="7FBD17F6"/>
    <w:rsid w:val="7FCC0750"/>
    <w:rsid w:val="7FD51366"/>
    <w:rsid w:val="7FDB599C"/>
    <w:rsid w:val="7FE47E50"/>
    <w:rsid w:val="7FE707E4"/>
    <w:rsid w:val="7FE77BB7"/>
    <w:rsid w:val="7FEA60CB"/>
    <w:rsid w:val="7FEE1B73"/>
    <w:rsid w:val="7FF00571"/>
    <w:rsid w:val="7FF151BF"/>
    <w:rsid w:val="7FF40CBE"/>
    <w:rsid w:val="7FF6692D"/>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qFormat="1"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94"/>
    <w:autoRedefine/>
    <w:qFormat/>
    <w:uiPriority w:val="99"/>
    <w:pPr>
      <w:keepNext/>
      <w:numPr>
        <w:ilvl w:val="0"/>
        <w:numId w:val="1"/>
      </w:numPr>
      <w:tabs>
        <w:tab w:val="left" w:pos="420"/>
        <w:tab w:val="clear" w:pos="0"/>
      </w:tabs>
      <w:overflowPunct w:val="0"/>
      <w:snapToGrid w:val="0"/>
      <w:spacing w:line="360" w:lineRule="auto"/>
      <w:ind w:left="0" w:firstLine="0"/>
      <w:outlineLvl w:val="0"/>
    </w:pPr>
    <w:rPr>
      <w:b/>
      <w:bCs/>
      <w:color w:val="000000"/>
      <w:kern w:val="0"/>
      <w:sz w:val="24"/>
      <w:szCs w:val="24"/>
    </w:rPr>
  </w:style>
  <w:style w:type="paragraph" w:styleId="3">
    <w:name w:val="heading 2"/>
    <w:basedOn w:val="1"/>
    <w:next w:val="1"/>
    <w:link w:val="35"/>
    <w:autoRedefine/>
    <w:unhideWhenUsed/>
    <w:qFormat/>
    <w:uiPriority w:val="0"/>
    <w:pPr>
      <w:keepNext/>
      <w:keepLines/>
      <w:numPr>
        <w:ilvl w:val="1"/>
        <w:numId w:val="1"/>
      </w:numPr>
      <w:tabs>
        <w:tab w:val="left" w:pos="420"/>
        <w:tab w:val="clear" w:pos="0"/>
      </w:tabs>
      <w:spacing w:beforeLines="0" w:beforeAutospacing="0" w:afterLines="0" w:afterAutospacing="0" w:line="360" w:lineRule="auto"/>
      <w:outlineLvl w:val="1"/>
    </w:pPr>
    <w:rPr>
      <w:b/>
      <w:bCs/>
      <w:sz w:val="24"/>
    </w:rPr>
  </w:style>
  <w:style w:type="paragraph" w:styleId="4">
    <w:name w:val="heading 3"/>
    <w:basedOn w:val="1"/>
    <w:next w:val="1"/>
    <w:link w:val="45"/>
    <w:autoRedefine/>
    <w:unhideWhenUsed/>
    <w:qFormat/>
    <w:uiPriority w:val="0"/>
    <w:pPr>
      <w:keepNext/>
      <w:keepLines/>
      <w:numPr>
        <w:ilvl w:val="2"/>
        <w:numId w:val="1"/>
      </w:numPr>
      <w:spacing w:beforeLines="0" w:beforeAutospacing="0" w:afterLines="0" w:afterAutospacing="0" w:line="360" w:lineRule="auto"/>
      <w:outlineLvl w:val="2"/>
    </w:pPr>
    <w:rPr>
      <w:b/>
    </w:rPr>
  </w:style>
  <w:style w:type="paragraph" w:styleId="5">
    <w:name w:val="heading 4"/>
    <w:basedOn w:val="1"/>
    <w:next w:val="1"/>
    <w:autoRedefine/>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autoRedefine/>
    <w:unhideWhenUsed/>
    <w:qFormat/>
    <w:uiPriority w:val="0"/>
    <w:pPr>
      <w:keepNext/>
      <w:keepLines/>
      <w:numPr>
        <w:ilvl w:val="4"/>
        <w:numId w:val="2"/>
      </w:numPr>
      <w:ind w:left="0" w:firstLine="1044"/>
      <w:outlineLvl w:val="4"/>
    </w:pPr>
    <w:rPr>
      <w:rFonts w:ascii="Times New Roman" w:hAnsi="Times New Roman" w:eastAsia="宋体"/>
      <w:b/>
      <w:bCs/>
    </w:rPr>
  </w:style>
  <w:style w:type="character" w:default="1" w:styleId="30">
    <w:name w:val="Default Paragraph Font"/>
    <w:autoRedefine/>
    <w:semiHidden/>
    <w:qFormat/>
    <w:uiPriority w:val="0"/>
  </w:style>
  <w:style w:type="table" w:default="1" w:styleId="28">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Normal Indent"/>
    <w:basedOn w:val="1"/>
    <w:autoRedefine/>
    <w:qFormat/>
    <w:uiPriority w:val="0"/>
    <w:pPr>
      <w:keepNext w:val="0"/>
      <w:keepLines w:val="0"/>
      <w:widowControl w:val="0"/>
      <w:suppressLineNumbers w:val="0"/>
      <w:spacing w:before="0" w:beforeAutospacing="0" w:after="0" w:afterAutospacing="0"/>
      <w:ind w:left="0" w:right="0" w:firstLine="420" w:firstLineChars="200"/>
      <w:jc w:val="both"/>
    </w:pPr>
    <w:rPr>
      <w:rFonts w:hint="default" w:ascii="Times New Roman" w:hAnsi="Times New Roman" w:eastAsia="宋体" w:cs="Times New Roman"/>
      <w:kern w:val="2"/>
      <w:sz w:val="21"/>
      <w:szCs w:val="21"/>
      <w:lang w:val="en-US" w:eastAsia="zh-CN" w:bidi="ar"/>
    </w:rPr>
  </w:style>
  <w:style w:type="paragraph" w:styleId="8">
    <w:name w:val="caption"/>
    <w:basedOn w:val="1"/>
    <w:next w:val="1"/>
    <w:qFormat/>
    <w:uiPriority w:val="0"/>
    <w:pPr>
      <w:tabs>
        <w:tab w:val="center" w:pos="10467"/>
        <w:tab w:val="left" w:pos="13095"/>
      </w:tabs>
      <w:spacing w:before="156" w:beforeLines="50"/>
      <w:jc w:val="center"/>
    </w:pPr>
    <w:rPr>
      <w:rFonts w:ascii="Tahoma" w:hAnsi="Tahoma"/>
      <w:b/>
      <w:color w:val="000000"/>
      <w:szCs w:val="21"/>
    </w:rPr>
  </w:style>
  <w:style w:type="paragraph" w:styleId="9">
    <w:name w:val="annotation text"/>
    <w:basedOn w:val="1"/>
    <w:link w:val="46"/>
    <w:autoRedefine/>
    <w:semiHidden/>
    <w:qFormat/>
    <w:uiPriority w:val="0"/>
    <w:pPr>
      <w:jc w:val="left"/>
    </w:pPr>
    <w:rPr>
      <w:kern w:val="0"/>
      <w:sz w:val="24"/>
      <w:szCs w:val="20"/>
    </w:rPr>
  </w:style>
  <w:style w:type="paragraph" w:styleId="10">
    <w:name w:val="Body Text 3"/>
    <w:basedOn w:val="1"/>
    <w:autoRedefine/>
    <w:qFormat/>
    <w:uiPriority w:val="0"/>
    <w:pPr>
      <w:spacing w:after="120" w:line="360" w:lineRule="auto"/>
      <w:ind w:firstLine="200" w:firstLineChars="200"/>
      <w:contextualSpacing/>
    </w:pPr>
    <w:rPr>
      <w:sz w:val="16"/>
      <w:szCs w:val="16"/>
    </w:rPr>
  </w:style>
  <w:style w:type="paragraph" w:styleId="11">
    <w:name w:val="Body Text"/>
    <w:basedOn w:val="1"/>
    <w:next w:val="12"/>
    <w:link w:val="93"/>
    <w:autoRedefine/>
    <w:qFormat/>
    <w:uiPriority w:val="0"/>
    <w:pPr>
      <w:widowControl/>
      <w:snapToGrid w:val="0"/>
      <w:spacing w:before="60" w:after="160" w:line="259" w:lineRule="auto"/>
      <w:ind w:right="113"/>
    </w:pPr>
    <w:rPr>
      <w:kern w:val="0"/>
      <w:sz w:val="18"/>
      <w:szCs w:val="20"/>
    </w:rPr>
  </w:style>
  <w:style w:type="paragraph" w:styleId="12">
    <w:name w:val="Body Text First Indent"/>
    <w:basedOn w:val="11"/>
    <w:next w:val="1"/>
    <w:autoRedefine/>
    <w:qFormat/>
    <w:uiPriority w:val="0"/>
    <w:pPr>
      <w:spacing w:after="120"/>
      <w:ind w:firstLine="420" w:firstLineChars="100"/>
    </w:pPr>
  </w:style>
  <w:style w:type="paragraph" w:styleId="13">
    <w:name w:val="Body Text Indent"/>
    <w:basedOn w:val="1"/>
    <w:link w:val="48"/>
    <w:autoRedefine/>
    <w:qFormat/>
    <w:uiPriority w:val="0"/>
    <w:pPr>
      <w:spacing w:after="120"/>
      <w:ind w:left="420" w:leftChars="200"/>
    </w:pPr>
    <w:rPr>
      <w:kern w:val="0"/>
      <w:sz w:val="24"/>
      <w:szCs w:val="20"/>
    </w:rPr>
  </w:style>
  <w:style w:type="paragraph" w:styleId="14">
    <w:name w:val="toc 3"/>
    <w:basedOn w:val="1"/>
    <w:next w:val="1"/>
    <w:autoRedefine/>
    <w:qFormat/>
    <w:uiPriority w:val="0"/>
    <w:pPr>
      <w:ind w:left="840" w:leftChars="400"/>
    </w:pPr>
  </w:style>
  <w:style w:type="paragraph" w:styleId="15">
    <w:name w:val="Plain Text"/>
    <w:basedOn w:val="1"/>
    <w:next w:val="1"/>
    <w:autoRedefine/>
    <w:qFormat/>
    <w:uiPriority w:val="0"/>
    <w:rPr>
      <w:rFonts w:ascii="宋体" w:hAnsi="Courier New" w:cs="Courier New"/>
      <w:szCs w:val="21"/>
    </w:rPr>
  </w:style>
  <w:style w:type="paragraph" w:styleId="16">
    <w:name w:val="List Bullet 5"/>
    <w:basedOn w:val="1"/>
    <w:qFormat/>
    <w:uiPriority w:val="0"/>
    <w:pPr>
      <w:numPr>
        <w:ilvl w:val="0"/>
        <w:numId w:val="3"/>
      </w:numPr>
    </w:pPr>
  </w:style>
  <w:style w:type="paragraph" w:styleId="17">
    <w:name w:val="Date"/>
    <w:basedOn w:val="1"/>
    <w:next w:val="1"/>
    <w:link w:val="49"/>
    <w:autoRedefine/>
    <w:qFormat/>
    <w:uiPriority w:val="0"/>
    <w:pPr>
      <w:ind w:left="100" w:leftChars="2500"/>
    </w:pPr>
    <w:rPr>
      <w:kern w:val="0"/>
      <w:sz w:val="24"/>
      <w:szCs w:val="20"/>
    </w:rPr>
  </w:style>
  <w:style w:type="paragraph" w:styleId="18">
    <w:name w:val="Body Text Indent 2"/>
    <w:basedOn w:val="1"/>
    <w:autoRedefine/>
    <w:qFormat/>
    <w:uiPriority w:val="0"/>
    <w:pPr>
      <w:spacing w:after="120" w:line="480" w:lineRule="auto"/>
      <w:ind w:left="420" w:leftChars="200" w:firstLine="200" w:firstLineChars="200"/>
      <w:contextualSpacing/>
    </w:pPr>
    <w:rPr>
      <w:sz w:val="24"/>
    </w:rPr>
  </w:style>
  <w:style w:type="paragraph" w:styleId="19">
    <w:name w:val="Balloon Text"/>
    <w:basedOn w:val="1"/>
    <w:link w:val="50"/>
    <w:autoRedefine/>
    <w:semiHidden/>
    <w:qFormat/>
    <w:uiPriority w:val="0"/>
    <w:rPr>
      <w:kern w:val="0"/>
      <w:sz w:val="18"/>
      <w:szCs w:val="20"/>
    </w:rPr>
  </w:style>
  <w:style w:type="paragraph" w:styleId="20">
    <w:name w:val="footer"/>
    <w:basedOn w:val="1"/>
    <w:link w:val="51"/>
    <w:autoRedefine/>
    <w:qFormat/>
    <w:uiPriority w:val="99"/>
    <w:pPr>
      <w:tabs>
        <w:tab w:val="center" w:pos="4153"/>
        <w:tab w:val="right" w:pos="8306"/>
      </w:tabs>
      <w:snapToGrid w:val="0"/>
      <w:jc w:val="left"/>
    </w:pPr>
    <w:rPr>
      <w:kern w:val="0"/>
      <w:sz w:val="18"/>
      <w:szCs w:val="20"/>
    </w:rPr>
  </w:style>
  <w:style w:type="paragraph" w:styleId="21">
    <w:name w:val="header"/>
    <w:basedOn w:val="1"/>
    <w:link w:val="52"/>
    <w:autoRedefine/>
    <w:qFormat/>
    <w:uiPriority w:val="0"/>
    <w:pPr>
      <w:pBdr>
        <w:bottom w:val="single" w:color="auto" w:sz="6" w:space="1"/>
      </w:pBdr>
      <w:tabs>
        <w:tab w:val="center" w:pos="4153"/>
        <w:tab w:val="right" w:pos="8306"/>
      </w:tabs>
      <w:snapToGrid w:val="0"/>
      <w:jc w:val="center"/>
    </w:pPr>
    <w:rPr>
      <w:kern w:val="0"/>
      <w:sz w:val="18"/>
      <w:szCs w:val="20"/>
    </w:rPr>
  </w:style>
  <w:style w:type="paragraph" w:styleId="22">
    <w:name w:val="table of figures"/>
    <w:basedOn w:val="1"/>
    <w:next w:val="1"/>
    <w:autoRedefine/>
    <w:qFormat/>
    <w:uiPriority w:val="0"/>
    <w:pPr>
      <w:numPr>
        <w:ilvl w:val="0"/>
        <w:numId w:val="4"/>
      </w:numPr>
      <w:ind w:left="420" w:firstLine="1044" w:firstLineChars="200"/>
      <w:jc w:val="left"/>
    </w:pPr>
    <w:rPr>
      <w:rFonts w:cs="Times New Roman"/>
      <w:smallCaps/>
      <w:sz w:val="24"/>
      <w:szCs w:val="24"/>
    </w:rPr>
  </w:style>
  <w:style w:type="paragraph" w:styleId="23">
    <w:name w:val="toc 2"/>
    <w:basedOn w:val="1"/>
    <w:next w:val="1"/>
    <w:autoRedefine/>
    <w:qFormat/>
    <w:uiPriority w:val="0"/>
    <w:pPr>
      <w:ind w:left="420" w:leftChars="200"/>
    </w:pPr>
  </w:style>
  <w:style w:type="paragraph" w:styleId="24">
    <w:name w:val="Normal (Web)"/>
    <w:basedOn w:val="1"/>
    <w:link w:val="53"/>
    <w:autoRedefine/>
    <w:qFormat/>
    <w:uiPriority w:val="0"/>
    <w:pPr>
      <w:widowControl/>
      <w:spacing w:before="100" w:beforeAutospacing="1" w:after="100" w:afterAutospacing="1"/>
      <w:jc w:val="left"/>
    </w:pPr>
    <w:rPr>
      <w:rFonts w:ascii="宋体" w:hAnsi="宋体"/>
      <w:kern w:val="0"/>
      <w:sz w:val="24"/>
      <w:szCs w:val="20"/>
    </w:rPr>
  </w:style>
  <w:style w:type="paragraph" w:styleId="25">
    <w:name w:val="Title"/>
    <w:basedOn w:val="1"/>
    <w:next w:val="1"/>
    <w:link w:val="97"/>
    <w:autoRedefine/>
    <w:qFormat/>
    <w:uiPriority w:val="10"/>
    <w:pPr>
      <w:spacing w:before="360" w:after="240" w:line="480" w:lineRule="auto"/>
      <w:ind w:firstLine="200" w:firstLineChars="200"/>
      <w:jc w:val="center"/>
    </w:pPr>
    <w:rPr>
      <w:rFonts w:ascii="Calibri Light" w:hAnsi="Calibri Light" w:eastAsia="黑体"/>
      <w:bCs/>
      <w:sz w:val="36"/>
      <w:szCs w:val="32"/>
    </w:rPr>
  </w:style>
  <w:style w:type="paragraph" w:styleId="26">
    <w:name w:val="annotation subject"/>
    <w:basedOn w:val="9"/>
    <w:next w:val="9"/>
    <w:link w:val="54"/>
    <w:autoRedefine/>
    <w:semiHidden/>
    <w:qFormat/>
    <w:uiPriority w:val="0"/>
    <w:rPr>
      <w:b/>
      <w:sz w:val="24"/>
      <w:szCs w:val="20"/>
    </w:rPr>
  </w:style>
  <w:style w:type="paragraph" w:styleId="27">
    <w:name w:val="Body Text First Indent 2"/>
    <w:basedOn w:val="13"/>
    <w:next w:val="1"/>
    <w:autoRedefine/>
    <w:qFormat/>
    <w:uiPriority w:val="0"/>
    <w:pPr>
      <w:tabs>
        <w:tab w:val="left" w:pos="420"/>
        <w:tab w:val="left" w:pos="870"/>
        <w:tab w:val="left" w:pos="3150"/>
      </w:tabs>
      <w:autoSpaceDE w:val="0"/>
      <w:autoSpaceDN w:val="0"/>
      <w:adjustRightInd w:val="0"/>
      <w:spacing w:beforeLines="25" w:after="0" w:line="336" w:lineRule="auto"/>
      <w:ind w:left="0" w:leftChars="0" w:firstLine="527"/>
      <w:textAlignment w:val="baseline"/>
    </w:pPr>
    <w:rPr>
      <w:rFonts w:ascii="宋体"/>
    </w:rPr>
  </w:style>
  <w:style w:type="table" w:styleId="29">
    <w:name w:val="Table Grid"/>
    <w:basedOn w:val="28"/>
    <w:autoRedefine/>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basedOn w:val="30"/>
    <w:autoRedefine/>
    <w:qFormat/>
    <w:uiPriority w:val="0"/>
    <w:rPr>
      <w:b/>
    </w:rPr>
  </w:style>
  <w:style w:type="character" w:styleId="32">
    <w:name w:val="page number"/>
    <w:basedOn w:val="30"/>
    <w:autoRedefine/>
    <w:qFormat/>
    <w:uiPriority w:val="0"/>
  </w:style>
  <w:style w:type="character" w:styleId="33">
    <w:name w:val="Hyperlink"/>
    <w:basedOn w:val="30"/>
    <w:autoRedefine/>
    <w:qFormat/>
    <w:uiPriority w:val="0"/>
    <w:rPr>
      <w:color w:val="0000FF"/>
      <w:u w:val="single"/>
    </w:rPr>
  </w:style>
  <w:style w:type="character" w:styleId="34">
    <w:name w:val="annotation reference"/>
    <w:autoRedefine/>
    <w:semiHidden/>
    <w:qFormat/>
    <w:uiPriority w:val="0"/>
    <w:rPr>
      <w:sz w:val="21"/>
    </w:rPr>
  </w:style>
  <w:style w:type="character" w:customStyle="1" w:styleId="35">
    <w:name w:val="标题 2 Char"/>
    <w:link w:val="3"/>
    <w:autoRedefine/>
    <w:qFormat/>
    <w:uiPriority w:val="0"/>
    <w:rPr>
      <w:b/>
      <w:bCs/>
      <w:sz w:val="24"/>
    </w:rPr>
  </w:style>
  <w:style w:type="paragraph" w:customStyle="1" w:styleId="36">
    <w:name w:val="表格标题"/>
    <w:basedOn w:val="1"/>
    <w:next w:val="37"/>
    <w:link w:val="38"/>
    <w:autoRedefine/>
    <w:qFormat/>
    <w:uiPriority w:val="0"/>
    <w:pPr>
      <w:keepNext/>
      <w:numPr>
        <w:ilvl w:val="3"/>
        <w:numId w:val="1"/>
      </w:numPr>
      <w:tabs>
        <w:tab w:val="left" w:pos="420"/>
        <w:tab w:val="clear" w:pos="0"/>
      </w:tabs>
      <w:adjustRightInd w:val="0"/>
      <w:snapToGrid w:val="0"/>
      <w:spacing w:line="240" w:lineRule="auto"/>
      <w:jc w:val="center"/>
      <w:outlineLvl w:val="9"/>
    </w:pPr>
    <w:rPr>
      <w:rFonts w:hint="eastAsia"/>
      <w:b/>
      <w:bCs/>
      <w:sz w:val="21"/>
      <w:szCs w:val="21"/>
    </w:rPr>
  </w:style>
  <w:style w:type="paragraph" w:customStyle="1" w:styleId="37">
    <w:name w:val="表格"/>
    <w:basedOn w:val="1"/>
    <w:link w:val="56"/>
    <w:autoRedefine/>
    <w:qFormat/>
    <w:uiPriority w:val="0"/>
    <w:pPr>
      <w:adjustRightInd w:val="0"/>
      <w:snapToGrid w:val="0"/>
      <w:spacing w:line="240" w:lineRule="auto"/>
      <w:jc w:val="center"/>
    </w:pPr>
    <w:rPr>
      <w:kern w:val="0"/>
      <w:sz w:val="21"/>
      <w:szCs w:val="21"/>
    </w:rPr>
  </w:style>
  <w:style w:type="character" w:customStyle="1" w:styleId="38">
    <w:name w:val="表格标题 Char"/>
    <w:link w:val="36"/>
    <w:autoRedefine/>
    <w:qFormat/>
    <w:uiPriority w:val="0"/>
    <w:rPr>
      <w:rFonts w:hint="eastAsia" w:ascii="Times New Roman" w:hAnsi="Times New Roman" w:eastAsia="宋体"/>
      <w:b/>
      <w:bCs/>
      <w:sz w:val="21"/>
      <w:szCs w:val="21"/>
    </w:rPr>
  </w:style>
  <w:style w:type="paragraph" w:customStyle="1" w:styleId="39">
    <w:name w:val="图件标题"/>
    <w:basedOn w:val="1"/>
    <w:next w:val="1"/>
    <w:link w:val="55"/>
    <w:autoRedefine/>
    <w:qFormat/>
    <w:uiPriority w:val="0"/>
    <w:pPr>
      <w:widowControl/>
      <w:numPr>
        <w:ilvl w:val="4"/>
        <w:numId w:val="1"/>
      </w:numPr>
      <w:tabs>
        <w:tab w:val="left" w:pos="420"/>
        <w:tab w:val="clear" w:pos="0"/>
      </w:tabs>
      <w:spacing w:beforeAutospacing="0" w:afterAutospacing="0" w:line="240" w:lineRule="auto"/>
      <w:jc w:val="center"/>
      <w:textAlignment w:val="center"/>
      <w:outlineLvl w:val="0"/>
    </w:pPr>
    <w:rPr>
      <w:rFonts w:hint="eastAsia"/>
      <w:b/>
      <w:bCs/>
      <w:snapToGrid w:val="0"/>
      <w:kern w:val="0"/>
      <w:sz w:val="21"/>
      <w:szCs w:val="21"/>
    </w:rPr>
  </w:style>
  <w:style w:type="character" w:customStyle="1" w:styleId="40">
    <w:name w:val="标题 1 Char"/>
    <w:link w:val="2"/>
    <w:autoRedefine/>
    <w:qFormat/>
    <w:uiPriority w:val="99"/>
    <w:rPr>
      <w:rFonts w:eastAsia="宋体"/>
      <w:b/>
      <w:bCs/>
      <w:color w:val="000000"/>
      <w:kern w:val="0"/>
      <w:sz w:val="24"/>
      <w:szCs w:val="24"/>
    </w:rPr>
  </w:style>
  <w:style w:type="paragraph" w:customStyle="1" w:styleId="41">
    <w:name w:val="xl27"/>
    <w:basedOn w:val="1"/>
    <w:autoRedefine/>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Cambria Math" w:cs="Courier New"/>
      <w:kern w:val="0"/>
      <w:sz w:val="22"/>
      <w:szCs w:val="22"/>
    </w:rPr>
  </w:style>
  <w:style w:type="paragraph" w:customStyle="1" w:styleId="42">
    <w:name w:val="Default"/>
    <w:basedOn w:val="43"/>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43">
    <w:name w:val="纯文本1"/>
    <w:basedOn w:val="1"/>
    <w:autoRedefine/>
    <w:qFormat/>
    <w:uiPriority w:val="0"/>
    <w:pPr>
      <w:widowControl w:val="0"/>
      <w:adjustRightInd w:val="0"/>
      <w:spacing w:line="240" w:lineRule="auto"/>
      <w:ind w:firstLine="0" w:firstLineChars="0"/>
    </w:pPr>
    <w:rPr>
      <w:rFonts w:ascii="宋体" w:hAnsi="Courier New"/>
      <w:kern w:val="2"/>
      <w:sz w:val="21"/>
    </w:rPr>
  </w:style>
  <w:style w:type="paragraph" w:customStyle="1" w:styleId="44">
    <w:name w:val="批注文字1"/>
    <w:qFormat/>
    <w:uiPriority w:val="0"/>
    <w:pPr>
      <w:widowControl w:val="0"/>
    </w:pPr>
    <w:rPr>
      <w:rFonts w:ascii="Times New Roman" w:hAnsi="Times New Roman" w:eastAsia="宋体" w:cs="Times New Roman"/>
      <w:color w:val="000000"/>
      <w:kern w:val="2"/>
      <w:sz w:val="21"/>
      <w:szCs w:val="24"/>
      <w:lang w:val="en-US" w:eastAsia="zh-CN" w:bidi="ar-SA"/>
    </w:rPr>
  </w:style>
  <w:style w:type="character" w:customStyle="1" w:styleId="45">
    <w:name w:val="标题 3 字符"/>
    <w:link w:val="4"/>
    <w:autoRedefine/>
    <w:qFormat/>
    <w:uiPriority w:val="0"/>
    <w:rPr>
      <w:b/>
    </w:rPr>
  </w:style>
  <w:style w:type="character" w:customStyle="1" w:styleId="46">
    <w:name w:val="批注文字 Char"/>
    <w:link w:val="9"/>
    <w:autoRedefine/>
    <w:qFormat/>
    <w:uiPriority w:val="0"/>
    <w:rPr>
      <w:rFonts w:ascii="Times New Roman" w:hAnsi="Times New Roman" w:eastAsia="宋体"/>
      <w:sz w:val="24"/>
    </w:rPr>
  </w:style>
  <w:style w:type="character" w:customStyle="1" w:styleId="47">
    <w:name w:val="正文文本 Char"/>
    <w:link w:val="11"/>
    <w:autoRedefine/>
    <w:qFormat/>
    <w:uiPriority w:val="0"/>
    <w:rPr>
      <w:sz w:val="18"/>
    </w:rPr>
  </w:style>
  <w:style w:type="character" w:customStyle="1" w:styleId="48">
    <w:name w:val="正文文本缩进 Char"/>
    <w:link w:val="13"/>
    <w:autoRedefine/>
    <w:semiHidden/>
    <w:qFormat/>
    <w:uiPriority w:val="0"/>
    <w:rPr>
      <w:rFonts w:ascii="Times New Roman" w:hAnsi="Times New Roman" w:eastAsia="宋体"/>
      <w:sz w:val="24"/>
    </w:rPr>
  </w:style>
  <w:style w:type="character" w:customStyle="1" w:styleId="49">
    <w:name w:val="日期 Char"/>
    <w:link w:val="17"/>
    <w:autoRedefine/>
    <w:qFormat/>
    <w:uiPriority w:val="0"/>
    <w:rPr>
      <w:rFonts w:ascii="Times New Roman" w:hAnsi="Times New Roman" w:eastAsia="宋体"/>
      <w:sz w:val="24"/>
    </w:rPr>
  </w:style>
  <w:style w:type="character" w:customStyle="1" w:styleId="50">
    <w:name w:val="批注框文本 Char"/>
    <w:link w:val="19"/>
    <w:autoRedefine/>
    <w:semiHidden/>
    <w:qFormat/>
    <w:uiPriority w:val="0"/>
    <w:rPr>
      <w:rFonts w:ascii="Times New Roman" w:hAnsi="Times New Roman" w:eastAsia="宋体"/>
      <w:sz w:val="18"/>
    </w:rPr>
  </w:style>
  <w:style w:type="character" w:customStyle="1" w:styleId="51">
    <w:name w:val="页脚 Char"/>
    <w:link w:val="20"/>
    <w:autoRedefine/>
    <w:qFormat/>
    <w:uiPriority w:val="99"/>
    <w:rPr>
      <w:sz w:val="18"/>
    </w:rPr>
  </w:style>
  <w:style w:type="character" w:customStyle="1" w:styleId="52">
    <w:name w:val="页眉 Char"/>
    <w:link w:val="21"/>
    <w:autoRedefine/>
    <w:qFormat/>
    <w:uiPriority w:val="0"/>
    <w:rPr>
      <w:sz w:val="18"/>
    </w:rPr>
  </w:style>
  <w:style w:type="character" w:customStyle="1" w:styleId="53">
    <w:name w:val="普通(网站) Char"/>
    <w:link w:val="24"/>
    <w:autoRedefine/>
    <w:qFormat/>
    <w:uiPriority w:val="0"/>
    <w:rPr>
      <w:rFonts w:ascii="宋体" w:hAnsi="宋体" w:eastAsia="宋体"/>
      <w:sz w:val="24"/>
    </w:rPr>
  </w:style>
  <w:style w:type="character" w:customStyle="1" w:styleId="54">
    <w:name w:val="批注主题 Char"/>
    <w:link w:val="26"/>
    <w:autoRedefine/>
    <w:semiHidden/>
    <w:qFormat/>
    <w:uiPriority w:val="0"/>
    <w:rPr>
      <w:rFonts w:ascii="Times New Roman" w:hAnsi="Times New Roman" w:eastAsia="宋体"/>
      <w:b/>
      <w:kern w:val="2"/>
      <w:sz w:val="24"/>
    </w:rPr>
  </w:style>
  <w:style w:type="character" w:customStyle="1" w:styleId="55">
    <w:name w:val="图件标题 Char"/>
    <w:link w:val="39"/>
    <w:autoRedefine/>
    <w:qFormat/>
    <w:uiPriority w:val="0"/>
    <w:rPr>
      <w:rFonts w:hint="eastAsia"/>
      <w:b/>
      <w:bCs/>
      <w:snapToGrid w:val="0"/>
      <w:kern w:val="0"/>
      <w:sz w:val="21"/>
      <w:szCs w:val="21"/>
    </w:rPr>
  </w:style>
  <w:style w:type="character" w:customStyle="1" w:styleId="56">
    <w:name w:val="表格 Char"/>
    <w:link w:val="37"/>
    <w:autoRedefine/>
    <w:qFormat/>
    <w:uiPriority w:val="0"/>
    <w:rPr>
      <w:rFonts w:ascii="Times New Roman" w:hAnsi="Times New Roman" w:eastAsia="宋体"/>
      <w:sz w:val="21"/>
      <w:szCs w:val="21"/>
    </w:rPr>
  </w:style>
  <w:style w:type="character" w:customStyle="1" w:styleId="57">
    <w:name w:val="页脚 字符"/>
    <w:basedOn w:val="30"/>
    <w:autoRedefine/>
    <w:qFormat/>
    <w:uiPriority w:val="99"/>
  </w:style>
  <w:style w:type="character" w:customStyle="1" w:styleId="58">
    <w:name w:val="日期 字符"/>
    <w:autoRedefine/>
    <w:semiHidden/>
    <w:qFormat/>
    <w:uiPriority w:val="0"/>
    <w:rPr>
      <w:rFonts w:ascii="Times New Roman" w:hAnsi="Times New Roman" w:eastAsia="宋体"/>
      <w:sz w:val="24"/>
    </w:rPr>
  </w:style>
  <w:style w:type="character" w:customStyle="1" w:styleId="59">
    <w:name w:val="批注文字 字符1"/>
    <w:autoRedefine/>
    <w:semiHidden/>
    <w:qFormat/>
    <w:uiPriority w:val="0"/>
    <w:rPr>
      <w:rFonts w:ascii="Times New Roman" w:hAnsi="Times New Roman" w:eastAsia="宋体"/>
      <w:sz w:val="24"/>
    </w:rPr>
  </w:style>
  <w:style w:type="paragraph" w:customStyle="1" w:styleId="60">
    <w:name w:val="普通(网站)2"/>
    <w:basedOn w:val="1"/>
    <w:autoRedefine/>
    <w:qFormat/>
    <w:uiPriority w:val="0"/>
    <w:pPr>
      <w:widowControl/>
      <w:spacing w:before="100" w:beforeAutospacing="1" w:after="100" w:afterAutospacing="1"/>
      <w:jc w:val="left"/>
    </w:pPr>
    <w:rPr>
      <w:rFonts w:ascii="宋体" w:hAnsi="宋体"/>
      <w:sz w:val="24"/>
      <w:szCs w:val="20"/>
    </w:rPr>
  </w:style>
  <w:style w:type="paragraph" w:customStyle="1" w:styleId="61">
    <w:name w:val="表格的格式"/>
    <w:basedOn w:val="1"/>
    <w:autoRedefine/>
    <w:qFormat/>
    <w:uiPriority w:val="0"/>
    <w:pPr>
      <w:jc w:val="center"/>
    </w:pPr>
    <w:rPr>
      <w:kern w:val="0"/>
      <w:sz w:val="20"/>
      <w:szCs w:val="21"/>
    </w:rPr>
  </w:style>
  <w:style w:type="paragraph" w:customStyle="1" w:styleId="62">
    <w:name w:val="Table Paragraph"/>
    <w:basedOn w:val="1"/>
    <w:autoRedefine/>
    <w:qFormat/>
    <w:uiPriority w:val="0"/>
    <w:pPr>
      <w:autoSpaceDE w:val="0"/>
      <w:autoSpaceDN w:val="0"/>
      <w:jc w:val="left"/>
    </w:pPr>
    <w:rPr>
      <w:rFonts w:ascii="宋体" w:hAnsi="宋体" w:cs="宋体"/>
      <w:kern w:val="0"/>
      <w:sz w:val="22"/>
      <w:szCs w:val="22"/>
      <w:lang w:eastAsia="en-US" w:bidi="en-US"/>
    </w:rPr>
  </w:style>
  <w:style w:type="paragraph" w:customStyle="1" w:styleId="63">
    <w:name w:val="正文格式"/>
    <w:basedOn w:val="1"/>
    <w:autoRedefine/>
    <w:qFormat/>
    <w:uiPriority w:val="0"/>
    <w:pPr>
      <w:spacing w:line="360" w:lineRule="auto"/>
      <w:ind w:firstLine="200" w:firstLineChars="200"/>
    </w:pPr>
    <w:rPr>
      <w:sz w:val="24"/>
    </w:rPr>
  </w:style>
  <w:style w:type="paragraph" w:customStyle="1" w:styleId="64">
    <w:name w:val="表格文字"/>
    <w:basedOn w:val="63"/>
    <w:next w:val="1"/>
    <w:autoRedefine/>
    <w:qFormat/>
    <w:uiPriority w:val="0"/>
    <w:pPr>
      <w:adjustRightInd w:val="0"/>
      <w:snapToGrid w:val="0"/>
      <w:jc w:val="center"/>
      <w:textAlignment w:val="center"/>
    </w:pPr>
  </w:style>
  <w:style w:type="paragraph" w:customStyle="1" w:styleId="65">
    <w:name w:val="样式 标题 2H2He + 首行缩进:  0.5 字符"/>
    <w:basedOn w:val="3"/>
    <w:autoRedefine/>
    <w:qFormat/>
    <w:uiPriority w:val="0"/>
    <w:pPr>
      <w:keepNext w:val="0"/>
      <w:keepLines w:val="0"/>
      <w:tabs>
        <w:tab w:val="left" w:pos="0"/>
        <w:tab w:val="left" w:pos="648"/>
        <w:tab w:val="clear" w:pos="420"/>
      </w:tabs>
      <w:overflowPunct w:val="0"/>
      <w:autoSpaceDE w:val="0"/>
      <w:autoSpaceDN w:val="0"/>
      <w:adjustRightInd w:val="0"/>
      <w:spacing w:before="40" w:after="40" w:line="400" w:lineRule="exact"/>
      <w:ind w:firstLine="221" w:firstLineChars="50"/>
      <w:textAlignment w:val="baseline"/>
    </w:pPr>
    <w:rPr>
      <w:rFonts w:ascii="宋体" w:hAnsi="宋体" w:eastAsia="宋体" w:cs="宋体"/>
      <w:bCs w:val="0"/>
      <w:color w:val="000000"/>
      <w:kern w:val="32"/>
      <w:szCs w:val="20"/>
    </w:rPr>
  </w:style>
  <w:style w:type="paragraph" w:customStyle="1" w:styleId="66">
    <w:name w:val="文本正文"/>
    <w:basedOn w:val="1"/>
    <w:autoRedefine/>
    <w:qFormat/>
    <w:uiPriority w:val="0"/>
    <w:pPr>
      <w:spacing w:line="360" w:lineRule="auto"/>
      <w:ind w:firstLine="480" w:firstLineChars="200"/>
    </w:pPr>
    <w:rPr>
      <w:sz w:val="24"/>
    </w:rPr>
  </w:style>
  <w:style w:type="paragraph" w:customStyle="1" w:styleId="67">
    <w:name w:val="表文字"/>
    <w:basedOn w:val="11"/>
    <w:next w:val="1"/>
    <w:autoRedefine/>
    <w:qFormat/>
    <w:uiPriority w:val="0"/>
    <w:pPr>
      <w:overflowPunct w:val="0"/>
      <w:autoSpaceDE w:val="0"/>
      <w:autoSpaceDN w:val="0"/>
      <w:adjustRightInd w:val="0"/>
      <w:jc w:val="center"/>
      <w:textAlignment w:val="baseline"/>
    </w:pPr>
    <w:rPr>
      <w:kern w:val="0"/>
      <w:szCs w:val="21"/>
    </w:rPr>
  </w:style>
  <w:style w:type="paragraph" w:customStyle="1" w:styleId="68">
    <w:name w:val="0正文"/>
    <w:autoRedefine/>
    <w:unhideWhenUsed/>
    <w:qFormat/>
    <w:uiPriority w:val="0"/>
    <w:pPr>
      <w:widowControl w:val="0"/>
      <w:spacing w:line="360" w:lineRule="auto"/>
      <w:ind w:firstLine="720" w:firstLineChars="200"/>
    </w:pPr>
    <w:rPr>
      <w:rFonts w:ascii="Times New Roman" w:hAnsi="Times New Roman" w:eastAsia="宋体" w:cs="Times New Roman"/>
      <w:sz w:val="24"/>
      <w:szCs w:val="22"/>
      <w:lang w:val="en-US" w:eastAsia="zh-CN" w:bidi="ar-SA"/>
    </w:rPr>
  </w:style>
  <w:style w:type="paragraph" w:customStyle="1" w:styleId="69">
    <w:name w:val="WPSOffice手动目录 1"/>
    <w:autoRedefine/>
    <w:qFormat/>
    <w:uiPriority w:val="0"/>
    <w:pPr>
      <w:ind w:leftChars="0"/>
    </w:pPr>
    <w:rPr>
      <w:rFonts w:ascii="Times New Roman" w:hAnsi="Times New Roman" w:eastAsia="宋体" w:cs="Times New Roman"/>
      <w:sz w:val="20"/>
      <w:szCs w:val="20"/>
    </w:rPr>
  </w:style>
  <w:style w:type="paragraph" w:customStyle="1" w:styleId="70">
    <w:name w:val="zh正文"/>
    <w:basedOn w:val="1"/>
    <w:autoRedefine/>
    <w:qFormat/>
    <w:uiPriority w:val="0"/>
    <w:pPr>
      <w:spacing w:line="360" w:lineRule="exact"/>
      <w:ind w:firstLine="560" w:firstLineChars="200"/>
    </w:pPr>
    <w:rPr>
      <w:rFonts w:ascii="宋体" w:hAnsi="宋体"/>
      <w:sz w:val="28"/>
    </w:rPr>
  </w:style>
  <w:style w:type="character" w:customStyle="1" w:styleId="71">
    <w:name w:val="font21"/>
    <w:basedOn w:val="30"/>
    <w:autoRedefine/>
    <w:qFormat/>
    <w:uiPriority w:val="0"/>
    <w:rPr>
      <w:rFonts w:hint="default" w:ascii="Times New Roman" w:hAnsi="Times New Roman" w:cs="Times New Roman"/>
      <w:color w:val="000000"/>
      <w:sz w:val="21"/>
      <w:szCs w:val="21"/>
      <w:u w:val="none"/>
    </w:rPr>
  </w:style>
  <w:style w:type="character" w:customStyle="1" w:styleId="72">
    <w:name w:val="font11"/>
    <w:basedOn w:val="30"/>
    <w:autoRedefine/>
    <w:qFormat/>
    <w:uiPriority w:val="0"/>
    <w:rPr>
      <w:rFonts w:hint="eastAsia" w:ascii="宋体" w:hAnsi="宋体" w:eastAsia="宋体" w:cs="宋体"/>
      <w:color w:val="000000"/>
      <w:sz w:val="21"/>
      <w:szCs w:val="21"/>
      <w:u w:val="none"/>
    </w:rPr>
  </w:style>
  <w:style w:type="character" w:customStyle="1" w:styleId="73">
    <w:name w:val="font31"/>
    <w:basedOn w:val="30"/>
    <w:autoRedefine/>
    <w:qFormat/>
    <w:uiPriority w:val="0"/>
    <w:rPr>
      <w:rFonts w:hint="default" w:ascii="Times New Roman" w:hAnsi="Times New Roman" w:cs="Times New Roman"/>
      <w:color w:val="000000"/>
      <w:sz w:val="21"/>
      <w:szCs w:val="21"/>
      <w:u w:val="none"/>
    </w:rPr>
  </w:style>
  <w:style w:type="character" w:customStyle="1" w:styleId="74">
    <w:name w:val="font41"/>
    <w:basedOn w:val="30"/>
    <w:autoRedefine/>
    <w:qFormat/>
    <w:uiPriority w:val="0"/>
    <w:rPr>
      <w:rFonts w:hint="default" w:ascii="Times New Roman" w:hAnsi="Times New Roman" w:cs="Times New Roman"/>
      <w:color w:val="000000"/>
      <w:sz w:val="21"/>
      <w:szCs w:val="21"/>
      <w:u w:val="none"/>
      <w:vertAlign w:val="superscript"/>
    </w:rPr>
  </w:style>
  <w:style w:type="paragraph" w:styleId="75">
    <w:name w:val="List Paragraph"/>
    <w:basedOn w:val="1"/>
    <w:autoRedefine/>
    <w:qFormat/>
    <w:uiPriority w:val="1"/>
    <w:pPr>
      <w:spacing w:before="158"/>
      <w:ind w:left="1678" w:hanging="602"/>
    </w:pPr>
    <w:rPr>
      <w:rFonts w:ascii="宋体" w:hAnsi="宋体" w:eastAsia="宋体" w:cs="宋体"/>
    </w:rPr>
  </w:style>
  <w:style w:type="character" w:customStyle="1" w:styleId="76">
    <w:name w:val="font01"/>
    <w:basedOn w:val="30"/>
    <w:autoRedefine/>
    <w:qFormat/>
    <w:uiPriority w:val="0"/>
    <w:rPr>
      <w:rFonts w:hint="eastAsia" w:ascii="宋体" w:hAnsi="宋体" w:eastAsia="宋体" w:cs="宋体"/>
      <w:color w:val="000000"/>
      <w:sz w:val="22"/>
      <w:szCs w:val="22"/>
      <w:u w:val="none"/>
    </w:rPr>
  </w:style>
  <w:style w:type="character" w:customStyle="1" w:styleId="77">
    <w:name w:val="font51"/>
    <w:basedOn w:val="30"/>
    <w:autoRedefine/>
    <w:qFormat/>
    <w:uiPriority w:val="0"/>
    <w:rPr>
      <w:rFonts w:hint="default" w:ascii="Times New Roman" w:hAnsi="Times New Roman" w:cs="Times New Roman"/>
      <w:color w:val="000000"/>
      <w:sz w:val="21"/>
      <w:szCs w:val="21"/>
      <w:u w:val="none"/>
      <w:vertAlign w:val="superscript"/>
    </w:rPr>
  </w:style>
  <w:style w:type="table" w:customStyle="1" w:styleId="78">
    <w:name w:val="Table Normal"/>
    <w:autoRedefine/>
    <w:unhideWhenUsed/>
    <w:qFormat/>
    <w:uiPriority w:val="0"/>
    <w:tblPr>
      <w:tblCellMar>
        <w:top w:w="0" w:type="dxa"/>
        <w:left w:w="0" w:type="dxa"/>
        <w:bottom w:w="0" w:type="dxa"/>
        <w:right w:w="0" w:type="dxa"/>
      </w:tblCellMar>
    </w:tblPr>
  </w:style>
  <w:style w:type="paragraph" w:customStyle="1" w:styleId="79">
    <w:name w:val="1表格"/>
    <w:basedOn w:val="1"/>
    <w:autoRedefine/>
    <w:qFormat/>
    <w:uiPriority w:val="0"/>
    <w:pPr>
      <w:widowControl w:val="0"/>
      <w:adjustRightInd w:val="0"/>
      <w:snapToGrid w:val="0"/>
      <w:jc w:val="center"/>
      <w:textAlignment w:val="baseline"/>
    </w:pPr>
    <w:rPr>
      <w:rFonts w:ascii="Times New Roman" w:hAnsi="Times New Roman" w:cs="Times New Roman"/>
      <w:spacing w:val="4"/>
      <w:kern w:val="2"/>
      <w:sz w:val="21"/>
    </w:rPr>
  </w:style>
  <w:style w:type="character" w:customStyle="1" w:styleId="80">
    <w:name w:val="font61"/>
    <w:basedOn w:val="30"/>
    <w:autoRedefine/>
    <w:qFormat/>
    <w:uiPriority w:val="0"/>
    <w:rPr>
      <w:rFonts w:hint="eastAsia" w:ascii="宋体" w:hAnsi="宋体" w:eastAsia="宋体" w:cs="宋体"/>
      <w:color w:val="FF0000"/>
      <w:sz w:val="21"/>
      <w:szCs w:val="21"/>
      <w:u w:val="none"/>
    </w:rPr>
  </w:style>
  <w:style w:type="character" w:customStyle="1" w:styleId="81">
    <w:name w:val="font71"/>
    <w:basedOn w:val="30"/>
    <w:autoRedefine/>
    <w:qFormat/>
    <w:uiPriority w:val="0"/>
    <w:rPr>
      <w:rFonts w:hint="default" w:ascii="Times New Roman" w:hAnsi="Times New Roman" w:cs="Times New Roman"/>
      <w:color w:val="FF0000"/>
      <w:sz w:val="21"/>
      <w:szCs w:val="21"/>
      <w:u w:val="single"/>
      <w:vertAlign w:val="superscript"/>
    </w:rPr>
  </w:style>
  <w:style w:type="paragraph" w:customStyle="1" w:styleId="82">
    <w:name w:val="应急标题2"/>
    <w:basedOn w:val="1"/>
    <w:next w:val="1"/>
    <w:autoRedefine/>
    <w:qFormat/>
    <w:uiPriority w:val="0"/>
    <w:pPr>
      <w:numPr>
        <w:ilvl w:val="1"/>
        <w:numId w:val="5"/>
      </w:numPr>
      <w:ind w:firstLine="0" w:firstLineChars="0"/>
      <w:outlineLvl w:val="0"/>
    </w:pPr>
    <w:rPr>
      <w:b/>
      <w:sz w:val="36"/>
      <w:szCs w:val="36"/>
    </w:rPr>
  </w:style>
  <w:style w:type="paragraph" w:customStyle="1" w:styleId="83">
    <w:name w:val="应急标题3"/>
    <w:basedOn w:val="1"/>
    <w:next w:val="1"/>
    <w:autoRedefine/>
    <w:qFormat/>
    <w:uiPriority w:val="0"/>
    <w:pPr>
      <w:keepNext/>
      <w:keepLines/>
      <w:numPr>
        <w:ilvl w:val="2"/>
        <w:numId w:val="5"/>
      </w:numPr>
      <w:tabs>
        <w:tab w:val="left" w:pos="420"/>
        <w:tab w:val="clear" w:pos="0"/>
      </w:tabs>
      <w:ind w:firstLine="0" w:firstLineChars="0"/>
      <w:outlineLvl w:val="1"/>
    </w:pPr>
    <w:rPr>
      <w:rFonts w:cs="Times New Roman"/>
      <w:b/>
      <w:bCs/>
      <w:sz w:val="30"/>
      <w:szCs w:val="30"/>
    </w:rPr>
  </w:style>
  <w:style w:type="paragraph" w:customStyle="1" w:styleId="84">
    <w:name w:val="应急图件标题"/>
    <w:basedOn w:val="1"/>
    <w:autoRedefine/>
    <w:qFormat/>
    <w:uiPriority w:val="0"/>
    <w:pPr>
      <w:numPr>
        <w:ilvl w:val="6"/>
        <w:numId w:val="5"/>
      </w:numPr>
      <w:tabs>
        <w:tab w:val="left" w:pos="420"/>
        <w:tab w:val="clear" w:pos="0"/>
      </w:tabs>
      <w:spacing w:after="100" w:afterLines="100" w:line="240" w:lineRule="auto"/>
      <w:ind w:firstLine="0" w:firstLineChars="0"/>
      <w:jc w:val="center"/>
    </w:pPr>
    <w:rPr>
      <w:b/>
      <w:bCs/>
      <w:sz w:val="21"/>
      <w:szCs w:val="21"/>
    </w:rPr>
  </w:style>
  <w:style w:type="paragraph" w:customStyle="1" w:styleId="85">
    <w:name w:val="应急表格标题"/>
    <w:basedOn w:val="1"/>
    <w:next w:val="86"/>
    <w:autoRedefine/>
    <w:qFormat/>
    <w:uiPriority w:val="0"/>
    <w:pPr>
      <w:numPr>
        <w:ilvl w:val="5"/>
        <w:numId w:val="5"/>
      </w:numPr>
      <w:spacing w:line="240" w:lineRule="auto"/>
      <w:ind w:firstLine="0" w:firstLineChars="0"/>
      <w:jc w:val="center"/>
    </w:pPr>
    <w:rPr>
      <w:b/>
      <w:bCs/>
      <w:sz w:val="21"/>
      <w:szCs w:val="21"/>
    </w:rPr>
  </w:style>
  <w:style w:type="paragraph" w:customStyle="1" w:styleId="86">
    <w:name w:val="表格内容"/>
    <w:basedOn w:val="1"/>
    <w:autoRedefine/>
    <w:qFormat/>
    <w:uiPriority w:val="0"/>
    <w:pPr>
      <w:spacing w:line="240" w:lineRule="auto"/>
      <w:ind w:firstLine="0" w:firstLineChars="0"/>
      <w:jc w:val="center"/>
    </w:pPr>
    <w:rPr>
      <w:sz w:val="21"/>
    </w:rPr>
  </w:style>
  <w:style w:type="paragraph" w:customStyle="1" w:styleId="87">
    <w:name w:val="应急标题4"/>
    <w:basedOn w:val="1"/>
    <w:next w:val="1"/>
    <w:autoRedefine/>
    <w:qFormat/>
    <w:uiPriority w:val="0"/>
    <w:pPr>
      <w:numPr>
        <w:ilvl w:val="3"/>
        <w:numId w:val="5"/>
      </w:numPr>
      <w:ind w:firstLine="0" w:firstLineChars="0"/>
      <w:outlineLvl w:val="2"/>
    </w:pPr>
    <w:rPr>
      <w:rFonts w:hint="eastAsia" w:cs="Times New Roman"/>
      <w:b/>
      <w:bCs/>
      <w:sz w:val="28"/>
      <w:szCs w:val="28"/>
    </w:rPr>
  </w:style>
  <w:style w:type="character" w:customStyle="1" w:styleId="88">
    <w:name w:val="font91"/>
    <w:basedOn w:val="30"/>
    <w:autoRedefine/>
    <w:qFormat/>
    <w:uiPriority w:val="0"/>
    <w:rPr>
      <w:rFonts w:hint="default" w:ascii="Times New Roman" w:hAnsi="Times New Roman" w:cs="Times New Roman"/>
      <w:b/>
      <w:bCs/>
      <w:color w:val="000000"/>
      <w:sz w:val="21"/>
      <w:szCs w:val="21"/>
      <w:u w:val="none"/>
    </w:rPr>
  </w:style>
  <w:style w:type="paragraph" w:customStyle="1" w:styleId="89">
    <w:name w:val="样式 宋体 四号2"/>
    <w:basedOn w:val="1"/>
    <w:autoRedefine/>
    <w:qFormat/>
    <w:uiPriority w:val="0"/>
    <w:pPr>
      <w:keepNext w:val="0"/>
      <w:keepLines w:val="0"/>
      <w:widowControl w:val="0"/>
      <w:suppressLineNumbers w:val="0"/>
      <w:spacing w:before="0" w:beforeAutospacing="0" w:after="0" w:afterAutospacing="0" w:line="360" w:lineRule="auto"/>
      <w:ind w:left="0" w:right="0" w:firstLine="192" w:firstLineChars="192"/>
      <w:jc w:val="both"/>
    </w:pPr>
    <w:rPr>
      <w:rFonts w:hint="eastAsia" w:ascii="宋体" w:hAnsi="Calibri" w:eastAsia="宋体" w:cs="宋体"/>
      <w:kern w:val="2"/>
      <w:sz w:val="24"/>
      <w:szCs w:val="24"/>
      <w:lang w:val="en-US" w:eastAsia="zh-CN" w:bidi="ar"/>
    </w:rPr>
  </w:style>
  <w:style w:type="character" w:customStyle="1" w:styleId="90">
    <w:name w:val="font81"/>
    <w:basedOn w:val="30"/>
    <w:autoRedefine/>
    <w:qFormat/>
    <w:uiPriority w:val="0"/>
    <w:rPr>
      <w:rFonts w:ascii="Arial" w:hAnsi="Arial" w:cs="Arial"/>
      <w:color w:val="000000"/>
      <w:sz w:val="7"/>
      <w:szCs w:val="7"/>
      <w:u w:val="none"/>
    </w:rPr>
  </w:style>
  <w:style w:type="character" w:customStyle="1" w:styleId="91">
    <w:name w:val="font101"/>
    <w:basedOn w:val="30"/>
    <w:autoRedefine/>
    <w:qFormat/>
    <w:uiPriority w:val="0"/>
    <w:rPr>
      <w:rFonts w:hint="default" w:ascii="Arial" w:hAnsi="Arial" w:cs="Arial"/>
      <w:color w:val="000000"/>
      <w:sz w:val="12"/>
      <w:szCs w:val="12"/>
      <w:u w:val="none"/>
    </w:rPr>
  </w:style>
  <w:style w:type="character" w:customStyle="1" w:styleId="92">
    <w:name w:val="font112"/>
    <w:basedOn w:val="30"/>
    <w:autoRedefine/>
    <w:qFormat/>
    <w:uiPriority w:val="0"/>
    <w:rPr>
      <w:rFonts w:hint="default" w:ascii="Arial" w:hAnsi="Arial" w:cs="Arial"/>
      <w:color w:val="000000"/>
      <w:sz w:val="10"/>
      <w:szCs w:val="10"/>
      <w:u w:val="none"/>
    </w:rPr>
  </w:style>
  <w:style w:type="character" w:customStyle="1" w:styleId="93">
    <w:name w:val="正文文本 字符"/>
    <w:basedOn w:val="30"/>
    <w:link w:val="11"/>
    <w:autoRedefine/>
    <w:qFormat/>
    <w:uiPriority w:val="0"/>
    <w:rPr>
      <w:sz w:val="18"/>
    </w:rPr>
  </w:style>
  <w:style w:type="character" w:customStyle="1" w:styleId="94">
    <w:name w:val="标题 1 字符"/>
    <w:basedOn w:val="30"/>
    <w:link w:val="2"/>
    <w:autoRedefine/>
    <w:qFormat/>
    <w:uiPriority w:val="0"/>
    <w:rPr>
      <w:rFonts w:ascii="等线 Light" w:hAnsi="等线 Light" w:eastAsia="等线 Light" w:cs="Times New Roman"/>
      <w:color w:val="0F4761"/>
      <w:kern w:val="2"/>
      <w:sz w:val="48"/>
      <w:szCs w:val="48"/>
    </w:rPr>
  </w:style>
  <w:style w:type="paragraph" w:customStyle="1" w:styleId="95">
    <w:name w:val="表格-易恒"/>
    <w:basedOn w:val="11"/>
    <w:autoRedefine/>
    <w:qFormat/>
    <w:uiPriority w:val="0"/>
    <w:pPr>
      <w:keepNext w:val="0"/>
      <w:keepLines w:val="0"/>
      <w:widowControl/>
      <w:suppressLineNumbers w:val="0"/>
      <w:snapToGrid w:val="0"/>
      <w:spacing w:before="60" w:beforeAutospacing="0" w:after="0" w:afterAutospacing="0"/>
      <w:ind w:left="0" w:right="113"/>
      <w:jc w:val="center"/>
    </w:pPr>
    <w:rPr>
      <w:rFonts w:hint="default" w:ascii="Times New Roman" w:hAnsi="Times New Roman" w:eastAsia="宋体" w:cs="Times New Roman"/>
      <w:kern w:val="0"/>
      <w:sz w:val="21"/>
      <w:szCs w:val="21"/>
      <w:lang w:val="en-US" w:eastAsia="zh-CN" w:bidi="ar"/>
    </w:rPr>
  </w:style>
  <w:style w:type="paragraph" w:customStyle="1" w:styleId="96">
    <w:name w:val="样式 样式 样式 小四 首行缩进:  2.25 字符 + 首行缩进:  2.25 字符 + 首行缩进:  2 字符"/>
    <w:basedOn w:val="1"/>
    <w:autoRedefine/>
    <w:qFormat/>
    <w:uiPriority w:val="0"/>
    <w:pPr>
      <w:keepNext w:val="0"/>
      <w:keepLines w:val="0"/>
      <w:widowControl w:val="0"/>
      <w:suppressLineNumbers w:val="0"/>
      <w:spacing w:before="0" w:beforeAutospacing="0" w:after="0" w:afterAutospacing="0" w:line="440" w:lineRule="exact"/>
      <w:ind w:left="0" w:right="0"/>
      <w:jc w:val="both"/>
    </w:pPr>
    <w:rPr>
      <w:rFonts w:hint="default" w:ascii="Times New Roman" w:hAnsi="Times New Roman" w:eastAsia="宋体" w:cs="Times New Roman"/>
      <w:kern w:val="2"/>
      <w:sz w:val="21"/>
      <w:szCs w:val="24"/>
      <w:lang w:val="en-US" w:eastAsia="zh-CN" w:bidi="ar"/>
    </w:rPr>
  </w:style>
  <w:style w:type="character" w:customStyle="1" w:styleId="97">
    <w:name w:val="标题 字符"/>
    <w:basedOn w:val="30"/>
    <w:link w:val="25"/>
    <w:autoRedefine/>
    <w:qFormat/>
    <w:uiPriority w:val="0"/>
    <w:rPr>
      <w:rFonts w:hint="eastAsia" w:ascii="等线 Light" w:hAnsi="等线 Light" w:eastAsia="等线 Light" w:cs="Times New Roman"/>
      <w:spacing w:val="-10"/>
      <w:kern w:val="28"/>
      <w:sz w:val="56"/>
      <w:szCs w:val="56"/>
    </w:rPr>
  </w:style>
  <w:style w:type="paragraph" w:customStyle="1" w:styleId="98">
    <w:name w:val="缩进"/>
    <w:basedOn w:val="1"/>
    <w:autoRedefine/>
    <w:qFormat/>
    <w:uiPriority w:val="0"/>
    <w:pPr>
      <w:keepNext w:val="0"/>
      <w:keepLines w:val="0"/>
      <w:widowControl/>
      <w:suppressLineNumbers w:val="0"/>
      <w:autoSpaceDE w:val="0"/>
      <w:autoSpaceDN w:val="0"/>
      <w:adjustRightInd w:val="0"/>
      <w:spacing w:before="0" w:beforeAutospacing="0" w:after="0" w:afterAutospacing="0" w:line="400" w:lineRule="atLeast"/>
      <w:ind w:left="0" w:right="0" w:firstLine="425"/>
      <w:jc w:val="left"/>
    </w:pPr>
    <w:rPr>
      <w:rFonts w:hint="default" w:ascii="Times New Roman" w:hAnsi="Times New Roman" w:eastAsia="宋体" w:cs="Times New Roman"/>
      <w:color w:val="000000"/>
      <w:kern w:val="2"/>
      <w:sz w:val="21"/>
      <w:szCs w:val="18"/>
      <w:lang w:val="en-US" w:eastAsia="zh-CN" w:bidi="ar"/>
    </w:rPr>
  </w:style>
  <w:style w:type="paragraph" w:customStyle="1" w:styleId="99">
    <w:name w:val="填表内容"/>
    <w:basedOn w:val="1"/>
    <w:autoRedefine/>
    <w:qFormat/>
    <w:uiPriority w:val="0"/>
    <w:pPr>
      <w:keepNext w:val="0"/>
      <w:keepLines w:val="0"/>
      <w:widowControl w:val="0"/>
      <w:suppressLineNumbers w:val="0"/>
      <w:adjustRightInd w:val="0"/>
      <w:spacing w:before="0" w:beforeAutospacing="0" w:after="0" w:afterAutospacing="0" w:line="480" w:lineRule="exact"/>
      <w:ind w:left="0" w:right="0" w:firstLine="560" w:firstLineChars="200"/>
      <w:jc w:val="both"/>
    </w:pPr>
    <w:rPr>
      <w:rFonts w:hint="eastAsia" w:ascii="楷体_GB2312" w:hAnsi="Times New Roman" w:eastAsia="楷体_GB2312" w:cs="Times New Roman"/>
      <w:kern w:val="2"/>
      <w:sz w:val="28"/>
      <w:szCs w:val="20"/>
      <w:lang w:val="en-US" w:eastAsia="zh-CN" w:bidi="ar"/>
    </w:rPr>
  </w:style>
  <w:style w:type="paragraph" w:customStyle="1" w:styleId="100">
    <w:name w:val="样式9"/>
    <w:basedOn w:val="1"/>
    <w:autoRedefine/>
    <w:qFormat/>
    <w:uiPriority w:val="0"/>
    <w:pPr>
      <w:adjustRightInd w:val="0"/>
      <w:snapToGrid w:val="0"/>
      <w:spacing w:line="460" w:lineRule="exact"/>
      <w:ind w:firstLine="520" w:firstLineChars="200"/>
    </w:pPr>
    <w:rPr>
      <w:sz w:val="26"/>
      <w:szCs w:val="26"/>
    </w:rPr>
  </w:style>
  <w:style w:type="character" w:customStyle="1" w:styleId="101">
    <w:name w:val="font132"/>
    <w:basedOn w:val="30"/>
    <w:autoRedefine/>
    <w:qFormat/>
    <w:uiPriority w:val="0"/>
    <w:rPr>
      <w:rFonts w:hint="default" w:ascii="Times New Roman" w:hAnsi="Times New Roman" w:cs="Times New Roman"/>
      <w:b/>
      <w:bCs/>
      <w:color w:val="000000"/>
      <w:sz w:val="18"/>
      <w:szCs w:val="18"/>
      <w:u w:val="none"/>
    </w:rPr>
  </w:style>
  <w:style w:type="paragraph" w:customStyle="1" w:styleId="102">
    <w:name w:val="报告正文"/>
    <w:basedOn w:val="1"/>
    <w:qFormat/>
    <w:uiPriority w:val="0"/>
    <w:pPr>
      <w:spacing w:line="360" w:lineRule="auto"/>
      <w:ind w:firstLine="200" w:firstLineChars="200"/>
    </w:pPr>
    <w:rPr>
      <w:rFonts w:ascii="Times New Roman" w:hAnsi="Times New Roman"/>
      <w:sz w:val="24"/>
    </w:rPr>
  </w:style>
  <w:style w:type="paragraph" w:customStyle="1" w:styleId="103">
    <w:name w:val="表头-易恒"/>
    <w:basedOn w:val="104"/>
    <w:next w:val="104"/>
    <w:qFormat/>
    <w:uiPriority w:val="0"/>
    <w:pPr>
      <w:spacing w:line="240" w:lineRule="auto"/>
      <w:ind w:firstLine="0" w:firstLineChars="0"/>
      <w:jc w:val="center"/>
    </w:pPr>
    <w:rPr>
      <w:b/>
    </w:rPr>
  </w:style>
  <w:style w:type="paragraph" w:customStyle="1" w:styleId="104">
    <w:name w:val="正文-易恒"/>
    <w:basedOn w:val="1"/>
    <w:qFormat/>
    <w:uiPriority w:val="0"/>
    <w:pPr>
      <w:spacing w:line="360" w:lineRule="auto"/>
      <w:ind w:firstLine="200" w:firstLineChars="200"/>
    </w:pPr>
    <w:rPr>
      <w:sz w:val="24"/>
    </w:rPr>
  </w:style>
  <w:style w:type="paragraph" w:customStyle="1" w:styleId="105">
    <w:name w:val="表格1-易恒"/>
    <w:basedOn w:val="104"/>
    <w:qFormat/>
    <w:uiPriority w:val="0"/>
    <w:pPr>
      <w:spacing w:line="240" w:lineRule="auto"/>
      <w:ind w:firstLine="0" w:firstLineChars="0"/>
      <w:jc w:val="center"/>
    </w:pPr>
    <w:rPr>
      <w:sz w:val="21"/>
    </w:rPr>
  </w:style>
  <w:style w:type="paragraph" w:customStyle="1" w:styleId="106">
    <w:name w:val="样式 10 磅"/>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07">
    <w:name w:val="标题 2 字符"/>
    <w:qFormat/>
    <w:uiPriority w:val="99"/>
    <w:rPr>
      <w:rFonts w:hint="default" w:ascii="Times New Roman" w:hAnsi="Times New Roman" w:eastAsia="黑体" w:cs="Times New Roman"/>
      <w:b/>
      <w:bCs/>
      <w:sz w:val="28"/>
      <w:szCs w:val="32"/>
    </w:rPr>
  </w:style>
  <w:style w:type="paragraph" w:customStyle="1" w:styleId="108">
    <w:name w:val="正文修改"/>
    <w:basedOn w:val="1"/>
    <w:qFormat/>
    <w:uiPriority w:val="0"/>
    <w:pPr>
      <w:spacing w:line="360" w:lineRule="auto"/>
      <w:ind w:firstLine="200" w:firstLineChars="200"/>
    </w:pPr>
    <w:rPr>
      <w:rFonts w:ascii="宋体" w:hAnsi="宋体"/>
      <w:kern w:val="0"/>
      <w:sz w:val="24"/>
      <w:szCs w:val="20"/>
    </w:rPr>
  </w:style>
  <w:style w:type="paragraph" w:customStyle="1" w:styleId="109">
    <w:name w:val="图表标题"/>
    <w:basedOn w:val="1"/>
    <w:next w:val="1"/>
    <w:qFormat/>
    <w:uiPriority w:val="0"/>
    <w:pPr>
      <w:widowControl/>
      <w:jc w:val="center"/>
    </w:pPr>
    <w:rPr>
      <w:rFonts w:ascii="Arial" w:hAnsi="Arial" w:eastAsia="仿宋_GB2312"/>
      <w:color w:val="000000"/>
      <w:sz w:val="28"/>
      <w:szCs w:val="28"/>
    </w:rPr>
  </w:style>
  <w:style w:type="paragraph" w:customStyle="1" w:styleId="110">
    <w:name w:val="D表内1磅"/>
    <w:basedOn w:val="1"/>
    <w:qFormat/>
    <w:uiPriority w:val="0"/>
    <w:pPr>
      <w:spacing w:before="20" w:after="20"/>
      <w:jc w:val="center"/>
    </w:pPr>
    <w:rPr>
      <w:szCs w:val="21"/>
    </w:rPr>
  </w:style>
  <w:style w:type="paragraph" w:customStyle="1" w:styleId="111">
    <w:name w:val="表头2"/>
    <w:basedOn w:val="1"/>
    <w:qFormat/>
    <w:uiPriority w:val="0"/>
    <w:pPr>
      <w:spacing w:beforeLines="50" w:afterLines="50"/>
      <w:jc w:val="center"/>
    </w:pPr>
    <w:rPr>
      <w:b/>
      <w:bCs/>
      <w:kern w:val="0"/>
      <w:sz w:val="20"/>
      <w:szCs w:val="21"/>
    </w:rPr>
  </w:style>
  <w:style w:type="character" w:customStyle="1" w:styleId="112">
    <w:name w:val="font141"/>
    <w:basedOn w:val="30"/>
    <w:qFormat/>
    <w:uiPriority w:val="0"/>
    <w:rPr>
      <w:rFonts w:hint="default" w:ascii="Times New Roman" w:hAnsi="Times New Roman" w:cs="Times New Roman"/>
      <w:b/>
      <w:bCs/>
      <w:color w:val="000000"/>
      <w:sz w:val="18"/>
      <w:szCs w:val="18"/>
      <w:u w:val="none"/>
    </w:rPr>
  </w:style>
  <w:style w:type="character" w:customStyle="1" w:styleId="113">
    <w:name w:val="font221"/>
    <w:basedOn w:val="30"/>
    <w:qFormat/>
    <w:uiPriority w:val="0"/>
    <w:rPr>
      <w:rFonts w:hint="default" w:ascii="Times New Roman" w:hAnsi="Times New Roman" w:cs="Times New Roman"/>
      <w:b/>
      <w:bCs/>
      <w:color w:val="000000"/>
      <w:sz w:val="18"/>
      <w:szCs w:val="18"/>
      <w:u w:val="none"/>
    </w:rPr>
  </w:style>
  <w:style w:type="character" w:customStyle="1" w:styleId="114">
    <w:name w:val="font131"/>
    <w:basedOn w:val="30"/>
    <w:qFormat/>
    <w:uiPriority w:val="0"/>
    <w:rPr>
      <w:rFonts w:hint="default" w:ascii="Times New Roman" w:hAnsi="Times New Roman" w:cs="Times New Roman"/>
      <w:b/>
      <w:bCs/>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18.wmf"/><Relationship Id="rId4" Type="http://schemas.openxmlformats.org/officeDocument/2006/relationships/endnotes" Target="endnotes.xml"/><Relationship Id="rId39" Type="http://schemas.openxmlformats.org/officeDocument/2006/relationships/oleObject" Target="embeddings/oleObject8.bin"/><Relationship Id="rId38" Type="http://schemas.openxmlformats.org/officeDocument/2006/relationships/image" Target="media/image17.png"/><Relationship Id="rId37" Type="http://schemas.openxmlformats.org/officeDocument/2006/relationships/image" Target="media/image16.png"/><Relationship Id="rId36" Type="http://schemas.openxmlformats.org/officeDocument/2006/relationships/image" Target="media/image15.png"/><Relationship Id="rId35" Type="http://schemas.openxmlformats.org/officeDocument/2006/relationships/image" Target="media/image14.wmf"/><Relationship Id="rId34" Type="http://schemas.openxmlformats.org/officeDocument/2006/relationships/oleObject" Target="embeddings/oleObject7.bin"/><Relationship Id="rId33" Type="http://schemas.openxmlformats.org/officeDocument/2006/relationships/image" Target="media/image13.wmf"/><Relationship Id="rId32" Type="http://schemas.openxmlformats.org/officeDocument/2006/relationships/oleObject" Target="embeddings/oleObject6.bin"/><Relationship Id="rId31" Type="http://schemas.openxmlformats.org/officeDocument/2006/relationships/image" Target="media/image12.jpeg"/><Relationship Id="rId30" Type="http://schemas.openxmlformats.org/officeDocument/2006/relationships/image" Target="media/image11.emf"/><Relationship Id="rId3" Type="http://schemas.openxmlformats.org/officeDocument/2006/relationships/footnotes" Target="footnotes.xml"/><Relationship Id="rId29" Type="http://schemas.openxmlformats.org/officeDocument/2006/relationships/oleObject" Target="embeddings/oleObject5.bin"/><Relationship Id="rId28" Type="http://schemas.openxmlformats.org/officeDocument/2006/relationships/image" Target="media/image10.png"/><Relationship Id="rId27" Type="http://schemas.openxmlformats.org/officeDocument/2006/relationships/image" Target="media/image9.emf"/><Relationship Id="rId26" Type="http://schemas.openxmlformats.org/officeDocument/2006/relationships/oleObject" Target="embeddings/oleObject4.bin"/><Relationship Id="rId25" Type="http://schemas.openxmlformats.org/officeDocument/2006/relationships/image" Target="media/image8.emf"/><Relationship Id="rId24" Type="http://schemas.openxmlformats.org/officeDocument/2006/relationships/oleObject" Target="embeddings/oleObject3.bin"/><Relationship Id="rId23" Type="http://schemas.openxmlformats.org/officeDocument/2006/relationships/image" Target="media/image7.emf"/><Relationship Id="rId22" Type="http://schemas.openxmlformats.org/officeDocument/2006/relationships/oleObject" Target="embeddings/oleObject2.bin"/><Relationship Id="rId21" Type="http://schemas.openxmlformats.org/officeDocument/2006/relationships/image" Target="media/image6.e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wdzx97</Template>
  <Company>微软中国</Company>
  <Pages>80</Pages>
  <Words>18196</Words>
  <Characters>20154</Characters>
  <Lines>1</Lines>
  <Paragraphs>1</Paragraphs>
  <TotalTime>1</TotalTime>
  <ScaleCrop>false</ScaleCrop>
  <LinksUpToDate>false</LinksUpToDate>
  <CharactersWithSpaces>20314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2020-12-24T01:29:00Z</dcterms:created>
  <dc:creator>lhj</dc:creator>
  <cp:lastModifiedBy>随忆</cp:lastModifiedBy>
  <cp:lastPrinted>2025-07-18T04:29:00Z</cp:lastPrinted>
  <dcterms:modified xsi:type="dcterms:W3CDTF">2025-07-19T10:35:31Z</dcterms:modified>
  <dc:title>附件2</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3E2352DE643E47C1AAD09A8508A6C72E_13</vt:lpwstr>
  </property>
  <property fmtid="{D5CDD505-2E9C-101B-9397-08002B2CF9AE}" pid="4" name="KSOTemplateDocerSaveRecord">
    <vt:lpwstr>eyJoZGlkIjoiNGYwNmM5MGQ0ZTRhZTQ3Yjg4MDY4OThiYjMwNGQ1OTciLCJ1c2VySWQiOiI0NjcxNzI0OTgifQ==</vt:lpwstr>
  </property>
</Properties>
</file>