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Pr>
        <w:rPr>
          <w:rFonts w:ascii="黑体" w:eastAsia="黑体"/>
          <w:sz w:val="32"/>
          <w:szCs w:val="32"/>
        </w:rPr>
      </w:pPr>
    </w:p>
    <w:p>
      <w:pPr>
        <w:jc w:val="center"/>
        <w:rPr>
          <w:rFonts w:ascii="方正小标宋_GBK" w:eastAsia="方正小标宋_GBK"/>
          <w:sz w:val="48"/>
          <w:szCs w:val="48"/>
        </w:rPr>
      </w:pPr>
      <w:r>
        <w:rPr>
          <w:rFonts w:hint="eastAsia" w:ascii="方正小标宋_GBK" w:eastAsia="方正小标宋_GBK"/>
          <w:sz w:val="48"/>
          <w:szCs w:val="48"/>
        </w:rPr>
        <w:t>2023年度部门整体支出绩效自评报告</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r>
        <w:rPr>
          <w:rFonts w:hint="eastAsia" w:ascii="黑体" w:eastAsia="黑体"/>
          <w:sz w:val="44"/>
          <w:szCs w:val="44"/>
        </w:rPr>
        <w:t>祁东县人民政府玉合街道办事处</w:t>
      </w:r>
    </w:p>
    <w:p>
      <w:pPr>
        <w:jc w:val="center"/>
        <w:rPr>
          <w:rFonts w:ascii="黑体" w:eastAsia="黑体"/>
          <w:sz w:val="32"/>
          <w:szCs w:val="32"/>
        </w:rPr>
      </w:pPr>
    </w:p>
    <w:p>
      <w:pPr>
        <w:rPr>
          <w:rFonts w:ascii="黑体" w:eastAsia="黑体"/>
          <w:sz w:val="32"/>
          <w:szCs w:val="32"/>
        </w:rPr>
      </w:pPr>
    </w:p>
    <w:p>
      <w:pPr>
        <w:pStyle w:val="8"/>
        <w:widowControl/>
        <w:spacing w:line="600" w:lineRule="exact"/>
        <w:ind w:firstLine="640"/>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pStyle w:val="8"/>
        <w:widowControl/>
        <w:spacing w:line="600" w:lineRule="exact"/>
        <w:ind w:firstLine="0" w:firstLineChars="0"/>
        <w:rPr>
          <w:rFonts w:ascii="黑体" w:hAnsi="黑体" w:eastAsia="黑体"/>
          <w:sz w:val="32"/>
          <w:szCs w:val="32"/>
        </w:rPr>
      </w:pPr>
      <w:r>
        <w:rPr>
          <w:rFonts w:hint="eastAsia" w:ascii="黑体" w:hAnsi="黑体" w:eastAsia="黑体"/>
          <w:sz w:val="32"/>
          <w:szCs w:val="32"/>
        </w:rPr>
        <w:t>一、部门、单位基本情况</w:t>
      </w:r>
    </w:p>
    <w:p>
      <w:pPr>
        <w:pStyle w:val="4"/>
        <w:spacing w:before="0" w:beforeAutospacing="0" w:after="0" w:afterAutospacing="0" w:line="600" w:lineRule="atLeast"/>
        <w:jc w:val="both"/>
        <w:rPr>
          <w:sz w:val="32"/>
          <w:szCs w:val="32"/>
        </w:rPr>
      </w:pPr>
      <w:r>
        <w:rPr>
          <w:rFonts w:hint="eastAsia"/>
          <w:color w:val="000000"/>
          <w:sz w:val="32"/>
          <w:szCs w:val="32"/>
        </w:rPr>
        <w:t>（一）部门职能职责</w:t>
      </w:r>
    </w:p>
    <w:p>
      <w:pPr>
        <w:pStyle w:val="4"/>
        <w:spacing w:before="0" w:beforeAutospacing="0" w:after="0" w:afterAutospacing="0" w:line="600" w:lineRule="atLeast"/>
        <w:jc w:val="both"/>
        <w:rPr>
          <w:sz w:val="32"/>
          <w:szCs w:val="32"/>
        </w:rPr>
      </w:pPr>
      <w:r>
        <w:rPr>
          <w:rFonts w:hint="eastAsia"/>
          <w:color w:val="00000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4"/>
        <w:spacing w:before="0" w:beforeAutospacing="0" w:after="0" w:afterAutospacing="0" w:line="600" w:lineRule="atLeast"/>
        <w:jc w:val="both"/>
        <w:rPr>
          <w:sz w:val="32"/>
          <w:szCs w:val="32"/>
        </w:rPr>
      </w:pPr>
      <w:r>
        <w:rPr>
          <w:rFonts w:hint="eastAsia"/>
          <w:color w:val="000000"/>
          <w:sz w:val="32"/>
          <w:szCs w:val="32"/>
        </w:rPr>
        <w:t>2、制定并组织实施村乡建设规划，部署重点工程建设，地方道路建设及公共设施，水利设施的管理，负责土地、林木、水等自然资源和生态环境的保护，做好护林防火工作。</w:t>
      </w:r>
    </w:p>
    <w:p>
      <w:pPr>
        <w:pStyle w:val="4"/>
        <w:spacing w:before="0" w:beforeAutospacing="0" w:after="0" w:afterAutospacing="0" w:line="600" w:lineRule="atLeast"/>
        <w:jc w:val="both"/>
        <w:rPr>
          <w:sz w:val="32"/>
          <w:szCs w:val="32"/>
        </w:rPr>
      </w:pPr>
      <w:r>
        <w:rPr>
          <w:rFonts w:hint="eastAsia"/>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4"/>
        <w:spacing w:before="0" w:beforeAutospacing="0" w:after="0" w:afterAutospacing="0" w:line="600" w:lineRule="atLeast"/>
        <w:jc w:val="both"/>
        <w:rPr>
          <w:sz w:val="32"/>
          <w:szCs w:val="32"/>
        </w:rPr>
      </w:pPr>
      <w:r>
        <w:rPr>
          <w:rFonts w:hint="eastAsia"/>
          <w:color w:val="000000"/>
          <w:sz w:val="32"/>
          <w:szCs w:val="32"/>
        </w:rPr>
        <w:t>4、按计划组织本级财政收入和地方税的征收，完成国家财政计划，不断培植税源，管好财政资金，增强财政实力。</w:t>
      </w:r>
    </w:p>
    <w:p>
      <w:pPr>
        <w:pStyle w:val="4"/>
        <w:spacing w:before="0" w:beforeAutospacing="0" w:after="0" w:afterAutospacing="0" w:line="600" w:lineRule="atLeast"/>
        <w:jc w:val="both"/>
        <w:rPr>
          <w:sz w:val="32"/>
          <w:szCs w:val="32"/>
        </w:rPr>
      </w:pPr>
      <w:r>
        <w:rPr>
          <w:rFonts w:hint="eastAsia"/>
          <w:color w:val="000000"/>
          <w:sz w:val="32"/>
          <w:szCs w:val="32"/>
        </w:rPr>
        <w:t>5、抓好精神文明建设，丰富群众文化生活，提倡移风易俗，反对封建迷信，破除陈规陋习，树立社会主义新风尚。</w:t>
      </w:r>
    </w:p>
    <w:p>
      <w:pPr>
        <w:pStyle w:val="4"/>
        <w:spacing w:before="0" w:beforeAutospacing="0" w:after="0" w:afterAutospacing="0" w:line="600" w:lineRule="atLeast"/>
        <w:jc w:val="both"/>
        <w:rPr>
          <w:sz w:val="32"/>
          <w:szCs w:val="32"/>
        </w:rPr>
      </w:pPr>
      <w:r>
        <w:rPr>
          <w:rFonts w:hint="eastAsia"/>
          <w:color w:val="000000"/>
          <w:sz w:val="32"/>
          <w:szCs w:val="32"/>
        </w:rPr>
        <w:t>6、完成上级政府交办的其它事项。</w:t>
      </w:r>
    </w:p>
    <w:p>
      <w:pPr>
        <w:pStyle w:val="4"/>
        <w:spacing w:before="0" w:beforeAutospacing="0" w:after="0" w:afterAutospacing="0" w:line="600" w:lineRule="atLeast"/>
        <w:jc w:val="both"/>
        <w:rPr>
          <w:sz w:val="32"/>
          <w:szCs w:val="32"/>
        </w:rPr>
      </w:pPr>
      <w:r>
        <w:rPr>
          <w:rFonts w:hint="eastAsia"/>
          <w:color w:val="000000"/>
          <w:sz w:val="32"/>
          <w:szCs w:val="32"/>
        </w:rPr>
        <w:t>（二）机构设置情况</w:t>
      </w:r>
    </w:p>
    <w:p>
      <w:pPr>
        <w:pStyle w:val="4"/>
        <w:spacing w:before="0" w:beforeAutospacing="0" w:after="0" w:afterAutospacing="0" w:line="600" w:lineRule="atLeast"/>
        <w:jc w:val="both"/>
        <w:rPr>
          <w:sz w:val="32"/>
          <w:szCs w:val="32"/>
        </w:rPr>
      </w:pPr>
      <w:r>
        <w:rPr>
          <w:rFonts w:hint="eastAsia"/>
          <w:color w:val="000000"/>
          <w:sz w:val="32"/>
          <w:szCs w:val="32"/>
        </w:rPr>
        <w:t>根据主要职责玉合街道办机关设6个内设机构：党政办公室（法制办公室）、党建办公室、经济发展办公室（项目办）、社会事务管理办公室、自然资源和生态环境办公室、社会治安和应急管理办公室（信访维稳办公室）。根据工作职责，设下列事业单位：社会事务综合服务中心、农业综合服务中心、政务服务中心、综合行政执法大队。</w:t>
      </w:r>
    </w:p>
    <w:p>
      <w:pPr>
        <w:pStyle w:val="4"/>
        <w:spacing w:before="0" w:beforeAutospacing="0" w:after="0" w:afterAutospacing="0" w:line="600" w:lineRule="atLeast"/>
        <w:jc w:val="both"/>
        <w:rPr>
          <w:color w:val="000000"/>
          <w:sz w:val="32"/>
          <w:szCs w:val="32"/>
        </w:rPr>
      </w:pPr>
      <w:r>
        <w:rPr>
          <w:rFonts w:hint="eastAsia"/>
          <w:color w:val="000000"/>
          <w:sz w:val="32"/>
          <w:szCs w:val="32"/>
        </w:rPr>
        <w:t>（三）人员编制情况</w:t>
      </w:r>
    </w:p>
    <w:p>
      <w:pPr>
        <w:pStyle w:val="4"/>
        <w:spacing w:before="0" w:beforeAutospacing="0" w:after="0" w:afterAutospacing="0" w:line="600" w:lineRule="atLeast"/>
        <w:jc w:val="both"/>
        <w:rPr>
          <w:color w:val="000000"/>
          <w:sz w:val="32"/>
          <w:szCs w:val="32"/>
        </w:rPr>
      </w:pPr>
      <w:r>
        <w:rPr>
          <w:rFonts w:hint="eastAsia"/>
          <w:color w:val="000000"/>
          <w:sz w:val="32"/>
          <w:szCs w:val="32"/>
        </w:rPr>
        <w:t>玉合街道办是正科级别全额拨款单位。至2023年，共有编制14</w:t>
      </w:r>
      <w:r>
        <w:rPr>
          <w:rFonts w:hint="eastAsia"/>
          <w:color w:val="000000"/>
          <w:sz w:val="32"/>
          <w:szCs w:val="32"/>
          <w:lang w:val="en-US" w:eastAsia="zh-CN"/>
        </w:rPr>
        <w:t>3</w:t>
      </w:r>
      <w:r>
        <w:rPr>
          <w:rFonts w:hint="eastAsia"/>
          <w:color w:val="000000"/>
          <w:sz w:val="32"/>
          <w:szCs w:val="32"/>
        </w:rPr>
        <w:t>名，实有人数168人，其中在职14</w:t>
      </w:r>
      <w:r>
        <w:rPr>
          <w:rFonts w:hint="eastAsia"/>
          <w:color w:val="000000"/>
          <w:sz w:val="32"/>
          <w:szCs w:val="32"/>
          <w:lang w:val="en-US" w:eastAsia="zh-CN"/>
        </w:rPr>
        <w:t>3</w:t>
      </w:r>
      <w:r>
        <w:rPr>
          <w:rFonts w:hint="eastAsia"/>
          <w:color w:val="000000"/>
          <w:sz w:val="32"/>
          <w:szCs w:val="32"/>
        </w:rPr>
        <w:t>人、离退休25人。</w:t>
      </w:r>
    </w:p>
    <w:p>
      <w:pPr>
        <w:pStyle w:val="4"/>
        <w:spacing w:before="0" w:beforeAutospacing="0" w:after="0" w:afterAutospacing="0" w:line="600" w:lineRule="atLeast"/>
        <w:jc w:val="both"/>
        <w:rPr>
          <w:color w:val="000000"/>
          <w:sz w:val="32"/>
          <w:szCs w:val="32"/>
        </w:rPr>
      </w:pPr>
      <w:r>
        <w:rPr>
          <w:rFonts w:hint="eastAsia"/>
          <w:color w:val="000000"/>
          <w:sz w:val="32"/>
          <w:szCs w:val="32"/>
        </w:rPr>
        <w:t>（四）2023年单位工作任务或年度计划</w:t>
      </w:r>
    </w:p>
    <w:p>
      <w:pPr>
        <w:pStyle w:val="4"/>
        <w:spacing w:before="0" w:beforeAutospacing="0" w:after="0" w:afterAutospacing="0" w:line="600" w:lineRule="atLeast"/>
        <w:jc w:val="both"/>
        <w:rPr>
          <w:color w:val="000000"/>
          <w:sz w:val="32"/>
          <w:szCs w:val="32"/>
        </w:rPr>
      </w:pPr>
      <w:r>
        <w:rPr>
          <w:rFonts w:hint="eastAsia"/>
          <w:color w:val="000000"/>
          <w:sz w:val="32"/>
          <w:szCs w:val="32"/>
        </w:rPr>
        <w:t>“十四五”时期，玉合街道办2023年重点抓好以下五个方面工作：</w:t>
      </w:r>
    </w:p>
    <w:p>
      <w:pPr>
        <w:pStyle w:val="4"/>
        <w:spacing w:before="0" w:beforeAutospacing="0" w:after="0" w:afterAutospacing="0" w:line="600" w:lineRule="atLeast"/>
        <w:jc w:val="both"/>
        <w:rPr>
          <w:color w:val="000000"/>
          <w:sz w:val="32"/>
          <w:szCs w:val="32"/>
        </w:rPr>
      </w:pPr>
      <w:r>
        <w:rPr>
          <w:rFonts w:hint="eastAsia"/>
          <w:color w:val="000000"/>
          <w:sz w:val="32"/>
          <w:szCs w:val="32"/>
        </w:rPr>
        <w:t>1、聚焦“三农”优先发展，全面推进乡村振兴</w:t>
      </w:r>
    </w:p>
    <w:p>
      <w:pPr>
        <w:pStyle w:val="4"/>
        <w:spacing w:before="0" w:beforeAutospacing="0" w:after="0" w:afterAutospacing="0" w:line="600" w:lineRule="atLeast"/>
        <w:jc w:val="both"/>
        <w:rPr>
          <w:color w:val="000000"/>
          <w:sz w:val="32"/>
          <w:szCs w:val="32"/>
        </w:rPr>
      </w:pPr>
      <w:r>
        <w:rPr>
          <w:rFonts w:hint="eastAsia"/>
          <w:color w:val="000000"/>
          <w:sz w:val="32"/>
          <w:szCs w:val="32"/>
        </w:rPr>
        <w:t>坚持以实现农业农村现代化为目标，着力推进乡村振兴走深走实，加快补齐短板，努力打造乡村振兴玉合亮点。</w:t>
      </w:r>
    </w:p>
    <w:p>
      <w:pPr>
        <w:pStyle w:val="4"/>
        <w:spacing w:before="0" w:beforeAutospacing="0" w:after="0" w:afterAutospacing="0" w:line="600" w:lineRule="atLeast"/>
        <w:jc w:val="both"/>
        <w:rPr>
          <w:color w:val="000000"/>
          <w:sz w:val="32"/>
          <w:szCs w:val="32"/>
        </w:rPr>
      </w:pPr>
      <w:r>
        <w:rPr>
          <w:rFonts w:hint="eastAsia"/>
          <w:color w:val="000000"/>
          <w:sz w:val="32"/>
          <w:szCs w:val="32"/>
        </w:rPr>
        <w:t>2、聚焦保障改善民生，提高群众幸福指数</w:t>
      </w:r>
    </w:p>
    <w:p>
      <w:pPr>
        <w:pStyle w:val="4"/>
        <w:spacing w:before="0" w:beforeAutospacing="0" w:after="0" w:afterAutospacing="0" w:line="600" w:lineRule="atLeast"/>
        <w:jc w:val="both"/>
        <w:rPr>
          <w:color w:val="000000"/>
          <w:sz w:val="32"/>
          <w:szCs w:val="32"/>
        </w:rPr>
      </w:pPr>
      <w:r>
        <w:rPr>
          <w:rFonts w:hint="eastAsia"/>
          <w:color w:val="000000"/>
          <w:sz w:val="32"/>
          <w:szCs w:val="32"/>
        </w:rPr>
        <w:t>坚持以人民为中心，量力而行、尽力而为，不断增强人民群众获得感、幸福感、安全感。</w:t>
      </w:r>
    </w:p>
    <w:p>
      <w:pPr>
        <w:pStyle w:val="4"/>
        <w:spacing w:before="0" w:beforeAutospacing="0" w:after="0" w:afterAutospacing="0" w:line="600" w:lineRule="atLeast"/>
        <w:jc w:val="both"/>
        <w:rPr>
          <w:color w:val="000000"/>
          <w:sz w:val="32"/>
          <w:szCs w:val="32"/>
        </w:rPr>
      </w:pPr>
      <w:r>
        <w:rPr>
          <w:rFonts w:hint="eastAsia"/>
          <w:color w:val="000000"/>
          <w:sz w:val="32"/>
          <w:szCs w:val="32"/>
        </w:rPr>
        <w:t>3、聚焦提升城镇品质，统筹城乡协调发展</w:t>
      </w:r>
    </w:p>
    <w:p>
      <w:pPr>
        <w:pStyle w:val="4"/>
        <w:spacing w:before="0" w:beforeAutospacing="0" w:after="0" w:afterAutospacing="0" w:line="600" w:lineRule="atLeast"/>
        <w:jc w:val="both"/>
        <w:rPr>
          <w:color w:val="000000"/>
          <w:sz w:val="32"/>
          <w:szCs w:val="32"/>
        </w:rPr>
      </w:pPr>
      <w:r>
        <w:rPr>
          <w:rFonts w:hint="eastAsia"/>
          <w:color w:val="000000"/>
          <w:sz w:val="32"/>
          <w:szCs w:val="32"/>
        </w:rPr>
        <w:t>坚持谋篇布局，着眼规划引领，配合上级部门完成国土空间规划编制报批。</w:t>
      </w:r>
    </w:p>
    <w:p>
      <w:pPr>
        <w:pStyle w:val="4"/>
        <w:spacing w:before="0" w:beforeAutospacing="0" w:after="0" w:afterAutospacing="0" w:line="600" w:lineRule="atLeast"/>
        <w:jc w:val="both"/>
        <w:rPr>
          <w:color w:val="000000"/>
          <w:sz w:val="32"/>
          <w:szCs w:val="32"/>
        </w:rPr>
      </w:pPr>
      <w:r>
        <w:rPr>
          <w:rFonts w:hint="eastAsia"/>
          <w:color w:val="000000"/>
          <w:sz w:val="32"/>
          <w:szCs w:val="32"/>
        </w:rPr>
        <w:t>4、聚焦防风险补短板，守住可持续发展底线</w:t>
      </w:r>
    </w:p>
    <w:p>
      <w:pPr>
        <w:pStyle w:val="4"/>
        <w:spacing w:before="0" w:beforeAutospacing="0" w:after="0" w:afterAutospacing="0" w:line="600" w:lineRule="atLeast"/>
        <w:jc w:val="both"/>
        <w:rPr>
          <w:color w:val="000000"/>
          <w:sz w:val="32"/>
          <w:szCs w:val="32"/>
        </w:rPr>
      </w:pPr>
      <w:r>
        <w:rPr>
          <w:rFonts w:hint="eastAsia"/>
          <w:color w:val="000000"/>
          <w:sz w:val="32"/>
          <w:szCs w:val="32"/>
        </w:rPr>
        <w:t>坚持底线思维，增强忧患意识，着力提高驾驭风险、迎接挑战的能力，妥善处理各种复杂矛盾，有效防范化解各类风险。</w:t>
      </w:r>
    </w:p>
    <w:p>
      <w:pPr>
        <w:pStyle w:val="4"/>
        <w:spacing w:before="0" w:beforeAutospacing="0" w:after="0" w:afterAutospacing="0" w:line="600" w:lineRule="atLeast"/>
        <w:jc w:val="both"/>
        <w:rPr>
          <w:color w:val="000000"/>
          <w:sz w:val="32"/>
          <w:szCs w:val="32"/>
        </w:rPr>
      </w:pPr>
      <w:r>
        <w:rPr>
          <w:rFonts w:hint="eastAsia"/>
          <w:color w:val="000000"/>
          <w:sz w:val="32"/>
          <w:szCs w:val="32"/>
        </w:rPr>
        <w:t>5、聚焦政府自身建设，提升政府工作效能</w:t>
      </w:r>
    </w:p>
    <w:p>
      <w:pPr>
        <w:pStyle w:val="4"/>
        <w:spacing w:before="0" w:beforeAutospacing="0" w:after="0" w:afterAutospacing="0" w:line="600" w:lineRule="atLeast"/>
        <w:jc w:val="both"/>
        <w:rPr>
          <w:rFonts w:ascii="黑体" w:hAnsi="黑体" w:eastAsia="黑体"/>
          <w:sz w:val="40"/>
          <w:szCs w:val="40"/>
        </w:rPr>
      </w:pPr>
      <w:r>
        <w:rPr>
          <w:rFonts w:hint="eastAsia"/>
          <w:color w:val="000000"/>
          <w:sz w:val="32"/>
          <w:szCs w:val="32"/>
        </w:rPr>
        <w:t>深学笃用习近平新时代中国特色社会主义思想，坚持依法行政、廉洁从政，不断推进政府治理体系和治理能力现代化。</w:t>
      </w:r>
    </w:p>
    <w:p>
      <w:pPr>
        <w:pStyle w:val="8"/>
        <w:widowControl/>
        <w:spacing w:line="600" w:lineRule="exact"/>
        <w:ind w:firstLine="0" w:firstLineChars="0"/>
        <w:rPr>
          <w:rFonts w:ascii="黑体" w:hAnsi="黑体" w:eastAsia="黑体"/>
          <w:sz w:val="40"/>
          <w:szCs w:val="40"/>
        </w:rPr>
      </w:pPr>
      <w:r>
        <w:rPr>
          <w:rFonts w:hint="eastAsia" w:ascii="黑体" w:hAnsi="黑体" w:eastAsia="黑体"/>
          <w:sz w:val="40"/>
          <w:szCs w:val="40"/>
        </w:rPr>
        <w:t>二、基本支出情况</w:t>
      </w:r>
    </w:p>
    <w:p>
      <w:pPr>
        <w:snapToGrid w:val="0"/>
        <w:spacing w:line="520" w:lineRule="exact"/>
        <w:ind w:firstLine="720" w:firstLineChars="200"/>
        <w:rPr>
          <w:rFonts w:ascii="仿宋" w:hAnsi="仿宋" w:eastAsia="仿宋" w:cs="仿宋"/>
          <w:sz w:val="36"/>
          <w:szCs w:val="36"/>
        </w:rPr>
      </w:pPr>
      <w:r>
        <w:rPr>
          <w:rFonts w:hint="eastAsia" w:ascii="仿宋" w:hAnsi="仿宋" w:eastAsia="仿宋" w:cs="仿宋"/>
          <w:sz w:val="36"/>
          <w:szCs w:val="36"/>
        </w:rPr>
        <w:t>2023年度财政拨款基本支出1710.24万元，</w:t>
      </w:r>
      <w:r>
        <w:rPr>
          <w:color w:val="000000"/>
          <w:sz w:val="32"/>
          <w:szCs w:val="32"/>
        </w:rPr>
        <w:t>占财政拨款支出总</w:t>
      </w:r>
      <w:r>
        <w:rPr>
          <w:rFonts w:hint="eastAsia"/>
          <w:color w:val="000000"/>
          <w:sz w:val="32"/>
          <w:szCs w:val="32"/>
        </w:rPr>
        <w:t>额</w:t>
      </w:r>
      <w:r>
        <w:rPr>
          <w:color w:val="000000"/>
          <w:sz w:val="32"/>
          <w:szCs w:val="32"/>
        </w:rPr>
        <w:t>的</w:t>
      </w:r>
      <w:r>
        <w:rPr>
          <w:rFonts w:hint="eastAsia"/>
          <w:color w:val="000000"/>
          <w:sz w:val="32"/>
          <w:szCs w:val="32"/>
        </w:rPr>
        <w:t>48.44%</w:t>
      </w:r>
      <w:r>
        <w:rPr>
          <w:color w:val="000000"/>
          <w:sz w:val="28"/>
          <w:szCs w:val="28"/>
        </w:rPr>
        <w:t>，</w:t>
      </w:r>
      <w:r>
        <w:rPr>
          <w:rFonts w:hint="eastAsia" w:ascii="仿宋" w:hAnsi="仿宋" w:eastAsia="仿宋" w:cs="仿宋"/>
          <w:sz w:val="36"/>
          <w:szCs w:val="36"/>
        </w:rPr>
        <w:t>其中：人员经费1560.88万元，占基本支出的91.27%,主要包括基本工资、津贴补贴、奖金、伙食补助费、绩效工资、机关事业单位基本养老保险缴费、职工基本医疗保险缴费、其他社会保障缴费、住房公积金、抚恤金、生活补助、代缴社会保险费、其他对个人和家庭的补助；公用经费149.36万元，占基本支出的8.73%,主要包括办公费、印刷费、咨询费、电费、差旅费、维修（护）费、培训费、公务接待费、劳务费、委托业务费、工会经费、福利费、公务用车运行维护费、其他交通费用、其他商品和服务支出。</w:t>
      </w:r>
    </w:p>
    <w:p>
      <w:pPr>
        <w:snapToGrid w:val="0"/>
        <w:spacing w:line="520" w:lineRule="exact"/>
        <w:ind w:firstLine="720" w:firstLineChars="200"/>
        <w:rPr>
          <w:rFonts w:ascii="仿宋" w:hAnsi="仿宋" w:eastAsia="仿宋" w:cs="仿宋"/>
          <w:sz w:val="36"/>
          <w:szCs w:val="36"/>
        </w:rPr>
      </w:pPr>
      <w:r>
        <w:rPr>
          <w:rFonts w:hint="eastAsia" w:ascii="仿宋" w:hAnsi="仿宋" w:eastAsia="仿宋" w:cs="仿宋"/>
          <w:sz w:val="36"/>
          <w:szCs w:val="36"/>
        </w:rPr>
        <w:t>2023年度财政拨款项目支出1820.34万元，其中：行政运行106.03万元；城市公共设施3万元，对村级公益事业建设的补助30万元，对村民委员会和村党支部的补助88.49万元，国有企业退休人员社会化管理补助支出8.95万元，农村基础设施建设36万元，农村基础设施建设支出16.34万元，农村社会事业6.36万元，其他城乡社区公共设施支出1162.03万元，其他公路水路运输支出1.49万元，其他</w:t>
      </w:r>
      <w:r>
        <w:rPr>
          <w:rFonts w:hint="eastAsia" w:ascii="仿宋" w:hAnsi="仿宋" w:eastAsia="仿宋" w:cs="仿宋"/>
          <w:sz w:val="36"/>
          <w:szCs w:val="36"/>
          <w:lang w:eastAsia="zh-CN"/>
        </w:rPr>
        <w:t>巩固拓展脱贫攻坚成果</w:t>
      </w:r>
      <w:r>
        <w:rPr>
          <w:rFonts w:hint="eastAsia" w:ascii="仿宋" w:hAnsi="仿宋" w:eastAsia="仿宋" w:cs="仿宋"/>
          <w:sz w:val="36"/>
          <w:szCs w:val="36"/>
        </w:rPr>
        <w:t>衔接乡村振兴支出5.12万元，其他国有土地使用权出让收入安排的支出92.17万元，其他技术研究与开发支出0.84万元，其他就业补助支出25.64万元，其他人力资源和社会保障管理事务支出14.53万元，其他商业流通事务支出1.62万元，其他水利支出5万元，其他文化旅游体育与传媒支出15万元，其他一般公共服务支出19.9万元，其他灾害防治及应急管理支出5万元，社会保险经办机构3.72万元，信访事务2.5万元，一般行政管理事务4万元，用于社会福利的彩票公益金支出15万元，征地和拆迁补偿支出136.61万元，重大公共卫生服务15万元。</w:t>
      </w:r>
    </w:p>
    <w:p>
      <w:pPr>
        <w:widowControl/>
        <w:spacing w:line="600" w:lineRule="exact"/>
        <w:jc w:val="left"/>
        <w:rPr>
          <w:rFonts w:ascii="黑体" w:hAnsi="黑体" w:eastAsia="黑体"/>
          <w:sz w:val="40"/>
          <w:szCs w:val="40"/>
        </w:rPr>
      </w:pPr>
      <w:r>
        <w:rPr>
          <w:rFonts w:ascii="黑体" w:hAnsi="黑体" w:eastAsia="黑体"/>
          <w:sz w:val="40"/>
          <w:szCs w:val="40"/>
        </w:rPr>
        <w:t>四、部门</w:t>
      </w:r>
      <w:r>
        <w:rPr>
          <w:rFonts w:hint="eastAsia" w:ascii="黑体" w:hAnsi="黑体" w:eastAsia="黑体"/>
          <w:sz w:val="40"/>
          <w:szCs w:val="40"/>
        </w:rPr>
        <w:t>整体支出绩效情况</w:t>
      </w:r>
    </w:p>
    <w:p>
      <w:pPr>
        <w:spacing w:line="600" w:lineRule="atLeast"/>
        <w:ind w:firstLine="640" w:firstLineChars="200"/>
        <w:rPr>
          <w:rFonts w:ascii="宋体" w:hAnsi="宋体" w:cs="宋体"/>
          <w:color w:val="000000"/>
          <w:kern w:val="0"/>
          <w:sz w:val="32"/>
          <w:szCs w:val="32"/>
        </w:rPr>
      </w:pPr>
      <w:r>
        <w:rPr>
          <w:rFonts w:hint="eastAsia" w:ascii="宋体" w:hAnsi="宋体" w:cs="宋体"/>
          <w:color w:val="000000"/>
          <w:kern w:val="0"/>
          <w:sz w:val="32"/>
          <w:szCs w:val="32"/>
        </w:rPr>
        <w:t>玉合街道办2023年度部门整体支出3530.58万元，其中单位基本支出1710.24万元、项目支出1820.34万元；整体支出绩效目标完成率100%，其中单位基本支出完成率100%，项目支出完成率100%。</w:t>
      </w:r>
    </w:p>
    <w:p>
      <w:pPr>
        <w:adjustRightInd w:val="0"/>
        <w:snapToGrid w:val="0"/>
        <w:spacing w:line="600" w:lineRule="atLeast"/>
        <w:ind w:firstLine="640" w:firstLineChars="200"/>
        <w:rPr>
          <w:rFonts w:ascii="宋体" w:hAnsi="宋体" w:cs="宋体"/>
          <w:color w:val="000000"/>
          <w:kern w:val="0"/>
          <w:sz w:val="32"/>
          <w:szCs w:val="32"/>
        </w:rPr>
      </w:pPr>
      <w:r>
        <w:rPr>
          <w:rFonts w:hint="eastAsia" w:ascii="宋体" w:hAnsi="宋体" w:cs="宋体"/>
          <w:color w:val="000000"/>
          <w:kern w:val="0"/>
          <w:sz w:val="32"/>
          <w:szCs w:val="32"/>
        </w:rPr>
        <w:t>其产出和效益情况概述如下：</w:t>
      </w:r>
    </w:p>
    <w:p>
      <w:pPr>
        <w:pStyle w:val="4"/>
        <w:spacing w:before="0" w:beforeAutospacing="0" w:after="0" w:afterAutospacing="0" w:line="600" w:lineRule="atLeast"/>
        <w:jc w:val="both"/>
        <w:rPr>
          <w:color w:val="000000"/>
          <w:sz w:val="32"/>
          <w:szCs w:val="32"/>
        </w:rPr>
      </w:pPr>
      <w:r>
        <w:rPr>
          <w:rFonts w:hint="eastAsia"/>
          <w:color w:val="000000"/>
          <w:sz w:val="32"/>
          <w:szCs w:val="32"/>
        </w:rPr>
        <w:t>（一）保证了工资及津补贴的正常发放，提高了职工的福利待遇，充分发挥了所有职工的工作积极性。</w:t>
      </w:r>
    </w:p>
    <w:p>
      <w:pPr>
        <w:pStyle w:val="4"/>
        <w:spacing w:before="0" w:beforeAutospacing="0" w:after="0" w:afterAutospacing="0" w:line="600" w:lineRule="atLeast"/>
        <w:jc w:val="both"/>
        <w:rPr>
          <w:color w:val="000000"/>
          <w:sz w:val="32"/>
          <w:szCs w:val="32"/>
        </w:rPr>
      </w:pPr>
      <w:r>
        <w:rPr>
          <w:rFonts w:hint="eastAsia"/>
          <w:color w:val="000000"/>
          <w:sz w:val="32"/>
          <w:szCs w:val="32"/>
        </w:rPr>
        <w:t>（二）保证了单位公用经费的正常支出，极大地提高了机构各项职能的运转效率。</w:t>
      </w:r>
    </w:p>
    <w:p>
      <w:pPr>
        <w:pStyle w:val="4"/>
        <w:spacing w:before="0" w:beforeAutospacing="0" w:after="0" w:afterAutospacing="0" w:line="600" w:lineRule="atLeast"/>
        <w:jc w:val="both"/>
        <w:rPr>
          <w:color w:val="000000"/>
          <w:sz w:val="32"/>
          <w:szCs w:val="32"/>
        </w:rPr>
      </w:pPr>
      <w:r>
        <w:rPr>
          <w:rFonts w:hint="eastAsia"/>
          <w:color w:val="000000"/>
          <w:sz w:val="32"/>
          <w:szCs w:val="32"/>
        </w:rPr>
        <w:t>（三）加快了道路交通、生态治理、水资源保护、美丽乡村等方面的城乡基本公共设施工程建设。</w:t>
      </w:r>
    </w:p>
    <w:p>
      <w:pPr>
        <w:pStyle w:val="4"/>
        <w:spacing w:before="0" w:beforeAutospacing="0" w:after="0" w:afterAutospacing="0" w:line="600" w:lineRule="atLeast"/>
        <w:jc w:val="both"/>
        <w:rPr>
          <w:color w:val="000000"/>
          <w:sz w:val="32"/>
          <w:szCs w:val="32"/>
        </w:rPr>
      </w:pPr>
      <w:r>
        <w:rPr>
          <w:rFonts w:hint="eastAsia"/>
          <w:color w:val="000000"/>
          <w:sz w:val="32"/>
          <w:szCs w:val="32"/>
        </w:rPr>
        <w:t>（四）做好新冠肺炎疫情防控工作，着力提升公共卫生服务能力，全面加强和完善公共卫生领域软硬件建设，全面提升应急管理能力，完善应急医疗救助机制，确保应急物资保障有序有力，解除群众的后顾之忧。</w:t>
      </w:r>
    </w:p>
    <w:p>
      <w:pPr>
        <w:pStyle w:val="4"/>
        <w:spacing w:before="0" w:beforeAutospacing="0" w:after="0" w:afterAutospacing="0" w:line="600" w:lineRule="atLeast"/>
        <w:jc w:val="both"/>
        <w:rPr>
          <w:color w:val="000000"/>
          <w:sz w:val="32"/>
          <w:szCs w:val="32"/>
        </w:rPr>
      </w:pPr>
      <w:r>
        <w:rPr>
          <w:rFonts w:hint="eastAsia"/>
          <w:color w:val="000000"/>
          <w:sz w:val="32"/>
          <w:szCs w:val="32"/>
        </w:rPr>
        <w:t>（五）改善了多数居民的生产生活条件，努力提升人民群众的幸福指数。</w:t>
      </w:r>
    </w:p>
    <w:p>
      <w:pPr>
        <w:pStyle w:val="4"/>
        <w:spacing w:before="0" w:beforeAutospacing="0" w:after="0" w:afterAutospacing="0" w:line="600" w:lineRule="atLeast"/>
        <w:jc w:val="both"/>
        <w:rPr>
          <w:color w:val="000000"/>
          <w:sz w:val="32"/>
          <w:szCs w:val="32"/>
        </w:rPr>
      </w:pPr>
      <w:r>
        <w:rPr>
          <w:rFonts w:hint="eastAsia"/>
          <w:color w:val="000000"/>
          <w:sz w:val="32"/>
          <w:szCs w:val="32"/>
        </w:rPr>
        <w:t>（六）推动了行政区域内的民政、卫生、体育、计划生育、文化教育等社会公益事业的综合性工作，提升精神文明建设质量。</w:t>
      </w:r>
    </w:p>
    <w:p>
      <w:pPr>
        <w:widowControl/>
        <w:spacing w:line="600" w:lineRule="exact"/>
        <w:jc w:val="left"/>
        <w:rPr>
          <w:rFonts w:ascii="黑体" w:hAnsi="黑体" w:eastAsia="黑体"/>
          <w:sz w:val="40"/>
          <w:szCs w:val="40"/>
        </w:rPr>
      </w:pPr>
      <w:r>
        <w:rPr>
          <w:rFonts w:hint="eastAsia" w:ascii="黑体" w:hAnsi="黑体" w:eastAsia="黑体"/>
          <w:color w:val="000000"/>
          <w:sz w:val="40"/>
          <w:szCs w:val="40"/>
        </w:rPr>
        <w:t>五、</w:t>
      </w:r>
      <w:r>
        <w:rPr>
          <w:rFonts w:hint="eastAsia" w:ascii="黑体" w:hAnsi="黑体" w:eastAsia="黑体"/>
          <w:sz w:val="40"/>
          <w:szCs w:val="40"/>
        </w:rPr>
        <w:t>存在的主要问题及下一步改进措施</w:t>
      </w:r>
    </w:p>
    <w:p>
      <w:pPr>
        <w:pStyle w:val="4"/>
        <w:spacing w:before="0" w:beforeAutospacing="0" w:after="0" w:afterAutospacing="0" w:line="600" w:lineRule="atLeast"/>
        <w:jc w:val="both"/>
        <w:rPr>
          <w:color w:val="000000"/>
          <w:sz w:val="32"/>
          <w:szCs w:val="32"/>
        </w:rPr>
      </w:pPr>
      <w:r>
        <w:rPr>
          <w:rFonts w:hint="eastAsia"/>
          <w:color w:val="000000"/>
          <w:sz w:val="32"/>
          <w:szCs w:val="32"/>
        </w:rPr>
        <w:t>（一）细化预算编制，精益求精做好预算编制工作。同时进一步加强内设机构的预算管理意识，严格按照预算编制的相关制度和指标要求进行操作。</w:t>
      </w:r>
    </w:p>
    <w:p>
      <w:pPr>
        <w:pStyle w:val="4"/>
        <w:spacing w:before="0" w:beforeAutospacing="0" w:after="0" w:afterAutospacing="0" w:line="600" w:lineRule="atLeast"/>
        <w:jc w:val="both"/>
        <w:rPr>
          <w:color w:val="000000"/>
          <w:sz w:val="32"/>
          <w:szCs w:val="32"/>
        </w:rPr>
      </w:pPr>
      <w:r>
        <w:rPr>
          <w:rFonts w:hint="eastAsia"/>
          <w:color w:val="000000"/>
          <w:sz w:val="32"/>
          <w:szCs w:val="32"/>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4"/>
        <w:spacing w:before="0" w:beforeAutospacing="0" w:after="0" w:afterAutospacing="0" w:line="600" w:lineRule="atLeast"/>
        <w:jc w:val="both"/>
        <w:rPr>
          <w:color w:val="000000"/>
          <w:sz w:val="32"/>
          <w:szCs w:val="32"/>
        </w:rPr>
      </w:pPr>
      <w:r>
        <w:rPr>
          <w:rFonts w:hint="eastAsia"/>
          <w:color w:val="000000"/>
          <w:sz w:val="32"/>
          <w:szCs w:val="32"/>
        </w:rPr>
        <w:t>（三）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4"/>
        <w:spacing w:before="0" w:beforeAutospacing="0" w:after="0" w:afterAutospacing="0" w:line="600" w:lineRule="atLeast"/>
        <w:jc w:val="both"/>
        <w:rPr>
          <w:color w:val="000000"/>
          <w:sz w:val="32"/>
          <w:szCs w:val="32"/>
        </w:rPr>
      </w:pPr>
      <w:r>
        <w:rPr>
          <w:rFonts w:hint="eastAsia"/>
          <w:color w:val="000000"/>
          <w:sz w:val="32"/>
          <w:szCs w:val="32"/>
        </w:rPr>
        <w:t>（四）对相关人员加强培训，特别是针对《预算法》、《行政事业单位会计制度》等学习培训，规范部门预算收支核算，切实提高部门预算收支管理水平。</w:t>
      </w:r>
    </w:p>
    <w:p>
      <w:pPr>
        <w:pStyle w:val="4"/>
        <w:spacing w:before="0" w:beforeAutospacing="0" w:after="0" w:afterAutospacing="0" w:line="600" w:lineRule="atLeast"/>
        <w:jc w:val="both"/>
        <w:rPr>
          <w:color w:val="000000"/>
          <w:sz w:val="32"/>
          <w:szCs w:val="32"/>
        </w:rPr>
      </w:pPr>
    </w:p>
    <w:p>
      <w:pPr>
        <w:pStyle w:val="4"/>
        <w:spacing w:before="0" w:beforeAutospacing="0" w:after="0" w:afterAutospacing="0" w:line="600" w:lineRule="atLeast"/>
        <w:jc w:val="both"/>
        <w:rPr>
          <w:rFonts w:ascii="黑体" w:hAnsi="黑体" w:eastAsia="黑体"/>
          <w:sz w:val="40"/>
          <w:szCs w:val="40"/>
        </w:rPr>
      </w:pPr>
      <w:r>
        <w:rPr>
          <w:rFonts w:hint="eastAsia" w:ascii="黑体" w:hAnsi="黑体" w:eastAsia="黑体"/>
          <w:sz w:val="40"/>
          <w:szCs w:val="40"/>
        </w:rPr>
        <w:t>六、绩效自评结果拟应用和公开情况</w:t>
      </w:r>
    </w:p>
    <w:p>
      <w:pPr>
        <w:pStyle w:val="4"/>
        <w:spacing w:before="0" w:beforeAutospacing="0" w:after="0" w:afterAutospacing="0" w:line="600" w:lineRule="atLeast"/>
        <w:jc w:val="both"/>
        <w:rPr>
          <w:color w:val="000000"/>
          <w:sz w:val="32"/>
          <w:szCs w:val="32"/>
        </w:rPr>
      </w:pPr>
      <w:r>
        <w:rPr>
          <w:rFonts w:hint="eastAsia"/>
          <w:color w:val="000000"/>
          <w:sz w:val="32"/>
          <w:szCs w:val="32"/>
        </w:rPr>
        <w:t>1、我单位根据整体支出绩效评定指标对各项量化评价，自评指标得分98.5分。</w:t>
      </w:r>
    </w:p>
    <w:p>
      <w:pPr>
        <w:pStyle w:val="4"/>
        <w:spacing w:before="0" w:beforeAutospacing="0" w:after="0" w:afterAutospacing="0" w:line="600" w:lineRule="atLeast"/>
        <w:jc w:val="both"/>
        <w:rPr>
          <w:color w:val="000000"/>
          <w:sz w:val="32"/>
          <w:szCs w:val="32"/>
        </w:rPr>
      </w:pPr>
      <w:r>
        <w:rPr>
          <w:rFonts w:hint="eastAsia"/>
          <w:color w:val="000000"/>
          <w:sz w:val="32"/>
          <w:szCs w:val="32"/>
        </w:rPr>
        <w:t>2、将部门整体支出绩效自评客观、准确、全面、完整纳入机构年底绩效考核的依据之一。</w:t>
      </w:r>
    </w:p>
    <w:p>
      <w:pPr>
        <w:pStyle w:val="4"/>
        <w:spacing w:before="0" w:beforeAutospacing="0" w:after="0" w:afterAutospacing="0" w:line="600" w:lineRule="atLeast"/>
        <w:jc w:val="both"/>
        <w:rPr>
          <w:color w:val="000000"/>
          <w:sz w:val="32"/>
          <w:szCs w:val="32"/>
        </w:rPr>
      </w:pPr>
      <w:r>
        <w:rPr>
          <w:rFonts w:hint="eastAsia"/>
          <w:color w:val="000000"/>
          <w:sz w:val="32"/>
          <w:szCs w:val="32"/>
        </w:rPr>
        <w:t>3、按规定于4月30日前进行公开。</w:t>
      </w:r>
    </w:p>
    <w:p>
      <w:pPr>
        <w:widowControl/>
        <w:spacing w:line="600" w:lineRule="exact"/>
        <w:ind w:firstLine="645"/>
        <w:jc w:val="left"/>
        <w:rPr>
          <w:rFonts w:ascii="黑体" w:hAnsi="黑体" w:eastAsia="黑体"/>
          <w:sz w:val="40"/>
          <w:szCs w:val="40"/>
        </w:rPr>
      </w:pPr>
    </w:p>
    <w:p>
      <w:pPr>
        <w:widowControl/>
        <w:numPr>
          <w:ilvl w:val="0"/>
          <w:numId w:val="1"/>
        </w:numPr>
        <w:spacing w:line="600" w:lineRule="exact"/>
        <w:ind w:firstLine="645"/>
        <w:jc w:val="left"/>
        <w:rPr>
          <w:rFonts w:ascii="黑体" w:hAnsi="黑体" w:eastAsia="黑体"/>
          <w:sz w:val="40"/>
          <w:szCs w:val="40"/>
        </w:rPr>
      </w:pPr>
      <w:r>
        <w:rPr>
          <w:rFonts w:hint="eastAsia" w:ascii="黑体" w:hAnsi="黑体" w:eastAsia="黑体"/>
          <w:sz w:val="40"/>
          <w:szCs w:val="40"/>
        </w:rPr>
        <w:t>其他需要说明的情况</w:t>
      </w:r>
    </w:p>
    <w:p>
      <w:pPr>
        <w:pStyle w:val="7"/>
        <w:ind w:firstLine="1080" w:firstLineChars="300"/>
        <w:rPr>
          <w:sz w:val="36"/>
          <w:szCs w:val="36"/>
        </w:rPr>
      </w:pPr>
      <w:r>
        <w:rPr>
          <w:rFonts w:hint="eastAsia"/>
          <w:sz w:val="36"/>
          <w:szCs w:val="36"/>
        </w:rPr>
        <w:t>无。</w:t>
      </w:r>
    </w:p>
    <w:p>
      <w:pPr>
        <w:widowControl/>
        <w:spacing w:line="600" w:lineRule="exact"/>
        <w:ind w:firstLine="645"/>
        <w:jc w:val="left"/>
        <w:rPr>
          <w:rFonts w:ascii="黑体" w:hAnsi="黑体" w:eastAsia="黑体"/>
          <w:sz w:val="40"/>
          <w:szCs w:val="40"/>
        </w:rPr>
      </w:pPr>
    </w:p>
    <w:p>
      <w:pPr>
        <w:widowControl/>
        <w:spacing w:line="560" w:lineRule="exact"/>
        <w:ind w:firstLine="645"/>
        <w:jc w:val="left"/>
        <w:rPr>
          <w:rFonts w:ascii="仿宋_GB2312" w:hAnsi="黑体" w:eastAsia="仿宋_GB2312"/>
          <w:sz w:val="40"/>
          <w:szCs w:val="40"/>
        </w:rPr>
      </w:pPr>
      <w:r>
        <w:rPr>
          <w:rFonts w:hint="eastAsia" w:ascii="仿宋_GB2312" w:hAnsi="黑体" w:eastAsia="仿宋_GB2312"/>
          <w:sz w:val="40"/>
          <w:szCs w:val="40"/>
        </w:rPr>
        <w:t>附表：1、部门整体支出绩效评价指标评分表</w:t>
      </w:r>
    </w:p>
    <w:p>
      <w:pPr>
        <w:widowControl/>
        <w:spacing w:line="560" w:lineRule="exact"/>
        <w:ind w:firstLine="2000" w:firstLineChars="500"/>
        <w:jc w:val="left"/>
        <w:rPr>
          <w:sz w:val="24"/>
          <w:szCs w:val="32"/>
        </w:rPr>
      </w:pPr>
      <w:r>
        <w:rPr>
          <w:rFonts w:hint="eastAsia" w:ascii="仿宋_GB2312" w:hAnsi="黑体" w:eastAsia="仿宋_GB2312"/>
          <w:sz w:val="40"/>
          <w:szCs w:val="40"/>
        </w:rPr>
        <w:t>2、部门整体支出绩效评价基础数据表</w:t>
      </w:r>
    </w:p>
    <w:p>
      <w:pPr>
        <w:rPr>
          <w:sz w:val="24"/>
          <w:szCs w:val="32"/>
        </w:rPr>
      </w:pPr>
    </w:p>
    <w:p>
      <w:pPr>
        <w:rPr>
          <w:sz w:val="24"/>
          <w:szCs w:val="32"/>
        </w:rPr>
      </w:pPr>
    </w:p>
    <w:p>
      <w:pPr>
        <w:rPr>
          <w:sz w:val="24"/>
          <w:szCs w:val="32"/>
        </w:rPr>
      </w:pPr>
    </w:p>
    <w:p>
      <w:pPr>
        <w:pStyle w:val="7"/>
        <w:ind w:firstLine="720"/>
        <w:rPr>
          <w:sz w:val="36"/>
          <w:szCs w:val="36"/>
        </w:rPr>
      </w:pPr>
    </w:p>
    <w:p>
      <w:pPr>
        <w:pStyle w:val="7"/>
        <w:ind w:firstLine="720"/>
        <w:rPr>
          <w:sz w:val="36"/>
          <w:szCs w:val="36"/>
        </w:rPr>
      </w:pPr>
    </w:p>
    <w:p>
      <w:pPr>
        <w:rPr>
          <w:sz w:val="24"/>
          <w:szCs w:val="32"/>
        </w:rPr>
      </w:pPr>
    </w:p>
    <w:p>
      <w:pPr>
        <w:rPr>
          <w:sz w:val="24"/>
          <w:szCs w:val="32"/>
        </w:rPr>
      </w:pPr>
    </w:p>
    <w:p>
      <w:pPr>
        <w:rPr>
          <w:sz w:val="24"/>
          <w:szCs w:val="32"/>
        </w:rPr>
      </w:pPr>
    </w:p>
    <w:p>
      <w:pPr>
        <w:rPr>
          <w:sz w:val="24"/>
          <w:szCs w:val="32"/>
        </w:rPr>
      </w:pPr>
    </w:p>
    <w:p>
      <w:pPr>
        <w:rPr>
          <w:sz w:val="24"/>
          <w:szCs w:val="32"/>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pStyle w:val="7"/>
        <w:ind w:firstLine="720"/>
        <w:rPr>
          <w:sz w:val="36"/>
          <w:szCs w:val="36"/>
        </w:rPr>
      </w:pPr>
    </w:p>
    <w:p>
      <w:pPr>
        <w:rPr>
          <w:sz w:val="24"/>
          <w:szCs w:val="32"/>
        </w:rPr>
      </w:pPr>
    </w:p>
    <w:p>
      <w:pPr>
        <w:ind w:left="8140" w:leftChars="3876"/>
        <w:jc w:val="left"/>
        <w:rPr>
          <w:rFonts w:eastAsia="方正小标宋_GBK"/>
          <w:kern w:val="0"/>
          <w:sz w:val="32"/>
          <w:szCs w:val="32"/>
        </w:rPr>
      </w:pPr>
    </w:p>
    <w:p>
      <w:pPr>
        <w:jc w:val="center"/>
        <w:rPr>
          <w:rFonts w:eastAsia="方正小标宋_GBK"/>
          <w:kern w:val="0"/>
          <w:sz w:val="44"/>
          <w:szCs w:val="44"/>
        </w:rPr>
      </w:pPr>
    </w:p>
    <w:p>
      <w:pPr>
        <w:jc w:val="center"/>
        <w:rPr>
          <w:rFonts w:eastAsia="方正小标宋_GBK"/>
          <w:kern w:val="0"/>
          <w:sz w:val="44"/>
          <w:szCs w:val="44"/>
        </w:rPr>
      </w:pPr>
      <w:r>
        <w:rPr>
          <w:rFonts w:eastAsia="方正小标宋_GBK"/>
          <w:kern w:val="0"/>
          <w:sz w:val="44"/>
          <w:szCs w:val="44"/>
        </w:rPr>
        <w:t>部门</w:t>
      </w:r>
      <w:r>
        <w:rPr>
          <w:rFonts w:hint="eastAsia" w:eastAsia="方正小标宋_GBK"/>
          <w:kern w:val="0"/>
          <w:sz w:val="44"/>
          <w:szCs w:val="44"/>
        </w:rPr>
        <w:t>整体</w:t>
      </w:r>
      <w:r>
        <w:rPr>
          <w:rFonts w:eastAsia="方正小标宋_GBK"/>
          <w:kern w:val="0"/>
          <w:sz w:val="44"/>
          <w:szCs w:val="44"/>
        </w:rPr>
        <w:t>支出绩效评价指标</w:t>
      </w:r>
      <w:r>
        <w:rPr>
          <w:rFonts w:hint="eastAsia" w:eastAsia="方正小标宋_GBK"/>
          <w:kern w:val="0"/>
          <w:sz w:val="44"/>
          <w:szCs w:val="44"/>
        </w:rPr>
        <w:t>评分</w:t>
      </w:r>
      <w:r>
        <w:rPr>
          <w:rFonts w:eastAsia="方正小标宋_GBK"/>
          <w:kern w:val="0"/>
          <w:sz w:val="44"/>
          <w:szCs w:val="44"/>
        </w:rPr>
        <w:t>表</w:t>
      </w:r>
    </w:p>
    <w:p>
      <w:pPr>
        <w:rPr>
          <w:rFonts w:eastAsia="仿宋_GB2312"/>
          <w:kern w:val="0"/>
          <w:sz w:val="32"/>
          <w:szCs w:val="32"/>
        </w:rPr>
      </w:pPr>
      <w:r>
        <w:rPr>
          <w:rFonts w:eastAsia="仿宋_GB2312"/>
          <w:kern w:val="0"/>
          <w:sz w:val="32"/>
          <w:szCs w:val="32"/>
        </w:rPr>
        <w:t>填报单位：</w:t>
      </w:r>
      <w:r>
        <w:rPr>
          <w:rFonts w:hint="eastAsia" w:eastAsia="仿宋_GB2312"/>
          <w:kern w:val="0"/>
          <w:sz w:val="32"/>
          <w:szCs w:val="32"/>
        </w:rPr>
        <w:t>玉合街道办事处       填报人：周志刚        电话：13975478931</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51"/>
        <w:gridCol w:w="848"/>
        <w:gridCol w:w="489"/>
        <w:gridCol w:w="2880"/>
        <w:gridCol w:w="333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blHeader/>
          <w:jc w:val="center"/>
        </w:trPr>
        <w:tc>
          <w:tcPr>
            <w:tcW w:w="763" w:type="dxa"/>
            <w:noWrap/>
            <w:vAlign w:val="center"/>
          </w:tcPr>
          <w:p>
            <w:pPr>
              <w:widowControl/>
              <w:spacing w:line="280" w:lineRule="exact"/>
              <w:jc w:val="left"/>
              <w:rPr>
                <w:rFonts w:ascii="黑体" w:eastAsia="黑体"/>
                <w:kern w:val="0"/>
                <w:sz w:val="22"/>
                <w:szCs w:val="22"/>
              </w:rPr>
            </w:pPr>
            <w:r>
              <w:rPr>
                <w:rFonts w:hint="eastAsia" w:ascii="黑体" w:eastAsia="黑体"/>
                <w:kern w:val="0"/>
                <w:sz w:val="22"/>
                <w:szCs w:val="22"/>
              </w:rPr>
              <w:t>一级指标</w:t>
            </w:r>
          </w:p>
        </w:tc>
        <w:tc>
          <w:tcPr>
            <w:tcW w:w="751"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二级指标</w:t>
            </w:r>
          </w:p>
        </w:tc>
        <w:tc>
          <w:tcPr>
            <w:tcW w:w="848"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三级</w:t>
            </w:r>
          </w:p>
          <w:p>
            <w:pPr>
              <w:widowControl/>
              <w:spacing w:line="280" w:lineRule="exact"/>
              <w:jc w:val="center"/>
              <w:rPr>
                <w:rFonts w:ascii="黑体" w:eastAsia="黑体"/>
                <w:kern w:val="0"/>
                <w:sz w:val="22"/>
                <w:szCs w:val="22"/>
              </w:rPr>
            </w:pPr>
            <w:r>
              <w:rPr>
                <w:rFonts w:hint="eastAsia" w:ascii="黑体" w:eastAsia="黑体"/>
                <w:kern w:val="0"/>
                <w:sz w:val="22"/>
                <w:szCs w:val="22"/>
              </w:rPr>
              <w:t>指标</w:t>
            </w:r>
          </w:p>
        </w:tc>
        <w:tc>
          <w:tcPr>
            <w:tcW w:w="489"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分值</w:t>
            </w:r>
          </w:p>
        </w:tc>
        <w:tc>
          <w:tcPr>
            <w:tcW w:w="2880"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评价标准</w:t>
            </w:r>
          </w:p>
        </w:tc>
        <w:tc>
          <w:tcPr>
            <w:tcW w:w="3337"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指标说明</w:t>
            </w:r>
          </w:p>
        </w:tc>
        <w:tc>
          <w:tcPr>
            <w:tcW w:w="489" w:type="dxa"/>
            <w:noWrap/>
            <w:vAlign w:val="center"/>
          </w:tcPr>
          <w:p>
            <w:pPr>
              <w:widowControl/>
              <w:spacing w:line="280" w:lineRule="exact"/>
              <w:jc w:val="center"/>
              <w:rPr>
                <w:rFonts w:ascii="黑体" w:eastAsia="黑体"/>
                <w:kern w:val="0"/>
                <w:sz w:val="22"/>
                <w:szCs w:val="22"/>
              </w:rPr>
            </w:pPr>
            <w:r>
              <w:rPr>
                <w:rFonts w:hint="eastAsia" w:ascii="黑体" w:eastAsia="黑体"/>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63"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投入</w:t>
            </w:r>
          </w:p>
          <w:p>
            <w:pPr>
              <w:widowControl/>
              <w:spacing w:line="280" w:lineRule="exact"/>
              <w:jc w:val="center"/>
              <w:rPr>
                <w:rFonts w:eastAsia="仿宋_GB2312"/>
                <w:kern w:val="0"/>
                <w:sz w:val="22"/>
                <w:szCs w:val="22"/>
              </w:rPr>
            </w:pPr>
            <w:r>
              <w:rPr>
                <w:rFonts w:hint="eastAsia" w:eastAsia="仿宋_GB2312"/>
                <w:kern w:val="0"/>
                <w:sz w:val="22"/>
                <w:szCs w:val="22"/>
              </w:rPr>
              <w:t>（10分）</w:t>
            </w:r>
          </w:p>
        </w:tc>
        <w:tc>
          <w:tcPr>
            <w:tcW w:w="751"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预算配置</w:t>
            </w:r>
          </w:p>
          <w:p>
            <w:pPr>
              <w:widowControl/>
              <w:spacing w:line="280" w:lineRule="exact"/>
              <w:jc w:val="center"/>
              <w:rPr>
                <w:rFonts w:eastAsia="仿宋_GB2312"/>
                <w:kern w:val="0"/>
                <w:sz w:val="22"/>
                <w:szCs w:val="22"/>
              </w:rPr>
            </w:pPr>
            <w:r>
              <w:rPr>
                <w:rFonts w:hint="eastAsia" w:eastAsia="仿宋_GB2312"/>
                <w:kern w:val="0"/>
                <w:sz w:val="22"/>
                <w:szCs w:val="22"/>
              </w:rPr>
              <w:t>（</w:t>
            </w:r>
            <w:r>
              <w:rPr>
                <w:rFonts w:eastAsia="仿宋_GB2312"/>
                <w:kern w:val="0"/>
                <w:sz w:val="22"/>
                <w:szCs w:val="22"/>
              </w:rPr>
              <w:t>10</w:t>
            </w:r>
            <w:r>
              <w:rPr>
                <w:rFonts w:hint="eastAsia" w:eastAsia="仿宋_GB2312"/>
                <w:kern w:val="0"/>
                <w:sz w:val="22"/>
                <w:szCs w:val="22"/>
              </w:rPr>
              <w:t>分）</w:t>
            </w: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在职人员控制率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以100%为标准。在职人员控制率</w:t>
            </w:r>
            <w:r>
              <w:rPr>
                <w:rFonts w:hint="eastAsia" w:ascii="宋体" w:hAnsi="宋体" w:cs="宋体"/>
                <w:kern w:val="0"/>
                <w:sz w:val="22"/>
                <w:szCs w:val="22"/>
              </w:rPr>
              <w:t>≦</w:t>
            </w:r>
            <w:r>
              <w:rPr>
                <w:rFonts w:eastAsia="仿宋_GB2312"/>
                <w:kern w:val="0"/>
                <w:sz w:val="22"/>
                <w:szCs w:val="22"/>
              </w:rPr>
              <w:t>100%，计5分；每超过一个百分点扣0.5分，扣完为止。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在职人员控制率=（在职人员数/编制数）×100%，在职人员数：部门（单位）实际在职人数，以财政</w:t>
            </w:r>
            <w:r>
              <w:rPr>
                <w:rFonts w:hint="eastAsia" w:eastAsia="仿宋_GB2312"/>
                <w:kern w:val="0"/>
                <w:sz w:val="22"/>
                <w:szCs w:val="22"/>
              </w:rPr>
              <w:t>局</w:t>
            </w:r>
            <w:r>
              <w:rPr>
                <w:rFonts w:eastAsia="仿宋_GB2312"/>
                <w:kern w:val="0"/>
                <w:sz w:val="22"/>
                <w:szCs w:val="22"/>
              </w:rPr>
              <w:t>确定的部门决算编制口径为准。</w:t>
            </w:r>
          </w:p>
          <w:p>
            <w:pPr>
              <w:widowControl/>
              <w:spacing w:line="280" w:lineRule="exact"/>
              <w:jc w:val="left"/>
              <w:rPr>
                <w:rFonts w:eastAsia="仿宋_GB2312"/>
                <w:kern w:val="0"/>
                <w:sz w:val="22"/>
                <w:szCs w:val="22"/>
              </w:rPr>
            </w:pPr>
            <w:r>
              <w:rPr>
                <w:rFonts w:eastAsia="仿宋_GB2312"/>
                <w:kern w:val="0"/>
                <w:sz w:val="22"/>
                <w:szCs w:val="22"/>
              </w:rPr>
              <w:t>编制数：机构编制部门核定批复的部门（单位）的人员编制数。</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“三公经费”变动率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“三公经费”变动率</w:t>
            </w:r>
            <w:r>
              <w:rPr>
                <w:rFonts w:hint="eastAsia" w:ascii="宋体" w:hAnsi="宋体" w:cs="宋体"/>
                <w:kern w:val="0"/>
                <w:sz w:val="22"/>
                <w:szCs w:val="22"/>
              </w:rPr>
              <w:t>≦</w:t>
            </w:r>
            <w:r>
              <w:rPr>
                <w:rFonts w:eastAsia="仿宋_GB2312"/>
                <w:kern w:val="0"/>
                <w:sz w:val="22"/>
                <w:szCs w:val="22"/>
              </w:rPr>
              <w:t>0,计</w:t>
            </w:r>
            <w:r>
              <w:rPr>
                <w:rFonts w:hint="eastAsia" w:eastAsia="仿宋_GB2312"/>
                <w:color w:val="0000FF"/>
                <w:kern w:val="0"/>
                <w:sz w:val="22"/>
                <w:szCs w:val="22"/>
              </w:rPr>
              <w:t>5</w:t>
            </w:r>
            <w:r>
              <w:rPr>
                <w:rFonts w:eastAsia="仿宋_GB2312"/>
                <w:kern w:val="0"/>
                <w:sz w:val="22"/>
                <w:szCs w:val="22"/>
              </w:rPr>
              <w:t>分；“三公经费”＞0，每超过一个百分点扣0.8分，扣完为止。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“三公经费”变动率=[（本年度“三公经费”预算数-上年度“三公经费”预算数）/上年度“三公经费”预算数]×100%</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过</w:t>
            </w:r>
            <w:r>
              <w:rPr>
                <w:rFonts w:hint="eastAsia" w:eastAsia="仿宋_GB2312"/>
                <w:kern w:val="0"/>
                <w:sz w:val="22"/>
                <w:szCs w:val="22"/>
              </w:rPr>
              <w:t>程</w:t>
            </w:r>
          </w:p>
          <w:p>
            <w:pPr>
              <w:widowControl/>
              <w:spacing w:line="280" w:lineRule="exact"/>
              <w:jc w:val="center"/>
              <w:rPr>
                <w:rFonts w:eastAsia="仿宋_GB2312"/>
                <w:kern w:val="0"/>
                <w:sz w:val="22"/>
                <w:szCs w:val="22"/>
              </w:rPr>
            </w:pPr>
            <w:r>
              <w:rPr>
                <w:rFonts w:hint="eastAsia" w:eastAsia="仿宋_GB2312"/>
                <w:kern w:val="0"/>
                <w:sz w:val="22"/>
                <w:szCs w:val="22"/>
              </w:rPr>
              <w:t>（60分）</w:t>
            </w:r>
          </w:p>
          <w:p>
            <w:pPr>
              <w:spacing w:line="280" w:lineRule="exact"/>
              <w:jc w:val="left"/>
              <w:rPr>
                <w:rFonts w:eastAsia="仿宋_GB2312"/>
                <w:kern w:val="0"/>
                <w:sz w:val="22"/>
                <w:szCs w:val="22"/>
              </w:rPr>
            </w:pPr>
          </w:p>
          <w:p>
            <w:pPr>
              <w:spacing w:line="280" w:lineRule="exact"/>
              <w:jc w:val="left"/>
              <w:rPr>
                <w:rFonts w:eastAsia="仿宋_GB2312"/>
                <w:kern w:val="0"/>
                <w:sz w:val="22"/>
                <w:szCs w:val="22"/>
              </w:rPr>
            </w:pPr>
          </w:p>
        </w:tc>
        <w:tc>
          <w:tcPr>
            <w:tcW w:w="751"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预算执行</w:t>
            </w:r>
          </w:p>
          <w:p>
            <w:pPr>
              <w:widowControl/>
              <w:spacing w:line="280" w:lineRule="exact"/>
              <w:jc w:val="center"/>
              <w:rPr>
                <w:rFonts w:eastAsia="仿宋_GB2312"/>
                <w:kern w:val="0"/>
                <w:sz w:val="22"/>
                <w:szCs w:val="22"/>
              </w:rPr>
            </w:pPr>
            <w:r>
              <w:rPr>
                <w:rFonts w:hint="eastAsia" w:eastAsia="仿宋_GB2312"/>
                <w:kern w:val="0"/>
                <w:sz w:val="22"/>
                <w:szCs w:val="22"/>
              </w:rPr>
              <w:t>（20分）</w:t>
            </w: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预算完成率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100%计满分，每低于5%扣2分，扣完为止。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预算完成率=（上年结转+年初预算+本年追加预算-年末结余）/（上年结转+年初预算+本年追加预算）×100%。</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预算控制率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预算控制率=0，计5分；0-10%（含），计4分；10-20%（含），计3分；20-30%（含），计2分；大于30%不得分。</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预算控制率=（本年追加预算/年初预算）×100%。</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新建楼堂馆所面积控制率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100%以下（含）计满分，每超出5%扣2分，扣完为止。没有楼堂馆所项目的部门按满分计算。</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楼堂馆所面积控制率=实际建设面积/批准建设面积×100% 。</w:t>
            </w:r>
          </w:p>
          <w:p>
            <w:pPr>
              <w:widowControl/>
              <w:spacing w:line="280" w:lineRule="exact"/>
              <w:jc w:val="left"/>
              <w:rPr>
                <w:rFonts w:eastAsia="仿宋_GB2312"/>
                <w:kern w:val="0"/>
                <w:sz w:val="22"/>
                <w:szCs w:val="22"/>
              </w:rPr>
            </w:pPr>
            <w:r>
              <w:rPr>
                <w:rFonts w:eastAsia="仿宋_GB2312"/>
                <w:kern w:val="0"/>
                <w:sz w:val="22"/>
                <w:szCs w:val="22"/>
              </w:rPr>
              <w:t>该指标以</w:t>
            </w:r>
            <w:r>
              <w:rPr>
                <w:rFonts w:hint="eastAsia" w:eastAsia="仿宋_GB2312"/>
                <w:kern w:val="0"/>
                <w:sz w:val="22"/>
                <w:szCs w:val="22"/>
              </w:rPr>
              <w:t>2022年</w:t>
            </w:r>
            <w:r>
              <w:rPr>
                <w:rFonts w:eastAsia="仿宋_GB2312"/>
                <w:kern w:val="0"/>
                <w:sz w:val="22"/>
                <w:szCs w:val="22"/>
              </w:rPr>
              <w:t>完工的新建楼堂馆所为评价内容。</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新建楼堂馆所投资概算控制率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100%以下（含）计满分，每超出5%扣2分，扣完为止。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楼堂馆所投资预算控制率=实际投资金额/批准投资金额×100% 。</w:t>
            </w:r>
          </w:p>
          <w:p>
            <w:pPr>
              <w:widowControl/>
              <w:spacing w:line="280" w:lineRule="exact"/>
              <w:jc w:val="left"/>
              <w:rPr>
                <w:rFonts w:eastAsia="仿宋_GB2312"/>
                <w:kern w:val="0"/>
                <w:sz w:val="22"/>
                <w:szCs w:val="22"/>
              </w:rPr>
            </w:pPr>
            <w:r>
              <w:rPr>
                <w:rFonts w:eastAsia="仿宋_GB2312"/>
                <w:kern w:val="0"/>
                <w:sz w:val="22"/>
                <w:szCs w:val="22"/>
              </w:rPr>
              <w:t>该指标以</w:t>
            </w:r>
            <w:r>
              <w:rPr>
                <w:rFonts w:hint="eastAsia" w:eastAsia="仿宋_GB2312"/>
                <w:kern w:val="0"/>
                <w:sz w:val="22"/>
                <w:szCs w:val="22"/>
              </w:rPr>
              <w:t>2022年</w:t>
            </w:r>
            <w:r>
              <w:rPr>
                <w:rFonts w:eastAsia="仿宋_GB2312"/>
                <w:kern w:val="0"/>
                <w:sz w:val="22"/>
                <w:szCs w:val="22"/>
              </w:rPr>
              <w:t>完工的新建楼堂馆所为评价内容。</w:t>
            </w:r>
          </w:p>
        </w:tc>
        <w:tc>
          <w:tcPr>
            <w:tcW w:w="489" w:type="dxa"/>
            <w:noWrap/>
            <w:vAlign w:val="center"/>
          </w:tcPr>
          <w:p>
            <w:pPr>
              <w:widowControl/>
              <w:spacing w:line="280" w:lineRule="exact"/>
              <w:jc w:val="left"/>
              <w:rPr>
                <w:kern w:val="0"/>
                <w:sz w:val="32"/>
                <w:szCs w:val="32"/>
              </w:rPr>
            </w:pPr>
            <w:r>
              <w:rPr>
                <w:rFonts w:hint="eastAsia"/>
                <w:kern w:val="0"/>
                <w:sz w:val="32"/>
                <w:szCs w:val="32"/>
              </w:rPr>
              <w:t>5</w:t>
            </w:r>
            <w:r>
              <w:rPr>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预算管理</w:t>
            </w:r>
          </w:p>
          <w:p>
            <w:pPr>
              <w:widowControl/>
              <w:spacing w:line="280" w:lineRule="exact"/>
              <w:jc w:val="center"/>
              <w:rPr>
                <w:rFonts w:eastAsia="仿宋_GB2312"/>
                <w:kern w:val="0"/>
                <w:sz w:val="22"/>
                <w:szCs w:val="22"/>
              </w:rPr>
            </w:pPr>
            <w:r>
              <w:rPr>
                <w:rFonts w:hint="eastAsia" w:eastAsia="仿宋_GB2312"/>
                <w:kern w:val="0"/>
                <w:sz w:val="22"/>
                <w:szCs w:val="22"/>
              </w:rPr>
              <w:t>（40分）</w:t>
            </w:r>
          </w:p>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公用经费控制率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8</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100%以下（含）计满分，每超出1%扣1分，扣完为止。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公用经费控制率=（实际支出公用经费总额/预算安排公用经费总额）×100%。</w:t>
            </w:r>
          </w:p>
          <w:p>
            <w:pPr>
              <w:widowControl/>
              <w:spacing w:line="280" w:lineRule="exact"/>
              <w:jc w:val="left"/>
              <w:rPr>
                <w:rFonts w:eastAsia="仿宋_GB2312"/>
                <w:kern w:val="0"/>
                <w:sz w:val="22"/>
                <w:szCs w:val="22"/>
              </w:rPr>
            </w:pPr>
            <w:r>
              <w:rPr>
                <w:rFonts w:eastAsia="仿宋_GB2312"/>
                <w:kern w:val="0"/>
                <w:sz w:val="22"/>
                <w:szCs w:val="22"/>
              </w:rPr>
              <w:t>公用经费支出是指部门基本支出中的一般商品和服务支出。</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“三公经费”控制率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7</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100%以下（含）计满分，每超出1%扣1分，扣完为止。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“三公经费”控制率-（“三公经费”实际支出数/“三公经费”预算安排数）×100%。</w:t>
            </w:r>
          </w:p>
        </w:tc>
        <w:tc>
          <w:tcPr>
            <w:tcW w:w="489" w:type="dxa"/>
            <w:noWrap/>
            <w:vAlign w:val="center"/>
          </w:tcPr>
          <w:p>
            <w:pPr>
              <w:widowControl/>
              <w:spacing w:line="280" w:lineRule="exact"/>
              <w:jc w:val="left"/>
              <w:rPr>
                <w:kern w:val="0"/>
                <w:sz w:val="32"/>
                <w:szCs w:val="32"/>
              </w:rPr>
            </w:pPr>
            <w:r>
              <w:rPr>
                <w:rFonts w:hint="eastAsia"/>
                <w:kern w:val="0"/>
                <w:sz w:val="32"/>
                <w:szCs w:val="32"/>
              </w:rPr>
              <w:t>7</w:t>
            </w:r>
            <w:r>
              <w:rPr>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政府采购执行率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6</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100%计满分，每超过（降低）5%扣2分。扣完为止。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政府采购执行率=（实际政府采购金额/政府采购预算数）×100%</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ign w:val="center"/>
          </w:tcPr>
          <w:p>
            <w:pPr>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管理制度健全性</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8</w:t>
            </w:r>
          </w:p>
        </w:tc>
        <w:tc>
          <w:tcPr>
            <w:tcW w:w="2880" w:type="dxa"/>
            <w:noWrap/>
            <w:vAlign w:val="center"/>
          </w:tcPr>
          <w:p>
            <w:pPr>
              <w:widowControl/>
              <w:spacing w:line="280" w:lineRule="exact"/>
              <w:jc w:val="left"/>
              <w:rPr>
                <w:rFonts w:eastAsia="仿宋_GB2312"/>
                <w:kern w:val="0"/>
                <w:sz w:val="22"/>
                <w:szCs w:val="22"/>
              </w:rPr>
            </w:pPr>
            <w:r>
              <w:rPr>
                <w:rFonts w:hint="eastAsia" w:ascii="宋体" w:hAnsi="宋体" w:cs="宋体"/>
                <w:kern w:val="0"/>
                <w:sz w:val="22"/>
                <w:szCs w:val="22"/>
              </w:rPr>
              <w:t>①</w:t>
            </w:r>
            <w:r>
              <w:rPr>
                <w:rFonts w:eastAsia="仿宋_GB2312"/>
                <w:kern w:val="0"/>
                <w:sz w:val="22"/>
                <w:szCs w:val="22"/>
              </w:rPr>
              <w:t>有内部财务管理制度、会计核算制度等管理制度，2分；</w:t>
            </w:r>
          </w:p>
          <w:p>
            <w:pPr>
              <w:widowControl/>
              <w:spacing w:line="280" w:lineRule="exact"/>
              <w:jc w:val="left"/>
              <w:rPr>
                <w:rFonts w:eastAsia="仿宋_GB2312"/>
                <w:kern w:val="0"/>
                <w:sz w:val="22"/>
                <w:szCs w:val="22"/>
              </w:rPr>
            </w:pPr>
            <w:r>
              <w:rPr>
                <w:rFonts w:hint="eastAsia" w:ascii="宋体" w:hAnsi="宋体" w:cs="宋体"/>
                <w:kern w:val="0"/>
                <w:sz w:val="22"/>
                <w:szCs w:val="22"/>
              </w:rPr>
              <w:t>②</w:t>
            </w:r>
            <w:r>
              <w:rPr>
                <w:rFonts w:eastAsia="仿宋_GB2312"/>
                <w:kern w:val="0"/>
                <w:sz w:val="22"/>
                <w:szCs w:val="22"/>
              </w:rPr>
              <w:t>有本部门厉行节约制度,2分；</w:t>
            </w:r>
          </w:p>
          <w:p>
            <w:pPr>
              <w:widowControl/>
              <w:spacing w:line="280" w:lineRule="exact"/>
              <w:jc w:val="left"/>
              <w:rPr>
                <w:rFonts w:eastAsia="仿宋_GB2312"/>
                <w:kern w:val="0"/>
                <w:sz w:val="22"/>
                <w:szCs w:val="22"/>
              </w:rPr>
            </w:pPr>
            <w:r>
              <w:rPr>
                <w:rFonts w:hint="eastAsia" w:ascii="宋体" w:hAnsi="宋体" w:cs="宋体"/>
                <w:kern w:val="0"/>
                <w:sz w:val="22"/>
                <w:szCs w:val="22"/>
              </w:rPr>
              <w:t>③</w:t>
            </w:r>
            <w:r>
              <w:rPr>
                <w:rFonts w:eastAsia="仿宋_GB2312"/>
                <w:kern w:val="0"/>
                <w:sz w:val="22"/>
                <w:szCs w:val="22"/>
              </w:rPr>
              <w:t>相关管理制度合法、合规、完整，2分；</w:t>
            </w:r>
            <w:r>
              <w:rPr>
                <w:rFonts w:hint="eastAsia" w:ascii="宋体" w:hAnsi="宋体" w:cs="宋体"/>
                <w:kern w:val="0"/>
                <w:sz w:val="22"/>
                <w:szCs w:val="22"/>
              </w:rPr>
              <w:t>④</w:t>
            </w:r>
            <w:r>
              <w:rPr>
                <w:rFonts w:eastAsia="仿宋_GB2312"/>
                <w:kern w:val="0"/>
                <w:sz w:val="22"/>
                <w:szCs w:val="22"/>
              </w:rPr>
              <w:t>相关管理制度得到有效执行，2分。</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　</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63" w:type="dxa"/>
            <w:vMerge w:val="restart"/>
            <w:noWrap/>
            <w:vAlign w:val="center"/>
          </w:tcPr>
          <w:p>
            <w:pPr>
              <w:spacing w:line="280" w:lineRule="exact"/>
              <w:jc w:val="center"/>
              <w:rPr>
                <w:rFonts w:eastAsia="仿宋_GB2312"/>
                <w:kern w:val="0"/>
                <w:sz w:val="22"/>
                <w:szCs w:val="22"/>
              </w:rPr>
            </w:pPr>
            <w:r>
              <w:rPr>
                <w:rFonts w:eastAsia="仿宋_GB2312"/>
                <w:kern w:val="0"/>
                <w:sz w:val="22"/>
                <w:szCs w:val="22"/>
              </w:rPr>
              <w:t>过</w:t>
            </w:r>
            <w:r>
              <w:rPr>
                <w:rFonts w:hint="eastAsia" w:eastAsia="仿宋_GB2312"/>
                <w:kern w:val="0"/>
                <w:sz w:val="22"/>
                <w:szCs w:val="22"/>
              </w:rPr>
              <w:t>程</w:t>
            </w:r>
          </w:p>
          <w:p>
            <w:pPr>
              <w:widowControl/>
              <w:spacing w:line="280" w:lineRule="exact"/>
              <w:jc w:val="left"/>
              <w:rPr>
                <w:rFonts w:eastAsia="仿宋_GB2312"/>
                <w:kern w:val="0"/>
                <w:sz w:val="22"/>
                <w:szCs w:val="22"/>
              </w:rPr>
            </w:pPr>
            <w:r>
              <w:rPr>
                <w:rFonts w:hint="eastAsia" w:eastAsia="仿宋_GB2312"/>
                <w:kern w:val="0"/>
                <w:sz w:val="22"/>
                <w:szCs w:val="22"/>
              </w:rPr>
              <w:t>（60分）</w:t>
            </w:r>
          </w:p>
        </w:tc>
        <w:tc>
          <w:tcPr>
            <w:tcW w:w="751" w:type="dxa"/>
            <w:vMerge w:val="restart"/>
            <w:noWrap/>
            <w:vAlign w:val="center"/>
          </w:tcPr>
          <w:p>
            <w:pPr>
              <w:widowControl/>
              <w:spacing w:line="280" w:lineRule="exact"/>
              <w:jc w:val="left"/>
              <w:rPr>
                <w:rFonts w:eastAsia="仿宋_GB2312"/>
                <w:kern w:val="0"/>
                <w:sz w:val="22"/>
                <w:szCs w:val="22"/>
              </w:rPr>
            </w:pPr>
            <w:r>
              <w:rPr>
                <w:rFonts w:eastAsia="仿宋_GB2312"/>
                <w:kern w:val="0"/>
                <w:sz w:val="22"/>
                <w:szCs w:val="22"/>
              </w:rPr>
              <w:t>预算管理</w:t>
            </w:r>
          </w:p>
          <w:p>
            <w:pPr>
              <w:widowControl/>
              <w:spacing w:line="280" w:lineRule="exact"/>
              <w:jc w:val="left"/>
              <w:rPr>
                <w:rFonts w:eastAsia="仿宋_GB2312"/>
                <w:kern w:val="0"/>
                <w:sz w:val="22"/>
                <w:szCs w:val="22"/>
              </w:rPr>
            </w:pPr>
            <w:r>
              <w:rPr>
                <w:rFonts w:hint="eastAsia" w:eastAsia="仿宋_GB2312"/>
                <w:kern w:val="0"/>
                <w:sz w:val="22"/>
                <w:szCs w:val="22"/>
              </w:rPr>
              <w:t>（40分）</w:t>
            </w: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资金使用合规性</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6</w:t>
            </w:r>
          </w:p>
        </w:tc>
        <w:tc>
          <w:tcPr>
            <w:tcW w:w="2880" w:type="dxa"/>
            <w:noWrap/>
            <w:vAlign w:val="center"/>
          </w:tcPr>
          <w:p>
            <w:pPr>
              <w:widowControl/>
              <w:spacing w:line="280" w:lineRule="exact"/>
              <w:jc w:val="left"/>
              <w:rPr>
                <w:rFonts w:eastAsia="仿宋_GB2312"/>
                <w:kern w:val="0"/>
                <w:sz w:val="22"/>
                <w:szCs w:val="22"/>
              </w:rPr>
            </w:pPr>
            <w:r>
              <w:rPr>
                <w:rFonts w:hint="eastAsia" w:ascii="宋体" w:hAnsi="宋体" w:cs="宋体"/>
                <w:kern w:val="0"/>
                <w:sz w:val="22"/>
                <w:szCs w:val="22"/>
              </w:rPr>
              <w:t>①</w:t>
            </w:r>
            <w:r>
              <w:rPr>
                <w:rFonts w:eastAsia="仿宋_GB2312"/>
                <w:kern w:val="0"/>
                <w:sz w:val="22"/>
                <w:szCs w:val="22"/>
              </w:rPr>
              <w:t>支出符合国家财经法规和财务管理制度规定以及有关专项资金管理办法的规定；</w:t>
            </w:r>
            <w:r>
              <w:rPr>
                <w:rFonts w:hint="eastAsia" w:ascii="宋体" w:hAnsi="宋体" w:cs="宋体"/>
                <w:kern w:val="0"/>
                <w:sz w:val="22"/>
                <w:szCs w:val="22"/>
              </w:rPr>
              <w:t>②</w:t>
            </w:r>
            <w:r>
              <w:rPr>
                <w:rFonts w:eastAsia="仿宋_GB2312"/>
                <w:kern w:val="0"/>
                <w:sz w:val="22"/>
                <w:szCs w:val="22"/>
              </w:rPr>
              <w:t>资金拨付有完整的审批程序和手续；</w:t>
            </w:r>
            <w:r>
              <w:rPr>
                <w:rFonts w:hint="eastAsia" w:ascii="宋体" w:hAnsi="宋体" w:cs="宋体"/>
                <w:kern w:val="0"/>
                <w:sz w:val="22"/>
                <w:szCs w:val="22"/>
              </w:rPr>
              <w:t>③</w:t>
            </w:r>
            <w:r>
              <w:rPr>
                <w:rFonts w:eastAsia="仿宋_GB2312"/>
                <w:kern w:val="0"/>
                <w:sz w:val="22"/>
                <w:szCs w:val="22"/>
              </w:rPr>
              <w:t>项目支出按规定经过评估论证；</w:t>
            </w:r>
            <w:r>
              <w:rPr>
                <w:rFonts w:hint="eastAsia" w:ascii="宋体" w:hAnsi="宋体" w:cs="宋体"/>
                <w:kern w:val="0"/>
                <w:sz w:val="22"/>
                <w:szCs w:val="22"/>
              </w:rPr>
              <w:t>④</w:t>
            </w:r>
            <w:r>
              <w:rPr>
                <w:rFonts w:eastAsia="仿宋_GB2312"/>
                <w:kern w:val="0"/>
                <w:sz w:val="22"/>
                <w:szCs w:val="22"/>
              </w:rPr>
              <w:t>支出符合部门预算批复的用途；</w:t>
            </w:r>
            <w:r>
              <w:rPr>
                <w:rFonts w:hint="eastAsia" w:ascii="宋体" w:hAnsi="宋体" w:cs="宋体"/>
                <w:kern w:val="0"/>
                <w:sz w:val="22"/>
                <w:szCs w:val="22"/>
              </w:rPr>
              <w:t>⑤</w:t>
            </w:r>
            <w:r>
              <w:rPr>
                <w:rFonts w:eastAsia="仿宋_GB2312"/>
                <w:kern w:val="0"/>
                <w:sz w:val="22"/>
                <w:szCs w:val="22"/>
              </w:rPr>
              <w:t>资金使用无截留、挤占、挪用、虚列支出等情况。</w:t>
            </w:r>
          </w:p>
          <w:p>
            <w:pPr>
              <w:widowControl/>
              <w:spacing w:line="280" w:lineRule="exact"/>
              <w:jc w:val="left"/>
              <w:rPr>
                <w:rFonts w:eastAsia="仿宋_GB2312"/>
                <w:kern w:val="0"/>
                <w:sz w:val="22"/>
                <w:szCs w:val="22"/>
              </w:rPr>
            </w:pPr>
            <w:r>
              <w:rPr>
                <w:rFonts w:eastAsia="仿宋_GB2312"/>
                <w:kern w:val="0"/>
                <w:sz w:val="22"/>
                <w:szCs w:val="22"/>
              </w:rPr>
              <w:t>以上情况每出现一例不符合要求的扣1分，扣完为止。</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　</w:t>
            </w:r>
          </w:p>
        </w:tc>
        <w:tc>
          <w:tcPr>
            <w:tcW w:w="489" w:type="dxa"/>
            <w:noWrap/>
            <w:vAlign w:val="center"/>
          </w:tcPr>
          <w:p>
            <w:pPr>
              <w:widowControl/>
              <w:spacing w:line="280" w:lineRule="exact"/>
              <w:jc w:val="left"/>
              <w:rPr>
                <w:kern w:val="0"/>
                <w:sz w:val="32"/>
                <w:szCs w:val="32"/>
              </w:rPr>
            </w:pPr>
            <w:r>
              <w:rPr>
                <w:rFonts w:hint="eastAsia"/>
                <w:kern w:val="0"/>
                <w:sz w:val="32"/>
                <w:szCs w:val="32"/>
              </w:rPr>
              <w:t>6</w:t>
            </w:r>
            <w:r>
              <w:rPr>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预决算信息公开性</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5</w:t>
            </w:r>
          </w:p>
        </w:tc>
        <w:tc>
          <w:tcPr>
            <w:tcW w:w="2880" w:type="dxa"/>
            <w:noWrap/>
            <w:vAlign w:val="center"/>
          </w:tcPr>
          <w:p>
            <w:pPr>
              <w:widowControl/>
              <w:spacing w:line="280" w:lineRule="exact"/>
              <w:jc w:val="left"/>
              <w:rPr>
                <w:rFonts w:eastAsia="仿宋_GB2312"/>
                <w:kern w:val="0"/>
                <w:sz w:val="22"/>
                <w:szCs w:val="22"/>
              </w:rPr>
            </w:pPr>
            <w:r>
              <w:rPr>
                <w:rFonts w:hint="eastAsia" w:ascii="宋体" w:hAnsi="宋体" w:cs="宋体"/>
                <w:kern w:val="0"/>
                <w:sz w:val="22"/>
                <w:szCs w:val="22"/>
              </w:rPr>
              <w:t>①</w:t>
            </w:r>
            <w:r>
              <w:rPr>
                <w:rFonts w:eastAsia="仿宋_GB2312"/>
                <w:kern w:val="0"/>
                <w:sz w:val="22"/>
                <w:szCs w:val="22"/>
              </w:rPr>
              <w:t>按规定内容公开预决算信息，1分；</w:t>
            </w:r>
            <w:r>
              <w:rPr>
                <w:rFonts w:hint="eastAsia" w:ascii="宋体" w:hAnsi="宋体" w:cs="宋体"/>
                <w:kern w:val="0"/>
                <w:sz w:val="22"/>
                <w:szCs w:val="22"/>
              </w:rPr>
              <w:t>②</w:t>
            </w:r>
            <w:r>
              <w:rPr>
                <w:rFonts w:eastAsia="仿宋_GB2312"/>
                <w:kern w:val="0"/>
                <w:sz w:val="22"/>
                <w:szCs w:val="22"/>
              </w:rPr>
              <w:t>按规定时限公开预决算信息，1分；</w:t>
            </w:r>
            <w:r>
              <w:rPr>
                <w:rFonts w:hint="eastAsia" w:ascii="宋体" w:hAnsi="宋体" w:cs="宋体"/>
                <w:kern w:val="0"/>
                <w:sz w:val="22"/>
                <w:szCs w:val="22"/>
              </w:rPr>
              <w:t>③</w:t>
            </w:r>
            <w:r>
              <w:rPr>
                <w:rFonts w:eastAsia="仿宋_GB2312"/>
                <w:kern w:val="0"/>
                <w:sz w:val="22"/>
                <w:szCs w:val="22"/>
              </w:rPr>
              <w:t>基础数据信息和会计信息资料真实，1分；</w:t>
            </w:r>
            <w:r>
              <w:rPr>
                <w:rFonts w:hint="eastAsia" w:ascii="宋体" w:hAnsi="宋体" w:cs="宋体"/>
                <w:kern w:val="0"/>
                <w:sz w:val="22"/>
                <w:szCs w:val="22"/>
              </w:rPr>
              <w:t>④</w:t>
            </w:r>
            <w:r>
              <w:rPr>
                <w:rFonts w:eastAsia="仿宋_GB2312"/>
                <w:kern w:val="0"/>
                <w:sz w:val="22"/>
                <w:szCs w:val="22"/>
              </w:rPr>
              <w:t>基础数据信息和会计信息资料完整，1分；</w:t>
            </w:r>
            <w:r>
              <w:rPr>
                <w:rFonts w:hint="eastAsia" w:ascii="宋体" w:hAnsi="宋体" w:cs="宋体"/>
                <w:kern w:val="0"/>
                <w:sz w:val="22"/>
                <w:szCs w:val="22"/>
              </w:rPr>
              <w:t>⑤</w:t>
            </w:r>
            <w:r>
              <w:rPr>
                <w:rFonts w:eastAsia="仿宋_GB2312"/>
                <w:kern w:val="0"/>
                <w:sz w:val="22"/>
                <w:szCs w:val="22"/>
              </w:rPr>
              <w:t xml:space="preserve">基础数据信息和汇集信息资料准确，1分。  </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预决算信息是指与部门预算、执行、决算、监督、绩效等管理相关的信息。</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产出及效率</w:t>
            </w:r>
          </w:p>
          <w:p>
            <w:pPr>
              <w:widowControl/>
              <w:spacing w:line="280" w:lineRule="exact"/>
              <w:jc w:val="center"/>
              <w:rPr>
                <w:rFonts w:eastAsia="仿宋_GB2312"/>
                <w:kern w:val="0"/>
                <w:sz w:val="22"/>
                <w:szCs w:val="22"/>
              </w:rPr>
            </w:pPr>
            <w:r>
              <w:rPr>
                <w:rFonts w:hint="eastAsia" w:eastAsia="仿宋_GB2312"/>
                <w:kern w:val="0"/>
                <w:sz w:val="22"/>
                <w:szCs w:val="22"/>
              </w:rPr>
              <w:t>（30分）</w:t>
            </w:r>
          </w:p>
        </w:tc>
        <w:tc>
          <w:tcPr>
            <w:tcW w:w="751" w:type="dxa"/>
            <w:noWrap/>
            <w:vAlign w:val="center"/>
          </w:tcPr>
          <w:p>
            <w:pPr>
              <w:widowControl/>
              <w:spacing w:line="280" w:lineRule="exact"/>
              <w:jc w:val="center"/>
              <w:rPr>
                <w:rFonts w:eastAsia="仿宋_GB2312"/>
                <w:kern w:val="0"/>
                <w:sz w:val="22"/>
                <w:szCs w:val="22"/>
              </w:rPr>
            </w:pPr>
            <w:r>
              <w:rPr>
                <w:rFonts w:eastAsia="仿宋_GB2312"/>
                <w:kern w:val="0"/>
                <w:sz w:val="22"/>
                <w:szCs w:val="22"/>
              </w:rPr>
              <w:t>职责履行</w:t>
            </w:r>
          </w:p>
          <w:p>
            <w:pPr>
              <w:widowControl/>
              <w:spacing w:line="280" w:lineRule="exact"/>
              <w:jc w:val="center"/>
              <w:rPr>
                <w:rFonts w:eastAsia="仿宋_GB2312"/>
                <w:kern w:val="0"/>
                <w:sz w:val="22"/>
                <w:szCs w:val="22"/>
              </w:rPr>
            </w:pPr>
            <w:r>
              <w:rPr>
                <w:rFonts w:hint="eastAsia" w:eastAsia="仿宋_GB2312"/>
                <w:kern w:val="0"/>
                <w:sz w:val="22"/>
                <w:szCs w:val="22"/>
              </w:rPr>
              <w:t>（8分）</w:t>
            </w: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重点工作实际完成率</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8</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根据</w:t>
            </w:r>
            <w:r>
              <w:rPr>
                <w:rFonts w:hint="eastAsia" w:eastAsia="仿宋_GB2312"/>
                <w:kern w:val="0"/>
                <w:sz w:val="22"/>
                <w:szCs w:val="22"/>
              </w:rPr>
              <w:t>县</w:t>
            </w:r>
            <w:r>
              <w:rPr>
                <w:rFonts w:eastAsia="仿宋_GB2312"/>
                <w:kern w:val="0"/>
                <w:sz w:val="22"/>
                <w:szCs w:val="22"/>
              </w:rPr>
              <w:t>绩效办</w:t>
            </w:r>
            <w:r>
              <w:rPr>
                <w:rFonts w:hint="eastAsia" w:eastAsia="仿宋_GB2312"/>
                <w:kern w:val="0"/>
                <w:sz w:val="22"/>
                <w:szCs w:val="22"/>
              </w:rPr>
              <w:t>2022年</w:t>
            </w:r>
            <w:r>
              <w:rPr>
                <w:rFonts w:eastAsia="仿宋_GB2312"/>
                <w:kern w:val="0"/>
                <w:sz w:val="22"/>
                <w:szCs w:val="22"/>
              </w:rPr>
              <w:t>对各部门为民办实事和部门重点工程与重点工作考核分数折算。</w:t>
            </w:r>
          </w:p>
          <w:p>
            <w:pPr>
              <w:widowControl/>
              <w:spacing w:line="280" w:lineRule="exact"/>
              <w:jc w:val="left"/>
              <w:rPr>
                <w:rFonts w:eastAsia="仿宋_GB2312"/>
                <w:kern w:val="0"/>
                <w:sz w:val="22"/>
                <w:szCs w:val="22"/>
              </w:rPr>
            </w:pPr>
            <w:r>
              <w:rPr>
                <w:rFonts w:eastAsia="仿宋_GB2312"/>
                <w:kern w:val="0"/>
                <w:sz w:val="22"/>
                <w:szCs w:val="22"/>
              </w:rPr>
              <w:t>该项得分=（绩效办对应部分考核得分/</w:t>
            </w:r>
            <w:r>
              <w:rPr>
                <w:rFonts w:hint="eastAsia" w:eastAsia="仿宋_GB2312"/>
                <w:kern w:val="0"/>
                <w:sz w:val="22"/>
                <w:szCs w:val="22"/>
              </w:rPr>
              <w:t>该部分总分</w:t>
            </w:r>
            <w:r>
              <w:rPr>
                <w:rFonts w:eastAsia="仿宋_GB2312"/>
                <w:kern w:val="0"/>
                <w:sz w:val="22"/>
                <w:szCs w:val="22"/>
              </w:rPr>
              <w:t>）</w:t>
            </w:r>
            <w:r>
              <w:rPr>
                <w:rFonts w:hint="eastAsia" w:ascii="仿宋_GB2312" w:eastAsia="仿宋_GB2312"/>
                <w:kern w:val="0"/>
                <w:sz w:val="22"/>
                <w:szCs w:val="22"/>
              </w:rPr>
              <w:t>×</w:t>
            </w:r>
            <w:r>
              <w:rPr>
                <w:rFonts w:eastAsia="仿宋_GB2312"/>
                <w:kern w:val="0"/>
                <w:sz w:val="22"/>
                <w:szCs w:val="22"/>
              </w:rPr>
              <w:t>8</w:t>
            </w:r>
            <w:r>
              <w:rPr>
                <w:rFonts w:hint="eastAsia" w:eastAsia="仿宋_GB2312"/>
                <w:kern w:val="0"/>
                <w:sz w:val="22"/>
                <w:szCs w:val="22"/>
              </w:rPr>
              <w:t>。</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　</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履职 效益</w:t>
            </w:r>
          </w:p>
          <w:p>
            <w:pPr>
              <w:widowControl/>
              <w:spacing w:line="280" w:lineRule="exact"/>
              <w:jc w:val="center"/>
              <w:rPr>
                <w:rFonts w:eastAsia="仿宋_GB2312"/>
                <w:kern w:val="0"/>
                <w:sz w:val="22"/>
                <w:szCs w:val="22"/>
              </w:rPr>
            </w:pPr>
            <w:r>
              <w:rPr>
                <w:rFonts w:hint="eastAsia" w:eastAsia="仿宋_GB2312"/>
                <w:kern w:val="0"/>
                <w:sz w:val="22"/>
                <w:szCs w:val="22"/>
              </w:rPr>
              <w:t>（22分）</w:t>
            </w: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经济</w:t>
            </w:r>
          </w:p>
          <w:p>
            <w:pPr>
              <w:widowControl/>
              <w:spacing w:line="280" w:lineRule="exact"/>
              <w:jc w:val="center"/>
              <w:rPr>
                <w:rFonts w:eastAsia="仿宋_GB2312"/>
                <w:kern w:val="0"/>
                <w:sz w:val="22"/>
                <w:szCs w:val="22"/>
              </w:rPr>
            </w:pPr>
            <w:r>
              <w:rPr>
                <w:rFonts w:eastAsia="仿宋_GB2312"/>
                <w:kern w:val="0"/>
                <w:sz w:val="22"/>
                <w:szCs w:val="22"/>
              </w:rPr>
              <w:t>效益</w:t>
            </w:r>
          </w:p>
        </w:tc>
        <w:tc>
          <w:tcPr>
            <w:tcW w:w="489" w:type="dxa"/>
            <w:vMerge w:val="restart"/>
            <w:noWrap/>
            <w:vAlign w:val="center"/>
          </w:tcPr>
          <w:p>
            <w:pPr>
              <w:widowControl/>
              <w:spacing w:line="280" w:lineRule="exact"/>
              <w:jc w:val="center"/>
              <w:rPr>
                <w:rFonts w:eastAsia="仿宋_GB2312"/>
                <w:kern w:val="0"/>
                <w:sz w:val="22"/>
                <w:szCs w:val="22"/>
              </w:rPr>
            </w:pPr>
            <w:r>
              <w:rPr>
                <w:rFonts w:eastAsia="仿宋_GB2312"/>
                <w:kern w:val="0"/>
                <w:sz w:val="22"/>
                <w:szCs w:val="22"/>
              </w:rPr>
              <w:t>10</w:t>
            </w:r>
          </w:p>
        </w:tc>
        <w:tc>
          <w:tcPr>
            <w:tcW w:w="6217" w:type="dxa"/>
            <w:gridSpan w:val="2"/>
            <w:vMerge w:val="restart"/>
            <w:noWrap/>
            <w:vAlign w:val="center"/>
          </w:tcPr>
          <w:p>
            <w:pPr>
              <w:widowControl/>
              <w:spacing w:line="280" w:lineRule="exact"/>
              <w:jc w:val="left"/>
              <w:rPr>
                <w:rFonts w:eastAsia="仿宋_GB2312"/>
                <w:kern w:val="0"/>
                <w:sz w:val="22"/>
                <w:szCs w:val="22"/>
              </w:rPr>
            </w:pPr>
            <w:r>
              <w:rPr>
                <w:rFonts w:eastAsia="仿宋_GB2312"/>
                <w:kern w:val="0"/>
                <w:sz w:val="22"/>
                <w:szCs w:val="22"/>
              </w:rPr>
              <w:t>此两项指标为设置部门整体支出绩效评价指标时必须考虑的共性要素，可根据部门实际情况有选择的进行设置，并将其细化为相应的个性化指标。</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社会</w:t>
            </w:r>
          </w:p>
          <w:p>
            <w:pPr>
              <w:widowControl/>
              <w:spacing w:line="280" w:lineRule="exact"/>
              <w:jc w:val="center"/>
              <w:rPr>
                <w:rFonts w:eastAsia="仿宋_GB2312"/>
                <w:kern w:val="0"/>
                <w:sz w:val="22"/>
                <w:szCs w:val="22"/>
              </w:rPr>
            </w:pPr>
            <w:r>
              <w:rPr>
                <w:rFonts w:eastAsia="仿宋_GB2312"/>
                <w:kern w:val="0"/>
                <w:sz w:val="22"/>
                <w:szCs w:val="22"/>
              </w:rPr>
              <w:t>效益</w:t>
            </w:r>
          </w:p>
        </w:tc>
        <w:tc>
          <w:tcPr>
            <w:tcW w:w="489" w:type="dxa"/>
            <w:vMerge w:val="continue"/>
            <w:noWrap/>
            <w:vAlign w:val="center"/>
          </w:tcPr>
          <w:p>
            <w:pPr>
              <w:widowControl/>
              <w:spacing w:line="280" w:lineRule="exact"/>
              <w:jc w:val="left"/>
              <w:rPr>
                <w:rFonts w:eastAsia="仿宋_GB2312"/>
                <w:kern w:val="0"/>
                <w:sz w:val="22"/>
                <w:szCs w:val="22"/>
              </w:rPr>
            </w:pPr>
          </w:p>
        </w:tc>
        <w:tc>
          <w:tcPr>
            <w:tcW w:w="6217" w:type="dxa"/>
            <w:gridSpan w:val="2"/>
            <w:vMerge w:val="continue"/>
            <w:noWrap/>
            <w:vAlign w:val="center"/>
          </w:tcPr>
          <w:p>
            <w:pPr>
              <w:widowControl/>
              <w:spacing w:line="280" w:lineRule="exact"/>
              <w:jc w:val="left"/>
              <w:rPr>
                <w:rFonts w:eastAsia="仿宋_GB2312"/>
                <w:kern w:val="0"/>
                <w:sz w:val="22"/>
                <w:szCs w:val="22"/>
              </w:rPr>
            </w:pP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行政</w:t>
            </w:r>
          </w:p>
          <w:p>
            <w:pPr>
              <w:widowControl/>
              <w:spacing w:line="280" w:lineRule="exact"/>
              <w:jc w:val="center"/>
              <w:rPr>
                <w:rFonts w:eastAsia="仿宋_GB2312"/>
                <w:kern w:val="0"/>
                <w:sz w:val="22"/>
                <w:szCs w:val="22"/>
              </w:rPr>
            </w:pPr>
            <w:r>
              <w:rPr>
                <w:rFonts w:eastAsia="仿宋_GB2312"/>
                <w:kern w:val="0"/>
                <w:sz w:val="22"/>
                <w:szCs w:val="22"/>
              </w:rPr>
              <w:t>效能</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6</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促进部门改进文风会风，加强经费及资产管理，推动网上办事，提高行政效率，降低行政成本效果较好的计6分；一般3分；无效果或者效果不明显0分。</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根据部门自评材料评定。</w:t>
            </w:r>
          </w:p>
        </w:tc>
        <w:tc>
          <w:tcPr>
            <w:tcW w:w="489" w:type="dxa"/>
            <w:noWrap/>
            <w:vAlign w:val="center"/>
          </w:tcPr>
          <w:p>
            <w:pPr>
              <w:widowControl/>
              <w:spacing w:line="280" w:lineRule="exact"/>
              <w:jc w:val="left"/>
              <w:rPr>
                <w:kern w:val="0"/>
                <w:sz w:val="32"/>
                <w:szCs w:val="32"/>
              </w:rPr>
            </w:pPr>
            <w:r>
              <w:rPr>
                <w:kern w:val="0"/>
                <w:sz w:val="32"/>
                <w:szCs w:val="32"/>
              </w:rPr>
              <w:t>　</w:t>
            </w:r>
            <w:r>
              <w:rPr>
                <w:rFonts w:hint="eastAsia"/>
                <w:kern w:val="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ign w:val="center"/>
          </w:tcPr>
          <w:p>
            <w:pPr>
              <w:widowControl/>
              <w:spacing w:line="280" w:lineRule="exact"/>
              <w:jc w:val="left"/>
              <w:rPr>
                <w:rFonts w:eastAsia="仿宋_GB2312"/>
                <w:kern w:val="0"/>
                <w:sz w:val="22"/>
                <w:szCs w:val="22"/>
              </w:rPr>
            </w:pPr>
          </w:p>
        </w:tc>
        <w:tc>
          <w:tcPr>
            <w:tcW w:w="751" w:type="dxa"/>
            <w:vMerge w:val="continue"/>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r>
              <w:rPr>
                <w:rFonts w:eastAsia="仿宋_GB2312"/>
                <w:kern w:val="0"/>
                <w:sz w:val="22"/>
                <w:szCs w:val="22"/>
              </w:rPr>
              <w:t>社会公众或服务对象满意度</w:t>
            </w:r>
          </w:p>
        </w:tc>
        <w:tc>
          <w:tcPr>
            <w:tcW w:w="489" w:type="dxa"/>
            <w:noWrap/>
            <w:vAlign w:val="center"/>
          </w:tcPr>
          <w:p>
            <w:pPr>
              <w:widowControl/>
              <w:spacing w:line="280" w:lineRule="exact"/>
              <w:jc w:val="center"/>
              <w:rPr>
                <w:rFonts w:eastAsia="仿宋_GB2312"/>
                <w:kern w:val="0"/>
                <w:sz w:val="22"/>
                <w:szCs w:val="22"/>
              </w:rPr>
            </w:pPr>
            <w:r>
              <w:rPr>
                <w:rFonts w:eastAsia="仿宋_GB2312"/>
                <w:kern w:val="0"/>
                <w:sz w:val="22"/>
                <w:szCs w:val="22"/>
              </w:rPr>
              <w:t>6</w:t>
            </w:r>
          </w:p>
        </w:tc>
        <w:tc>
          <w:tcPr>
            <w:tcW w:w="2880" w:type="dxa"/>
            <w:noWrap/>
            <w:vAlign w:val="center"/>
          </w:tcPr>
          <w:p>
            <w:pPr>
              <w:widowControl/>
              <w:spacing w:line="280" w:lineRule="exact"/>
              <w:jc w:val="left"/>
              <w:rPr>
                <w:rFonts w:eastAsia="仿宋_GB2312"/>
                <w:kern w:val="0"/>
                <w:sz w:val="22"/>
                <w:szCs w:val="22"/>
              </w:rPr>
            </w:pPr>
            <w:r>
              <w:rPr>
                <w:rFonts w:eastAsia="仿宋_GB2312"/>
                <w:kern w:val="0"/>
                <w:sz w:val="22"/>
                <w:szCs w:val="22"/>
              </w:rPr>
              <w:t>90%（含）以上计6分；</w:t>
            </w:r>
          </w:p>
          <w:p>
            <w:pPr>
              <w:widowControl/>
              <w:spacing w:line="280" w:lineRule="exact"/>
              <w:jc w:val="left"/>
              <w:rPr>
                <w:rFonts w:eastAsia="仿宋_GB2312"/>
                <w:kern w:val="0"/>
                <w:sz w:val="22"/>
                <w:szCs w:val="22"/>
              </w:rPr>
            </w:pPr>
            <w:r>
              <w:rPr>
                <w:rFonts w:eastAsia="仿宋_GB2312"/>
                <w:kern w:val="0"/>
                <w:sz w:val="22"/>
                <w:szCs w:val="22"/>
              </w:rPr>
              <w:t>80%（含）-90%，计4分；</w:t>
            </w:r>
          </w:p>
          <w:p>
            <w:pPr>
              <w:widowControl/>
              <w:spacing w:line="280" w:lineRule="exact"/>
              <w:jc w:val="left"/>
              <w:rPr>
                <w:rFonts w:eastAsia="仿宋_GB2312"/>
                <w:kern w:val="0"/>
                <w:sz w:val="22"/>
                <w:szCs w:val="22"/>
              </w:rPr>
            </w:pPr>
            <w:r>
              <w:rPr>
                <w:rFonts w:eastAsia="仿宋_GB2312"/>
                <w:kern w:val="0"/>
                <w:sz w:val="22"/>
                <w:szCs w:val="22"/>
              </w:rPr>
              <w:t>70%（含）-80%，计2分；</w:t>
            </w:r>
          </w:p>
          <w:p>
            <w:pPr>
              <w:widowControl/>
              <w:spacing w:line="280" w:lineRule="exact"/>
              <w:jc w:val="left"/>
              <w:rPr>
                <w:rFonts w:eastAsia="仿宋_GB2312"/>
                <w:kern w:val="0"/>
                <w:sz w:val="22"/>
                <w:szCs w:val="22"/>
              </w:rPr>
            </w:pPr>
            <w:r>
              <w:rPr>
                <w:rFonts w:eastAsia="仿宋_GB2312"/>
                <w:kern w:val="0"/>
                <w:sz w:val="22"/>
                <w:szCs w:val="22"/>
              </w:rPr>
              <w:t>低于70%计0分。</w:t>
            </w:r>
          </w:p>
        </w:tc>
        <w:tc>
          <w:tcPr>
            <w:tcW w:w="3337" w:type="dxa"/>
            <w:noWrap/>
            <w:vAlign w:val="center"/>
          </w:tcPr>
          <w:p>
            <w:pPr>
              <w:widowControl/>
              <w:spacing w:line="280" w:lineRule="exact"/>
              <w:jc w:val="left"/>
              <w:rPr>
                <w:rFonts w:eastAsia="仿宋_GB2312"/>
                <w:kern w:val="0"/>
                <w:sz w:val="22"/>
                <w:szCs w:val="22"/>
              </w:rPr>
            </w:pPr>
            <w:r>
              <w:rPr>
                <w:rFonts w:eastAsia="仿宋_GB2312"/>
                <w:kern w:val="0"/>
                <w:sz w:val="22"/>
                <w:szCs w:val="22"/>
              </w:rPr>
              <w:t>社会公众或服务对象是指部门（单位）履行职责而影响到的部门、群体或个人，一般采取社会调查的方式。</w:t>
            </w:r>
          </w:p>
        </w:tc>
        <w:tc>
          <w:tcPr>
            <w:tcW w:w="489" w:type="dxa"/>
            <w:noWrap/>
            <w:vAlign w:val="center"/>
          </w:tcPr>
          <w:p>
            <w:pPr>
              <w:widowControl/>
              <w:spacing w:line="280" w:lineRule="exact"/>
              <w:jc w:val="left"/>
              <w:rPr>
                <w:kern w:val="0"/>
                <w:sz w:val="32"/>
                <w:szCs w:val="32"/>
              </w:rPr>
            </w:pPr>
            <w:r>
              <w:rPr>
                <w:rFonts w:hint="eastAsia"/>
                <w:kern w:val="0"/>
                <w:sz w:val="32"/>
                <w:szCs w:val="32"/>
              </w:rPr>
              <w:t>5</w:t>
            </w:r>
            <w:r>
              <w:rPr>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3" w:type="dxa"/>
            <w:noWrap/>
            <w:vAlign w:val="center"/>
          </w:tcPr>
          <w:p>
            <w:pPr>
              <w:widowControl/>
              <w:spacing w:line="280" w:lineRule="exact"/>
              <w:jc w:val="left"/>
              <w:rPr>
                <w:rFonts w:eastAsia="仿宋_GB2312"/>
                <w:kern w:val="0"/>
                <w:sz w:val="22"/>
                <w:szCs w:val="22"/>
              </w:rPr>
            </w:pPr>
            <w:r>
              <w:rPr>
                <w:rFonts w:hint="eastAsia" w:eastAsia="仿宋_GB2312"/>
                <w:kern w:val="0"/>
                <w:sz w:val="22"/>
                <w:szCs w:val="22"/>
              </w:rPr>
              <w:t>合计</w:t>
            </w:r>
          </w:p>
        </w:tc>
        <w:tc>
          <w:tcPr>
            <w:tcW w:w="751" w:type="dxa"/>
            <w:noWrap/>
            <w:vAlign w:val="center"/>
          </w:tcPr>
          <w:p>
            <w:pPr>
              <w:widowControl/>
              <w:spacing w:line="280" w:lineRule="exact"/>
              <w:jc w:val="left"/>
              <w:rPr>
                <w:rFonts w:eastAsia="仿宋_GB2312"/>
                <w:kern w:val="0"/>
                <w:sz w:val="22"/>
                <w:szCs w:val="22"/>
              </w:rPr>
            </w:pPr>
          </w:p>
        </w:tc>
        <w:tc>
          <w:tcPr>
            <w:tcW w:w="848" w:type="dxa"/>
            <w:noWrap/>
            <w:vAlign w:val="center"/>
          </w:tcPr>
          <w:p>
            <w:pPr>
              <w:widowControl/>
              <w:spacing w:line="280" w:lineRule="exact"/>
              <w:jc w:val="center"/>
              <w:rPr>
                <w:rFonts w:eastAsia="仿宋_GB2312"/>
                <w:kern w:val="0"/>
                <w:sz w:val="22"/>
                <w:szCs w:val="22"/>
              </w:rPr>
            </w:pPr>
          </w:p>
        </w:tc>
        <w:tc>
          <w:tcPr>
            <w:tcW w:w="489" w:type="dxa"/>
            <w:noWrap/>
            <w:vAlign w:val="center"/>
          </w:tcPr>
          <w:p>
            <w:pPr>
              <w:widowControl/>
              <w:spacing w:line="280" w:lineRule="exact"/>
              <w:jc w:val="center"/>
              <w:rPr>
                <w:rFonts w:eastAsia="仿宋_GB2312"/>
                <w:kern w:val="0"/>
                <w:sz w:val="22"/>
                <w:szCs w:val="22"/>
              </w:rPr>
            </w:pPr>
          </w:p>
        </w:tc>
        <w:tc>
          <w:tcPr>
            <w:tcW w:w="2880" w:type="dxa"/>
            <w:noWrap/>
            <w:vAlign w:val="center"/>
          </w:tcPr>
          <w:p>
            <w:pPr>
              <w:widowControl/>
              <w:spacing w:line="280" w:lineRule="exact"/>
              <w:jc w:val="left"/>
              <w:rPr>
                <w:rFonts w:eastAsia="仿宋_GB2312"/>
                <w:kern w:val="0"/>
                <w:sz w:val="22"/>
                <w:szCs w:val="22"/>
              </w:rPr>
            </w:pPr>
          </w:p>
        </w:tc>
        <w:tc>
          <w:tcPr>
            <w:tcW w:w="3337" w:type="dxa"/>
            <w:noWrap/>
            <w:vAlign w:val="center"/>
          </w:tcPr>
          <w:p>
            <w:pPr>
              <w:widowControl/>
              <w:spacing w:line="280" w:lineRule="exact"/>
              <w:jc w:val="left"/>
              <w:rPr>
                <w:rFonts w:eastAsia="仿宋_GB2312"/>
                <w:kern w:val="0"/>
                <w:sz w:val="22"/>
                <w:szCs w:val="22"/>
              </w:rPr>
            </w:pPr>
          </w:p>
        </w:tc>
        <w:tc>
          <w:tcPr>
            <w:tcW w:w="489" w:type="dxa"/>
            <w:noWrap/>
            <w:vAlign w:val="center"/>
          </w:tcPr>
          <w:p>
            <w:pPr>
              <w:widowControl/>
              <w:spacing w:line="280" w:lineRule="exact"/>
              <w:jc w:val="left"/>
              <w:rPr>
                <w:kern w:val="0"/>
                <w:sz w:val="32"/>
                <w:szCs w:val="32"/>
              </w:rPr>
            </w:pPr>
            <w:r>
              <w:rPr>
                <w:rFonts w:hint="eastAsia"/>
                <w:kern w:val="0"/>
                <w:sz w:val="32"/>
                <w:szCs w:val="32"/>
              </w:rPr>
              <w:t>98.5</w:t>
            </w:r>
          </w:p>
        </w:tc>
      </w:tr>
    </w:tbl>
    <w:p>
      <w:pPr>
        <w:jc w:val="left"/>
        <w:rPr>
          <w:rFonts w:eastAsia="黑体"/>
          <w:sz w:val="36"/>
          <w:szCs w:val="36"/>
        </w:rPr>
      </w:pPr>
      <w:r>
        <w:rPr>
          <w:rFonts w:eastAsia="黑体"/>
          <w:sz w:val="36"/>
          <w:szCs w:val="36"/>
        </w:rPr>
        <w:br w:type="page"/>
      </w:r>
      <w:r>
        <w:rPr>
          <w:rFonts w:hint="eastAsia" w:eastAsia="黑体"/>
          <w:sz w:val="32"/>
          <w:szCs w:val="32"/>
        </w:rPr>
        <w:t>附表2：</w:t>
      </w:r>
    </w:p>
    <w:p>
      <w:pPr>
        <w:spacing w:line="360" w:lineRule="auto"/>
        <w:jc w:val="center"/>
        <w:rPr>
          <w:rFonts w:eastAsia="方正小标宋_GBK"/>
          <w:kern w:val="0"/>
          <w:sz w:val="44"/>
          <w:szCs w:val="44"/>
        </w:rPr>
      </w:pPr>
      <w:r>
        <w:rPr>
          <w:rFonts w:eastAsia="方正小标宋_GBK"/>
          <w:kern w:val="0"/>
          <w:sz w:val="44"/>
          <w:szCs w:val="44"/>
        </w:rPr>
        <w:t>部门</w:t>
      </w:r>
      <w:r>
        <w:rPr>
          <w:rFonts w:hint="eastAsia" w:eastAsia="方正小标宋_GBK"/>
          <w:kern w:val="0"/>
          <w:sz w:val="44"/>
          <w:szCs w:val="44"/>
        </w:rPr>
        <w:t>整体</w:t>
      </w:r>
      <w:r>
        <w:rPr>
          <w:rFonts w:eastAsia="方正小标宋_GBK"/>
          <w:kern w:val="0"/>
          <w:sz w:val="44"/>
          <w:szCs w:val="44"/>
        </w:rPr>
        <w:t>支出绩效评价基础数据表</w:t>
      </w:r>
    </w:p>
    <w:p>
      <w:pPr>
        <w:spacing w:line="360" w:lineRule="auto"/>
        <w:jc w:val="left"/>
        <w:rPr>
          <w:rFonts w:eastAsia="仿宋_GB2312"/>
          <w:kern w:val="0"/>
          <w:sz w:val="36"/>
          <w:szCs w:val="36"/>
        </w:rPr>
      </w:pPr>
      <w:r>
        <w:rPr>
          <w:rFonts w:eastAsia="仿宋_GB2312"/>
          <w:kern w:val="0"/>
          <w:sz w:val="32"/>
          <w:szCs w:val="32"/>
        </w:rPr>
        <w:t>填报单位：</w:t>
      </w:r>
      <w:r>
        <w:rPr>
          <w:rFonts w:hint="eastAsia" w:eastAsia="仿宋_GB2312"/>
          <w:kern w:val="0"/>
          <w:sz w:val="32"/>
          <w:szCs w:val="32"/>
        </w:rPr>
        <w:t>玉合街道办事处     填报人：周志刚        电话：13975478931</w:t>
      </w:r>
      <w:r>
        <w:rPr>
          <w:rFonts w:eastAsia="仿宋_GB2312"/>
          <w:kern w:val="0"/>
          <w:sz w:val="32"/>
          <w:szCs w:val="32"/>
        </w:rPr>
        <w:tab/>
      </w:r>
    </w:p>
    <w:tbl>
      <w:tblPr>
        <w:tblStyle w:val="5"/>
        <w:tblpPr w:leftFromText="180" w:rightFromText="180" w:vertAnchor="text" w:tblpXSpec="center" w:tblpY="1"/>
        <w:tblOverlap w:val="never"/>
        <w:tblW w:w="9464" w:type="dxa"/>
        <w:jc w:val="center"/>
        <w:tblLayout w:type="fixed"/>
        <w:tblCellMar>
          <w:top w:w="0" w:type="dxa"/>
          <w:left w:w="108" w:type="dxa"/>
          <w:bottom w:w="0" w:type="dxa"/>
          <w:right w:w="108" w:type="dxa"/>
        </w:tblCellMar>
      </w:tblPr>
      <w:tblGrid>
        <w:gridCol w:w="3354"/>
        <w:gridCol w:w="1189"/>
        <w:gridCol w:w="849"/>
        <w:gridCol w:w="885"/>
        <w:gridCol w:w="1350"/>
        <w:gridCol w:w="974"/>
        <w:gridCol w:w="863"/>
      </w:tblGrid>
      <w:tr>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财政供养人员情况</w:t>
            </w: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 w:val="28"/>
                <w:szCs w:val="28"/>
              </w:rPr>
            </w:pPr>
            <w:r>
              <w:rPr>
                <w:rFonts w:eastAsia="仿宋_GB2312"/>
                <w:b/>
                <w:bCs/>
                <w:kern w:val="0"/>
                <w:sz w:val="28"/>
                <w:szCs w:val="28"/>
              </w:rPr>
              <w:t>编制数</w:t>
            </w:r>
          </w:p>
        </w:tc>
        <w:tc>
          <w:tcPr>
            <w:tcW w:w="2235"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 w:val="28"/>
                <w:szCs w:val="28"/>
              </w:rPr>
            </w:pPr>
            <w:r>
              <w:rPr>
                <w:rFonts w:hint="eastAsia" w:eastAsia="仿宋_GB2312"/>
                <w:b/>
                <w:bCs/>
                <w:kern w:val="0"/>
                <w:sz w:val="28"/>
                <w:szCs w:val="28"/>
              </w:rPr>
              <w:t>2023年</w:t>
            </w:r>
            <w:r>
              <w:rPr>
                <w:rFonts w:eastAsia="仿宋_GB2312"/>
                <w:b/>
                <w:bCs/>
                <w:kern w:val="0"/>
                <w:sz w:val="28"/>
                <w:szCs w:val="28"/>
              </w:rPr>
              <w:t>实际在职人数</w:t>
            </w:r>
          </w:p>
        </w:tc>
        <w:tc>
          <w:tcPr>
            <w:tcW w:w="183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 w:val="28"/>
                <w:szCs w:val="28"/>
              </w:rPr>
            </w:pPr>
            <w:r>
              <w:rPr>
                <w:rFonts w:eastAsia="仿宋_GB2312"/>
                <w:b/>
                <w:bCs/>
                <w:kern w:val="0"/>
                <w:sz w:val="28"/>
                <w:szCs w:val="28"/>
              </w:rPr>
              <w:t>控制率</w:t>
            </w:r>
          </w:p>
        </w:tc>
      </w:tr>
      <w:tr>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kern w:val="0"/>
                <w:sz w:val="28"/>
                <w:szCs w:val="28"/>
                <w:lang w:val="en-US" w:eastAsia="zh-CN"/>
              </w:rPr>
            </w:pPr>
            <w:r>
              <w:rPr>
                <w:rFonts w:hint="eastAsia" w:eastAsia="仿宋_GB2312"/>
                <w:kern w:val="0"/>
                <w:sz w:val="28"/>
                <w:szCs w:val="28"/>
              </w:rPr>
              <w:t>14</w:t>
            </w:r>
            <w:r>
              <w:rPr>
                <w:rFonts w:hint="eastAsia" w:eastAsia="仿宋_GB2312"/>
                <w:kern w:val="0"/>
                <w:sz w:val="28"/>
                <w:szCs w:val="28"/>
                <w:lang w:val="en-US" w:eastAsia="zh-CN"/>
              </w:rPr>
              <w:t>3</w:t>
            </w:r>
          </w:p>
        </w:tc>
        <w:tc>
          <w:tcPr>
            <w:tcW w:w="2235"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hint="eastAsia" w:eastAsia="仿宋_GB2312"/>
                <w:kern w:val="0"/>
                <w:sz w:val="28"/>
                <w:szCs w:val="28"/>
              </w:rPr>
              <w:t>14</w:t>
            </w:r>
            <w:r>
              <w:rPr>
                <w:rFonts w:hint="eastAsia" w:eastAsia="仿宋_GB2312"/>
                <w:kern w:val="0"/>
                <w:sz w:val="28"/>
                <w:szCs w:val="28"/>
                <w:lang w:val="en-US" w:eastAsia="zh-CN"/>
              </w:rPr>
              <w:t>3</w:t>
            </w:r>
            <w:r>
              <w:rPr>
                <w:rFonts w:eastAsia="仿宋_GB2312"/>
                <w:kern w:val="0"/>
                <w:sz w:val="28"/>
                <w:szCs w:val="28"/>
              </w:rPr>
              <w:t>　</w:t>
            </w:r>
          </w:p>
        </w:tc>
        <w:tc>
          <w:tcPr>
            <w:tcW w:w="183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100%</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经费控制情况</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 w:val="28"/>
                <w:szCs w:val="28"/>
              </w:rPr>
            </w:pPr>
            <w:r>
              <w:rPr>
                <w:rFonts w:hint="eastAsia" w:eastAsia="仿宋_GB2312"/>
                <w:b/>
                <w:bCs/>
                <w:kern w:val="0"/>
                <w:sz w:val="28"/>
                <w:szCs w:val="28"/>
              </w:rPr>
              <w:t>2022年</w:t>
            </w:r>
            <w:r>
              <w:rPr>
                <w:rFonts w:eastAsia="仿宋_GB2312"/>
                <w:b/>
                <w:bCs/>
                <w:kern w:val="0"/>
                <w:sz w:val="28"/>
                <w:szCs w:val="28"/>
              </w:rPr>
              <w:t>决算数</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 w:val="28"/>
                <w:szCs w:val="28"/>
              </w:rPr>
            </w:pPr>
            <w:r>
              <w:rPr>
                <w:rFonts w:hint="eastAsia" w:eastAsia="仿宋_GB2312"/>
                <w:b/>
                <w:bCs/>
                <w:kern w:val="0"/>
                <w:sz w:val="28"/>
                <w:szCs w:val="28"/>
              </w:rPr>
              <w:t>2023年</w:t>
            </w:r>
            <w:r>
              <w:rPr>
                <w:rFonts w:eastAsia="仿宋_GB2312"/>
                <w:b/>
                <w:bCs/>
                <w:kern w:val="0"/>
                <w:sz w:val="28"/>
                <w:szCs w:val="28"/>
              </w:rPr>
              <w:t>预算数</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 w:val="28"/>
                <w:szCs w:val="28"/>
              </w:rPr>
            </w:pPr>
            <w:r>
              <w:rPr>
                <w:rFonts w:hint="eastAsia" w:eastAsia="仿宋_GB2312"/>
                <w:b/>
                <w:bCs/>
                <w:kern w:val="0"/>
                <w:sz w:val="28"/>
                <w:szCs w:val="28"/>
              </w:rPr>
              <w:t>2023年</w:t>
            </w:r>
            <w:r>
              <w:rPr>
                <w:rFonts w:eastAsia="仿宋_GB2312"/>
                <w:b/>
                <w:bCs/>
                <w:kern w:val="0"/>
                <w:sz w:val="28"/>
                <w:szCs w:val="28"/>
              </w:rPr>
              <w:t>决算数</w:t>
            </w:r>
          </w:p>
        </w:tc>
      </w:tr>
      <w:tr>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2.5万元</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2.5万元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0</w:t>
            </w: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36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0</w:t>
            </w:r>
            <w:r>
              <w:rPr>
                <w:rFonts w:eastAsia="仿宋_GB2312"/>
                <w:kern w:val="0"/>
                <w:sz w:val="28"/>
                <w:szCs w:val="28"/>
              </w:rPr>
              <w:t>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2.5万元</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2.5万元</w:t>
            </w:r>
          </w:p>
        </w:tc>
      </w:tr>
      <w:tr>
        <w:tblPrEx>
          <w:tblCellMar>
            <w:top w:w="0" w:type="dxa"/>
            <w:left w:w="108" w:type="dxa"/>
            <w:bottom w:w="0" w:type="dxa"/>
            <w:right w:w="108" w:type="dxa"/>
          </w:tblCellMar>
        </w:tblPrEx>
        <w:trPr>
          <w:trHeight w:val="32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1820.34万元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1、业务工作专项</w:t>
            </w:r>
            <w:r>
              <w:rPr>
                <w:rFonts w:hint="eastAsia" w:eastAsia="仿宋_GB2312"/>
                <w:kern w:val="0"/>
                <w:sz w:val="28"/>
                <w:szCs w:val="28"/>
              </w:rPr>
              <w:t>(一个项目一行)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120" w:firstLineChars="400"/>
              <w:jc w:val="left"/>
              <w:rPr>
                <w:rFonts w:eastAsia="仿宋_GB2312"/>
                <w:kern w:val="0"/>
                <w:sz w:val="28"/>
                <w:szCs w:val="28"/>
              </w:rPr>
            </w:pPr>
            <w:r>
              <w:rPr>
                <w:rFonts w:hint="eastAsia" w:ascii="仿宋_GB2312" w:eastAsia="仿宋_GB2312"/>
                <w:kern w:val="0"/>
                <w:sz w:val="28"/>
                <w:szCs w:val="28"/>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2、运行维护专项</w:t>
            </w:r>
            <w:r>
              <w:rPr>
                <w:rFonts w:hint="eastAsia" w:eastAsia="仿宋_GB2312"/>
                <w:kern w:val="0"/>
                <w:sz w:val="28"/>
                <w:szCs w:val="28"/>
              </w:rPr>
              <w:t>(一个项目一行)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260" w:firstLineChars="450"/>
              <w:jc w:val="left"/>
              <w:rPr>
                <w:rFonts w:eastAsia="仿宋_GB2312"/>
                <w:kern w:val="0"/>
                <w:sz w:val="28"/>
                <w:szCs w:val="28"/>
              </w:rPr>
            </w:pPr>
            <w:r>
              <w:rPr>
                <w:rFonts w:hint="eastAsia" w:ascii="仿宋_GB2312" w:eastAsia="仿宋_GB2312"/>
                <w:kern w:val="0"/>
                <w:sz w:val="28"/>
                <w:szCs w:val="28"/>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hint="eastAsia" w:eastAsia="仿宋_GB2312"/>
                <w:kern w:val="0"/>
                <w:sz w:val="28"/>
                <w:szCs w:val="28"/>
              </w:rPr>
              <w:t>3、县级专项资金（一个专项一行）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1820.34万元</w:t>
            </w:r>
            <w:r>
              <w:rPr>
                <w:rFonts w:eastAsia="仿宋_GB2312"/>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行政运行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106.03万元</w:t>
            </w:r>
          </w:p>
        </w:tc>
      </w:tr>
      <w:tr>
        <w:tblPrEx>
          <w:tblCellMar>
            <w:top w:w="0" w:type="dxa"/>
            <w:left w:w="108" w:type="dxa"/>
            <w:bottom w:w="0" w:type="dxa"/>
            <w:right w:w="108" w:type="dxa"/>
          </w:tblCellMar>
        </w:tblPrEx>
        <w:trPr>
          <w:trHeight w:val="103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城市公共设施</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对村级公益事业建设的补助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30万元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对村民委员会和村党支部的补助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88.49万元</w:t>
            </w:r>
          </w:p>
        </w:tc>
      </w:tr>
      <w:tr>
        <w:tblPrEx>
          <w:tblCellMar>
            <w:top w:w="0" w:type="dxa"/>
            <w:left w:w="108" w:type="dxa"/>
            <w:bottom w:w="0" w:type="dxa"/>
            <w:right w:w="108" w:type="dxa"/>
          </w:tblCellMar>
        </w:tblPrEx>
        <w:trPr>
          <w:trHeight w:val="120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国有企业退休人员社会化管理补助支出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8.95万元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农村基础设施建设</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52.34万元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农村社会事业</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6.36万元</w:t>
            </w:r>
          </w:p>
        </w:tc>
      </w:tr>
      <w:tr>
        <w:tblPrEx>
          <w:tblCellMar>
            <w:top w:w="0" w:type="dxa"/>
            <w:left w:w="108" w:type="dxa"/>
            <w:bottom w:w="0" w:type="dxa"/>
            <w:right w:w="108" w:type="dxa"/>
          </w:tblCellMar>
        </w:tblPrEx>
        <w:trPr>
          <w:trHeight w:val="1786"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其他城乡社区公共设施支出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1162.03万元</w:t>
            </w:r>
          </w:p>
        </w:tc>
      </w:tr>
      <w:tr>
        <w:tblPrEx>
          <w:tblCellMar>
            <w:top w:w="0" w:type="dxa"/>
            <w:left w:w="108" w:type="dxa"/>
            <w:bottom w:w="0" w:type="dxa"/>
            <w:right w:w="108" w:type="dxa"/>
          </w:tblCellMar>
        </w:tblPrEx>
        <w:trPr>
          <w:trHeight w:val="1561"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其他公路水路运输支出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1.49万元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w:t>
            </w:r>
            <w:bookmarkStart w:id="0" w:name="_GoBack"/>
            <w:bookmarkEnd w:id="0"/>
            <w:r>
              <w:rPr>
                <w:rFonts w:hint="eastAsia" w:ascii="仿宋" w:hAnsi="仿宋" w:eastAsia="仿宋" w:cs="仿宋"/>
                <w:sz w:val="32"/>
                <w:szCs w:val="32"/>
                <w:lang w:eastAsia="zh-CN"/>
              </w:rPr>
              <w:t>巩固拓展脱贫攻坚成果</w:t>
            </w:r>
            <w:r>
              <w:rPr>
                <w:rFonts w:hint="eastAsia" w:ascii="仿宋" w:hAnsi="仿宋" w:eastAsia="仿宋" w:cs="仿宋"/>
                <w:sz w:val="32"/>
                <w:szCs w:val="32"/>
              </w:rPr>
              <w:t>衔接乡村振兴支出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5.12万元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其他国有土地使用权出让收入安排的支出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92.17万元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其他技术研究与开发支出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0.84万元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其他就业补助支出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25.64万元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其他人力资源和社会保障管理事务支出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14.53万元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其他商业流通事务支出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1.62万元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其他水利支出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其他文化旅游体育与传媒支出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
                <w:kern w:val="0"/>
                <w:szCs w:val="21"/>
              </w:rPr>
            </w:pPr>
            <w:r>
              <w:rPr>
                <w:rFonts w:hint="eastAsia" w:ascii="仿宋" w:hAnsi="仿宋" w:eastAsia="仿宋" w:cs="仿宋"/>
                <w:sz w:val="32"/>
                <w:szCs w:val="32"/>
              </w:rPr>
              <w:t>15万元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其他一般公共服务支出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19.9万元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其他灾害防治及应急管理支出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社会保险经办机构</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3.72万元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信访事务</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2.5万元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ascii="仿宋" w:hAnsi="仿宋" w:eastAsia="仿宋" w:cs="仿宋"/>
                <w:sz w:val="32"/>
                <w:szCs w:val="32"/>
              </w:rPr>
              <w:t>一般行政管理事务</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ascii="仿宋" w:hAnsi="仿宋" w:eastAsia="仿宋" w:cs="仿宋"/>
                <w:sz w:val="32"/>
                <w:szCs w:val="32"/>
              </w:rPr>
              <w:t>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用于社会福利的彩票公益金支出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15万元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征地和拆迁补偿支出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136.61万元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重大公共卫生服务</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 w:hAnsi="仿宋" w:eastAsia="仿宋" w:cs="仿宋"/>
                <w:sz w:val="32"/>
                <w:szCs w:val="32"/>
              </w:rPr>
            </w:pPr>
            <w:r>
              <w:rPr>
                <w:rFonts w:hint="eastAsia" w:ascii="仿宋" w:hAnsi="仿宋" w:eastAsia="仿宋" w:cs="仿宋"/>
                <w:sz w:val="32"/>
                <w:szCs w:val="32"/>
              </w:rPr>
              <w:t>15万元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236.24万元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149.36万元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53.25万元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34万元</w:t>
            </w:r>
            <w:r>
              <w:rPr>
                <w:rFonts w:eastAsia="仿宋_GB2312"/>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水费、电费、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27.3万元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26万元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xml:space="preserve">       差旅费</w:t>
            </w:r>
            <w:r>
              <w:rPr>
                <w:rFonts w:hint="eastAsia" w:eastAsia="仿宋_GB2312"/>
                <w:kern w:val="0"/>
                <w:sz w:val="28"/>
                <w:szCs w:val="28"/>
              </w:rPr>
              <w:t>、</w:t>
            </w:r>
            <w:r>
              <w:rPr>
                <w:rFonts w:eastAsia="仿宋_GB2312"/>
                <w:kern w:val="0"/>
                <w:sz w:val="28"/>
                <w:szCs w:val="28"/>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16万元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r>
              <w:rPr>
                <w:rFonts w:hint="eastAsia" w:eastAsia="仿宋_GB2312"/>
                <w:kern w:val="0"/>
                <w:sz w:val="28"/>
                <w:szCs w:val="28"/>
              </w:rPr>
              <w:t>16万元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eastAsia="仿宋_GB2312"/>
                <w:kern w:val="0"/>
                <w:sz w:val="28"/>
                <w:szCs w:val="28"/>
              </w:rPr>
            </w:pPr>
            <w:r>
              <w:rPr>
                <w:rFonts w:hint="eastAsia" w:ascii="仿宋_GB2312" w:eastAsia="仿宋_GB2312"/>
                <w:kern w:val="0"/>
                <w:sz w:val="28"/>
                <w:szCs w:val="28"/>
              </w:rPr>
              <w:t>印刷费、咨询费、手续费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22.31万元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15万元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ascii="仿宋_GB2312" w:eastAsia="仿宋_GB2312"/>
                <w:kern w:val="0"/>
                <w:sz w:val="28"/>
                <w:szCs w:val="28"/>
              </w:rPr>
            </w:pPr>
            <w:r>
              <w:rPr>
                <w:rFonts w:hint="eastAsia" w:ascii="仿宋_GB2312" w:eastAsia="仿宋_GB2312"/>
                <w:kern w:val="0"/>
                <w:sz w:val="28"/>
                <w:szCs w:val="28"/>
              </w:rPr>
              <w:t>福利费、取暖费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0</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ascii="仿宋_GB2312" w:eastAsia="仿宋_GB2312"/>
                <w:kern w:val="0"/>
                <w:sz w:val="28"/>
                <w:szCs w:val="28"/>
              </w:rPr>
            </w:pPr>
            <w:r>
              <w:rPr>
                <w:rFonts w:hint="eastAsia" w:ascii="仿宋_GB2312" w:eastAsia="仿宋_GB2312"/>
                <w:kern w:val="0"/>
                <w:sz w:val="28"/>
                <w:szCs w:val="28"/>
              </w:rPr>
              <w:t>公务接待费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2.5万元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ascii="仿宋_GB2312" w:eastAsia="仿宋_GB2312"/>
                <w:kern w:val="0"/>
                <w:sz w:val="28"/>
                <w:szCs w:val="28"/>
              </w:rPr>
            </w:pPr>
            <w:r>
              <w:rPr>
                <w:rFonts w:hint="eastAsia" w:ascii="仿宋_GB2312" w:eastAsia="仿宋_GB2312"/>
                <w:kern w:val="0"/>
                <w:sz w:val="28"/>
                <w:szCs w:val="28"/>
              </w:rPr>
              <w:t>邮电、物业管理费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0</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ascii="仿宋_GB2312" w:eastAsia="仿宋_GB2312"/>
                <w:kern w:val="0"/>
                <w:sz w:val="28"/>
                <w:szCs w:val="28"/>
              </w:rPr>
            </w:pPr>
            <w:r>
              <w:rPr>
                <w:rFonts w:hint="eastAsia" w:ascii="仿宋_GB2312" w:eastAsia="仿宋_GB2312"/>
                <w:kern w:val="0"/>
                <w:sz w:val="28"/>
                <w:szCs w:val="28"/>
              </w:rPr>
              <w:t>维修（护）费、租赁费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10.21万元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10万元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ascii="仿宋_GB2312" w:eastAsia="仿宋_GB2312"/>
                <w:kern w:val="0"/>
                <w:sz w:val="28"/>
                <w:szCs w:val="28"/>
              </w:rPr>
            </w:pPr>
            <w:r>
              <w:rPr>
                <w:rFonts w:hint="eastAsia" w:ascii="仿宋_GB2312" w:eastAsia="仿宋_GB2312"/>
                <w:kern w:val="0"/>
                <w:sz w:val="28"/>
                <w:szCs w:val="28"/>
              </w:rPr>
              <w:t>劳务费、委托业务费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30.3万元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5万元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ascii="仿宋_GB2312" w:eastAsia="仿宋_GB2312"/>
                <w:kern w:val="0"/>
                <w:sz w:val="28"/>
                <w:szCs w:val="28"/>
              </w:rPr>
            </w:pPr>
            <w:r>
              <w:rPr>
                <w:rFonts w:hint="eastAsia" w:ascii="仿宋_GB2312" w:eastAsia="仿宋_GB2312"/>
                <w:kern w:val="0"/>
                <w:sz w:val="28"/>
                <w:szCs w:val="28"/>
              </w:rPr>
              <w:t>工会费、其他交通费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54.23万元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24.82万元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ascii="仿宋_GB2312" w:eastAsia="仿宋_GB2312"/>
                <w:kern w:val="0"/>
                <w:sz w:val="28"/>
                <w:szCs w:val="28"/>
              </w:rPr>
            </w:pPr>
            <w:r>
              <w:rPr>
                <w:rFonts w:hint="eastAsia" w:ascii="仿宋_GB2312" w:eastAsia="仿宋_GB2312"/>
                <w:kern w:val="0"/>
                <w:sz w:val="28"/>
                <w:szCs w:val="28"/>
              </w:rPr>
              <w:t>其他商品和服务支出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2万元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16.04万元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rPr>
                <w:rFonts w:ascii="仿宋_GB2312" w:eastAsia="仿宋_GB2312"/>
                <w:kern w:val="0"/>
                <w:sz w:val="28"/>
                <w:szCs w:val="28"/>
              </w:rPr>
            </w:pPr>
            <w:r>
              <w:rPr>
                <w:rFonts w:hint="eastAsia" w:ascii="仿宋_GB2312" w:eastAsia="仿宋_GB2312"/>
                <w:kern w:val="0"/>
                <w:sz w:val="28"/>
                <w:szCs w:val="28"/>
              </w:rPr>
              <w:t>专用材料费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hint="eastAsia" w:eastAsia="仿宋_GB2312"/>
                <w:kern w:val="0"/>
                <w:sz w:val="28"/>
                <w:szCs w:val="28"/>
              </w:rPr>
              <w:t>13.12万元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部门</w:t>
            </w:r>
            <w:r>
              <w:rPr>
                <w:rFonts w:hint="eastAsia" w:eastAsia="仿宋_GB2312"/>
                <w:kern w:val="0"/>
                <w:sz w:val="28"/>
                <w:szCs w:val="28"/>
              </w:rPr>
              <w:t>基本</w:t>
            </w:r>
            <w:r>
              <w:rPr>
                <w:rFonts w:eastAsia="仿宋_GB2312"/>
                <w:kern w:val="0"/>
                <w:sz w:val="28"/>
                <w:szCs w:val="28"/>
              </w:rPr>
              <w:t xml:space="preserve">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1053" w:hRule="atLeast"/>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楼堂馆所控制情况</w:t>
            </w:r>
          </w:p>
          <w:p>
            <w:pPr>
              <w:widowControl/>
              <w:jc w:val="center"/>
              <w:rPr>
                <w:rFonts w:eastAsia="仿宋_GB2312"/>
                <w:kern w:val="0"/>
                <w:sz w:val="28"/>
                <w:szCs w:val="28"/>
              </w:rPr>
            </w:pPr>
            <w:r>
              <w:rPr>
                <w:rFonts w:eastAsia="仿宋_GB2312"/>
                <w:kern w:val="0"/>
                <w:sz w:val="28"/>
                <w:szCs w:val="28"/>
              </w:rPr>
              <w:t>（</w:t>
            </w:r>
            <w:r>
              <w:rPr>
                <w:rFonts w:hint="eastAsia" w:eastAsia="仿宋_GB2312"/>
                <w:kern w:val="0"/>
                <w:sz w:val="28"/>
                <w:szCs w:val="28"/>
              </w:rPr>
              <w:t>2023年</w:t>
            </w:r>
            <w:r>
              <w:rPr>
                <w:rFonts w:eastAsia="仿宋_GB2312"/>
                <w:kern w:val="0"/>
                <w:sz w:val="28"/>
                <w:szCs w:val="28"/>
              </w:rPr>
              <w:t>完工项目）</w:t>
            </w:r>
          </w:p>
        </w:tc>
        <w:tc>
          <w:tcPr>
            <w:tcW w:w="1189"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批复规模</w:t>
            </w:r>
          </w:p>
          <w:p>
            <w:pPr>
              <w:widowControl/>
              <w:jc w:val="center"/>
              <w:rPr>
                <w:rFonts w:eastAsia="仿宋_GB2312"/>
                <w:kern w:val="0"/>
                <w:sz w:val="28"/>
                <w:szCs w:val="28"/>
              </w:rPr>
            </w:pPr>
            <w:r>
              <w:rPr>
                <w:rFonts w:eastAsia="仿宋_GB2312"/>
                <w:kern w:val="0"/>
                <w:sz w:val="28"/>
                <w:szCs w:val="28"/>
              </w:rPr>
              <w:t>（</w:t>
            </w:r>
            <w:r>
              <w:rPr>
                <w:kern w:val="0"/>
                <w:sz w:val="28"/>
                <w:szCs w:val="28"/>
              </w:rPr>
              <w:t>㎡</w:t>
            </w:r>
            <w:r>
              <w:rPr>
                <w:rFonts w:eastAsia="仿宋_GB2312"/>
                <w:kern w:val="0"/>
                <w:sz w:val="28"/>
                <w:szCs w:val="28"/>
              </w:rPr>
              <w:t>）</w:t>
            </w:r>
          </w:p>
        </w:tc>
        <w:tc>
          <w:tcPr>
            <w:tcW w:w="849"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实际规模（</w:t>
            </w:r>
            <w:r>
              <w:rPr>
                <w:kern w:val="0"/>
                <w:sz w:val="28"/>
                <w:szCs w:val="28"/>
              </w:rPr>
              <w:t>㎡</w:t>
            </w:r>
            <w:r>
              <w:rPr>
                <w:rFonts w:eastAsia="仿宋_GB2312"/>
                <w:kern w:val="0"/>
                <w:sz w:val="28"/>
                <w:szCs w:val="28"/>
              </w:rPr>
              <w:t>）</w:t>
            </w:r>
          </w:p>
        </w:tc>
        <w:tc>
          <w:tcPr>
            <w:tcW w:w="885"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规模控制率</w:t>
            </w:r>
          </w:p>
        </w:tc>
        <w:tc>
          <w:tcPr>
            <w:tcW w:w="1350"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预算投资（万元）</w:t>
            </w:r>
          </w:p>
        </w:tc>
        <w:tc>
          <w:tcPr>
            <w:tcW w:w="974"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实际投资（万元）</w:t>
            </w:r>
          </w:p>
        </w:tc>
        <w:tc>
          <w:tcPr>
            <w:tcW w:w="863"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投资概算控制率</w:t>
            </w:r>
          </w:p>
        </w:tc>
      </w:tr>
      <w:tr>
        <w:tblPrEx>
          <w:tblCellMar>
            <w:top w:w="0" w:type="dxa"/>
            <w:left w:w="108" w:type="dxa"/>
            <w:bottom w:w="0" w:type="dxa"/>
            <w:right w:w="108" w:type="dxa"/>
          </w:tblCellMar>
        </w:tblPrEx>
        <w:trPr>
          <w:trHeight w:val="264" w:hRule="atLeast"/>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8"/>
                <w:szCs w:val="28"/>
              </w:rPr>
            </w:pPr>
          </w:p>
        </w:tc>
        <w:tc>
          <w:tcPr>
            <w:tcW w:w="1189" w:type="dxa"/>
            <w:tcBorders>
              <w:top w:val="nil"/>
              <w:left w:val="nil"/>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　</w:t>
            </w:r>
          </w:p>
        </w:tc>
        <w:tc>
          <w:tcPr>
            <w:tcW w:w="849" w:type="dxa"/>
            <w:tcBorders>
              <w:top w:val="nil"/>
              <w:left w:val="nil"/>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w:t>
            </w:r>
          </w:p>
        </w:tc>
        <w:tc>
          <w:tcPr>
            <w:tcW w:w="885" w:type="dxa"/>
            <w:tcBorders>
              <w:top w:val="nil"/>
              <w:left w:val="nil"/>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w:t>
            </w:r>
          </w:p>
        </w:tc>
        <w:tc>
          <w:tcPr>
            <w:tcW w:w="1350" w:type="dxa"/>
            <w:tcBorders>
              <w:top w:val="nil"/>
              <w:left w:val="nil"/>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w:t>
            </w:r>
          </w:p>
        </w:tc>
        <w:tc>
          <w:tcPr>
            <w:tcW w:w="974" w:type="dxa"/>
            <w:tcBorders>
              <w:top w:val="nil"/>
              <w:left w:val="nil"/>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w:t>
            </w:r>
          </w:p>
        </w:tc>
        <w:tc>
          <w:tcPr>
            <w:tcW w:w="863" w:type="dxa"/>
            <w:tcBorders>
              <w:top w:val="nil"/>
              <w:left w:val="nil"/>
              <w:bottom w:val="single" w:color="auto" w:sz="4" w:space="0"/>
              <w:right w:val="single" w:color="auto" w:sz="4" w:space="0"/>
            </w:tcBorders>
            <w:noWrap/>
            <w:vAlign w:val="center"/>
          </w:tcPr>
          <w:p>
            <w:pPr>
              <w:widowControl/>
              <w:jc w:val="left"/>
              <w:rPr>
                <w:rFonts w:eastAsia="仿宋_GB2312"/>
                <w:kern w:val="0"/>
                <w:sz w:val="28"/>
                <w:szCs w:val="28"/>
              </w:rPr>
            </w:pPr>
            <w:r>
              <w:rPr>
                <w:rFonts w:eastAsia="仿宋_GB2312"/>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8"/>
                <w:szCs w:val="28"/>
              </w:rPr>
            </w:pPr>
            <w:r>
              <w:rPr>
                <w:rFonts w:eastAsia="仿宋_GB2312"/>
                <w:kern w:val="0"/>
                <w:sz w:val="28"/>
                <w:szCs w:val="28"/>
              </w:rPr>
              <w:t>厉行节约保障措施</w:t>
            </w:r>
          </w:p>
        </w:tc>
        <w:tc>
          <w:tcPr>
            <w:tcW w:w="6110" w:type="dxa"/>
            <w:gridSpan w:val="6"/>
            <w:tcBorders>
              <w:top w:val="single" w:color="auto" w:sz="4" w:space="0"/>
              <w:left w:val="nil"/>
              <w:bottom w:val="single" w:color="auto" w:sz="4" w:space="0"/>
              <w:right w:val="single" w:color="000000" w:sz="4" w:space="0"/>
            </w:tcBorders>
            <w:noWrap/>
            <w:vAlign w:val="center"/>
          </w:tcPr>
          <w:p>
            <w:pPr>
              <w:widowControl/>
              <w:jc w:val="left"/>
              <w:rPr>
                <w:rFonts w:eastAsia="仿宋_GB2312"/>
                <w:kern w:val="0"/>
                <w:sz w:val="22"/>
                <w:szCs w:val="22"/>
              </w:rPr>
            </w:pPr>
            <w:r>
              <w:rPr>
                <w:rFonts w:hint="eastAsia" w:eastAsia="仿宋_GB2312"/>
                <w:kern w:val="0"/>
                <w:sz w:val="22"/>
                <w:szCs w:val="22"/>
              </w:rPr>
              <w:t>1、5万元以上非工资性开支须经党政班子成员集体研究决定；</w:t>
            </w:r>
          </w:p>
          <w:p>
            <w:pPr>
              <w:widowControl/>
              <w:jc w:val="left"/>
              <w:rPr>
                <w:rFonts w:eastAsia="仿宋_GB2312"/>
                <w:kern w:val="0"/>
                <w:sz w:val="22"/>
                <w:szCs w:val="22"/>
              </w:rPr>
            </w:pPr>
            <w:r>
              <w:rPr>
                <w:rFonts w:hint="eastAsia" w:eastAsia="仿宋_GB2312"/>
                <w:kern w:val="0"/>
                <w:sz w:val="22"/>
                <w:szCs w:val="22"/>
              </w:rPr>
              <w:t>2、30万无以上开支项目须出具可行性报告，及上呈县财政评审；</w:t>
            </w:r>
          </w:p>
          <w:p>
            <w:pPr>
              <w:widowControl/>
              <w:jc w:val="left"/>
              <w:rPr>
                <w:rFonts w:eastAsia="仿宋_GB2312"/>
                <w:kern w:val="0"/>
                <w:sz w:val="22"/>
                <w:szCs w:val="22"/>
              </w:rPr>
            </w:pPr>
            <w:r>
              <w:rPr>
                <w:rFonts w:hint="eastAsia" w:eastAsia="仿宋_GB2312"/>
                <w:kern w:val="0"/>
                <w:sz w:val="22"/>
                <w:szCs w:val="22"/>
              </w:rPr>
              <w:t>3、严禁向各类检查、督查人员发送红包、整包整条香烟等物资；</w:t>
            </w:r>
          </w:p>
          <w:p>
            <w:pPr>
              <w:widowControl/>
              <w:jc w:val="left"/>
              <w:rPr>
                <w:rFonts w:eastAsia="仿宋_GB2312"/>
                <w:kern w:val="0"/>
                <w:sz w:val="22"/>
                <w:szCs w:val="22"/>
              </w:rPr>
            </w:pPr>
            <w:r>
              <w:rPr>
                <w:rFonts w:hint="eastAsia" w:eastAsia="仿宋_GB2312"/>
                <w:kern w:val="0"/>
                <w:sz w:val="22"/>
                <w:szCs w:val="22"/>
              </w:rPr>
              <w:t>3、统一采购办公用品，严格管理各类资产，及时处理闲置资产；</w:t>
            </w:r>
          </w:p>
          <w:p>
            <w:pPr>
              <w:widowControl/>
              <w:jc w:val="left"/>
              <w:rPr>
                <w:rFonts w:eastAsia="仿宋_GB2312"/>
                <w:kern w:val="0"/>
                <w:sz w:val="22"/>
                <w:szCs w:val="22"/>
              </w:rPr>
            </w:pPr>
            <w:r>
              <w:rPr>
                <w:rFonts w:hint="eastAsia" w:eastAsia="仿宋_GB2312"/>
                <w:kern w:val="0"/>
                <w:sz w:val="22"/>
                <w:szCs w:val="22"/>
              </w:rPr>
              <w:t>4、公务用车、接待用餐须事先向分管领导报告，并按低标准执行；</w:t>
            </w:r>
          </w:p>
          <w:p>
            <w:pPr>
              <w:widowControl/>
              <w:jc w:val="center"/>
              <w:rPr>
                <w:rFonts w:eastAsia="仿宋_GB2312"/>
                <w:kern w:val="0"/>
                <w:sz w:val="28"/>
                <w:szCs w:val="28"/>
              </w:rPr>
            </w:pPr>
            <w:r>
              <w:rPr>
                <w:rFonts w:hint="eastAsia" w:eastAsia="仿宋_GB2312"/>
                <w:kern w:val="0"/>
                <w:sz w:val="22"/>
                <w:szCs w:val="22"/>
              </w:rPr>
              <w:t>5、绝不以任何名义向单位职工违规提高标准或发放津补贴、奖金。</w:t>
            </w:r>
            <w:r>
              <w:rPr>
                <w:rFonts w:eastAsia="仿宋_GB2312"/>
                <w:kern w:val="0"/>
                <w:sz w:val="28"/>
                <w:szCs w:val="28"/>
              </w:rPr>
              <w:t>　</w:t>
            </w:r>
          </w:p>
        </w:tc>
      </w:tr>
    </w:tbl>
    <w:p>
      <w:pPr>
        <w:jc w:val="left"/>
        <w:rPr>
          <w:rFonts w:eastAsia="黑体"/>
          <w:sz w:val="32"/>
          <w:szCs w:val="32"/>
        </w:rPr>
      </w:pPr>
      <w:r>
        <w:rPr>
          <w:rFonts w:eastAsia="仿宋_GB2312"/>
          <w:kern w:val="0"/>
          <w:sz w:val="22"/>
          <w:szCs w:val="22"/>
        </w:rPr>
        <w:t>说明：</w:t>
      </w:r>
      <w:r>
        <w:rPr>
          <w:rFonts w:hint="eastAsia" w:eastAsia="仿宋_GB2312"/>
          <w:kern w:val="0"/>
          <w:sz w:val="22"/>
          <w:szCs w:val="22"/>
        </w:rPr>
        <w:t>1、</w:t>
      </w:r>
      <w:r>
        <w:rPr>
          <w:rFonts w:eastAsia="仿宋_GB2312"/>
          <w:kern w:val="0"/>
          <w:sz w:val="22"/>
          <w:szCs w:val="22"/>
        </w:rPr>
        <w:t>“项目支出”需要填报基本支出以外的所有项目</w:t>
      </w:r>
      <w:r>
        <w:rPr>
          <w:rFonts w:hint="eastAsia" w:eastAsia="仿宋_GB2312"/>
          <w:kern w:val="0"/>
          <w:sz w:val="22"/>
          <w:szCs w:val="22"/>
        </w:rPr>
        <w:t>支出</w:t>
      </w:r>
      <w:r>
        <w:rPr>
          <w:rFonts w:eastAsia="仿宋_GB2312"/>
          <w:kern w:val="0"/>
          <w:sz w:val="22"/>
          <w:szCs w:val="22"/>
        </w:rPr>
        <w:t>情况，包括业务工作项目、运行维护项目</w:t>
      </w:r>
      <w:r>
        <w:rPr>
          <w:rFonts w:hint="eastAsia" w:eastAsia="仿宋_GB2312"/>
          <w:kern w:val="0"/>
          <w:sz w:val="22"/>
          <w:szCs w:val="22"/>
        </w:rPr>
        <w:t>和县级专项资金</w:t>
      </w:r>
      <w:r>
        <w:rPr>
          <w:rFonts w:eastAsia="仿宋_GB2312"/>
          <w:kern w:val="0"/>
          <w:sz w:val="22"/>
          <w:szCs w:val="22"/>
        </w:rPr>
        <w:t>等；</w:t>
      </w:r>
      <w:r>
        <w:rPr>
          <w:rFonts w:hint="eastAsia" w:eastAsia="仿宋_GB2312"/>
          <w:kern w:val="0"/>
          <w:sz w:val="22"/>
          <w:szCs w:val="22"/>
        </w:rPr>
        <w:t>2、</w:t>
      </w:r>
      <w:r>
        <w:rPr>
          <w:rFonts w:eastAsia="仿宋_GB2312"/>
          <w:kern w:val="0"/>
          <w:sz w:val="22"/>
          <w:szCs w:val="22"/>
        </w:rPr>
        <w:t>“公用经费”填报基本支出中的一般商品和服务支出</w:t>
      </w:r>
      <w:r>
        <w:rPr>
          <w:rFonts w:hint="eastAsia" w:eastAsia="仿宋_GB2312"/>
          <w:kern w:val="0"/>
          <w:sz w:val="24"/>
        </w:rPr>
        <w:t>；3、2</w:t>
      </w:r>
      <w:r>
        <w:rPr>
          <w:rFonts w:hint="eastAsia" w:eastAsia="仿宋_GB2312"/>
          <w:kern w:val="0"/>
          <w:sz w:val="22"/>
          <w:szCs w:val="22"/>
        </w:rPr>
        <w:t>022年决算数填列县级初定上报数，如批复的决算数有变动，以决算批复数为准。</w:t>
      </w:r>
      <w:r>
        <w:rPr>
          <w:rFonts w:eastAsia="仿宋_GB2312"/>
          <w:kern w:val="0"/>
          <w:szCs w:val="21"/>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FF3E1"/>
    <w:multiLevelType w:val="singleLevel"/>
    <w:tmpl w:val="477FF3E1"/>
    <w:lvl w:ilvl="0" w:tentative="0">
      <w:start w:val="7"/>
      <w:numFmt w:val="chineseCounting"/>
      <w:suff w:val="nothing"/>
      <w:lvlText w:val="%1、"/>
      <w:lvlJc w:val="left"/>
      <w:pPr>
        <w:ind w:left="-64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s>
  <w:rsids>
    <w:rsidRoot w:val="003644AF"/>
    <w:rsid w:val="003644AF"/>
    <w:rsid w:val="007332C1"/>
    <w:rsid w:val="00DB1D6A"/>
    <w:rsid w:val="04561326"/>
    <w:rsid w:val="05444934"/>
    <w:rsid w:val="06F0752F"/>
    <w:rsid w:val="083A5D13"/>
    <w:rsid w:val="0FD541B5"/>
    <w:rsid w:val="11434C58"/>
    <w:rsid w:val="13EB044B"/>
    <w:rsid w:val="15A72150"/>
    <w:rsid w:val="19CF1BBF"/>
    <w:rsid w:val="1AE6196C"/>
    <w:rsid w:val="1B553053"/>
    <w:rsid w:val="1BAE5007"/>
    <w:rsid w:val="1BEB2B10"/>
    <w:rsid w:val="1C1E0C92"/>
    <w:rsid w:val="1D1627A1"/>
    <w:rsid w:val="1E6C3F37"/>
    <w:rsid w:val="2315711A"/>
    <w:rsid w:val="24A2769E"/>
    <w:rsid w:val="26567AB4"/>
    <w:rsid w:val="283321DD"/>
    <w:rsid w:val="2FE84ECC"/>
    <w:rsid w:val="32DF6F75"/>
    <w:rsid w:val="33D91C17"/>
    <w:rsid w:val="33FD07C5"/>
    <w:rsid w:val="3A6B7341"/>
    <w:rsid w:val="3D42082D"/>
    <w:rsid w:val="40E13EB9"/>
    <w:rsid w:val="41F03DB1"/>
    <w:rsid w:val="48B80DAF"/>
    <w:rsid w:val="491172E4"/>
    <w:rsid w:val="4BC05FA5"/>
    <w:rsid w:val="51E01477"/>
    <w:rsid w:val="549F2354"/>
    <w:rsid w:val="58FC58DC"/>
    <w:rsid w:val="64270077"/>
    <w:rsid w:val="671E56A6"/>
    <w:rsid w:val="672506F4"/>
    <w:rsid w:val="67516A8F"/>
    <w:rsid w:val="67CF4543"/>
    <w:rsid w:val="6A796C2B"/>
    <w:rsid w:val="6B594E10"/>
    <w:rsid w:val="6EFE1F56"/>
    <w:rsid w:val="70983D46"/>
    <w:rsid w:val="7A035FED"/>
    <w:rsid w:val="7ACA4ABE"/>
    <w:rsid w:val="7C277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格式"/>
    <w:basedOn w:val="1"/>
    <w:qFormat/>
    <w:uiPriority w:val="0"/>
    <w:pPr>
      <w:widowControl/>
      <w:spacing w:line="360" w:lineRule="auto"/>
      <w:ind w:firstLine="200" w:firstLineChars="200"/>
    </w:pPr>
    <w:rPr>
      <w:sz w:val="28"/>
      <w:szCs w:val="28"/>
    </w:rPr>
  </w:style>
  <w:style w:type="paragraph" w:styleId="8">
    <w:name w:val="List Paragraph"/>
    <w:basedOn w:val="1"/>
    <w:qFormat/>
    <w:uiPriority w:val="99"/>
    <w:pPr>
      <w:ind w:firstLine="420" w:firstLineChars="200"/>
    </w:pPr>
  </w:style>
  <w:style w:type="character" w:customStyle="1" w:styleId="9">
    <w:name w:val="font31"/>
    <w:basedOn w:val="6"/>
    <w:qFormat/>
    <w:uiPriority w:val="0"/>
    <w:rPr>
      <w:rFonts w:hint="default" w:ascii="仿宋_GB2312" w:eastAsia="仿宋_GB2312" w:cs="仿宋_GB2312"/>
      <w:color w:val="000000"/>
      <w:sz w:val="20"/>
      <w:szCs w:val="20"/>
      <w:u w:val="none"/>
    </w:rPr>
  </w:style>
  <w:style w:type="character" w:customStyle="1" w:styleId="10">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5388</Words>
  <Characters>5871</Characters>
  <Lines>10</Lines>
  <Paragraphs>13</Paragraphs>
  <TotalTime>39</TotalTime>
  <ScaleCrop>false</ScaleCrop>
  <LinksUpToDate>false</LinksUpToDate>
  <CharactersWithSpaces>6030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2023-03-30T08:53:00Z</dcterms:created>
  <dc:creator>Administrator</dc:creator>
  <cp:lastModifiedBy>蒋阔</cp:lastModifiedBy>
  <cp:lastPrinted>2023-03-31T00:54:00Z</cp:lastPrinted>
  <dcterms:modified xsi:type="dcterms:W3CDTF">2025-09-30T01:32:12Z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EB6AABB2EEEC4A79BA47EB4170BAEC8A_13</vt:lpwstr>
  </property>
</Properties>
</file>