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2024年石亭子镇政府部门项目支出绩效评价报告</w:t>
      </w:r>
    </w:p>
    <w:p>
      <w:pPr>
        <w:pStyle w:val="7"/>
        <w:ind w:left="470" w:firstLine="0" w:firstLineChars="0"/>
        <w:jc w:val="left"/>
        <w:rPr>
          <w:b/>
          <w:bCs/>
          <w:sz w:val="28"/>
          <w:szCs w:val="28"/>
        </w:rPr>
      </w:pPr>
      <w:r>
        <w:rPr>
          <w:rFonts w:hint="eastAsia"/>
          <w:b/>
          <w:bCs/>
          <w:sz w:val="28"/>
          <w:szCs w:val="28"/>
        </w:rPr>
        <w:t>一、项目单位基本情况</w:t>
      </w:r>
    </w:p>
    <w:p>
      <w:pPr>
        <w:spacing w:line="640" w:lineRule="exact"/>
        <w:ind w:firstLine="560" w:firstLineChars="200"/>
        <w:rPr>
          <w:sz w:val="28"/>
          <w:szCs w:val="28"/>
        </w:rPr>
      </w:pPr>
      <w:r>
        <w:rPr>
          <w:rFonts w:hint="eastAsia"/>
          <w:bCs/>
          <w:sz w:val="28"/>
          <w:szCs w:val="28"/>
        </w:rPr>
        <w:t>石</w:t>
      </w:r>
      <w:r>
        <w:rPr>
          <w:rFonts w:hint="eastAsia"/>
          <w:sz w:val="28"/>
          <w:szCs w:val="28"/>
        </w:rPr>
        <w:t>亭子镇位于湖南省祁东县西北部的丘陵地区，全镇现有户籍人口12005户34333人，行政区划面积67平方千米，拥有</w:t>
      </w:r>
      <w:bookmarkStart w:id="0" w:name="_GoBack"/>
      <w:bookmarkEnd w:id="0"/>
      <w:r>
        <w:rPr>
          <w:rFonts w:hint="eastAsia"/>
          <w:sz w:val="28"/>
          <w:szCs w:val="28"/>
        </w:rPr>
        <w:t>耕地面积26239亩。石亭子镇历来是湘南重要的商品粮生产基地，辖区居民以种植传统农作物、养殖家禽和外出务工作为主要经济来源，境内农产品十分丰富，“梅塘烟雨长安鱼，泉塘生猪罗江花（黄花菜）”等特色产品远近闻名，酥脆枣、槟榔芋等祁东著名地标性农产品在石亭子镇都有规模种植，黄花町村更是被冠以“中国黄花第一村”的美称。</w:t>
      </w:r>
    </w:p>
    <w:p>
      <w:pPr>
        <w:numPr>
          <w:ilvl w:val="0"/>
          <w:numId w:val="1"/>
        </w:numPr>
        <w:ind w:firstLine="562" w:firstLineChars="200"/>
        <w:jc w:val="left"/>
        <w:rPr>
          <w:b/>
          <w:bCs/>
          <w:sz w:val="28"/>
          <w:szCs w:val="28"/>
        </w:rPr>
      </w:pPr>
      <w:r>
        <w:rPr>
          <w:rFonts w:hint="eastAsia"/>
          <w:b/>
          <w:bCs/>
          <w:sz w:val="28"/>
          <w:szCs w:val="28"/>
        </w:rPr>
        <w:t>项目概况</w:t>
      </w:r>
    </w:p>
    <w:p>
      <w:pPr>
        <w:ind w:firstLine="560" w:firstLineChars="200"/>
        <w:rPr>
          <w:sz w:val="28"/>
          <w:szCs w:val="28"/>
        </w:rPr>
      </w:pPr>
      <w:r>
        <w:rPr>
          <w:rFonts w:hint="eastAsia"/>
          <w:bCs/>
          <w:sz w:val="28"/>
          <w:szCs w:val="28"/>
        </w:rPr>
        <w:t>石亭子镇2024年度主要</w:t>
      </w:r>
      <w:r>
        <w:rPr>
          <w:rFonts w:hint="eastAsia"/>
          <w:sz w:val="28"/>
          <w:szCs w:val="28"/>
        </w:rPr>
        <w:t>项目为农林水支出、交通运输支出、农村公益性项目奖补支出、</w:t>
      </w:r>
      <w:r>
        <w:rPr>
          <w:rFonts w:hint="eastAsia"/>
          <w:bCs/>
          <w:sz w:val="28"/>
          <w:szCs w:val="28"/>
        </w:rPr>
        <w:t>对村民委员会和村党支部的补助支出</w:t>
      </w:r>
      <w:r>
        <w:rPr>
          <w:rFonts w:hint="eastAsia"/>
          <w:sz w:val="28"/>
          <w:szCs w:val="28"/>
        </w:rPr>
        <w:t>、</w:t>
      </w:r>
      <w:r>
        <w:rPr>
          <w:rFonts w:hint="eastAsia"/>
          <w:bCs/>
          <w:sz w:val="28"/>
          <w:szCs w:val="28"/>
          <w:lang w:eastAsia="zh-CN"/>
        </w:rPr>
        <w:t>巩固拓展脱贫攻坚成果</w:t>
      </w:r>
      <w:r>
        <w:rPr>
          <w:rFonts w:hint="eastAsia"/>
          <w:bCs/>
          <w:sz w:val="28"/>
          <w:szCs w:val="28"/>
        </w:rPr>
        <w:t>衔接乡村振兴支出、农业生产发展支出、农村基础设施建设支出、农村综合改革示范试点补助支出</w:t>
      </w:r>
      <w:r>
        <w:rPr>
          <w:rFonts w:hint="eastAsia"/>
          <w:sz w:val="28"/>
          <w:szCs w:val="28"/>
        </w:rPr>
        <w:t>，总支出</w:t>
      </w:r>
      <w:r>
        <w:rPr>
          <w:sz w:val="28"/>
          <w:szCs w:val="28"/>
        </w:rPr>
        <w:t>755.18</w:t>
      </w:r>
      <w:r>
        <w:rPr>
          <w:rFonts w:hint="eastAsia"/>
          <w:sz w:val="28"/>
          <w:szCs w:val="28"/>
        </w:rPr>
        <w:t>万元。</w:t>
      </w:r>
    </w:p>
    <w:p>
      <w:pPr>
        <w:snapToGrid w:val="0"/>
        <w:spacing w:line="360" w:lineRule="auto"/>
        <w:ind w:firstLine="560" w:firstLineChars="200"/>
        <w:rPr>
          <w:rFonts w:hint="eastAsia"/>
          <w:bCs/>
          <w:sz w:val="28"/>
          <w:szCs w:val="28"/>
        </w:rPr>
      </w:pPr>
      <w:r>
        <w:rPr>
          <w:rFonts w:hint="eastAsia"/>
          <w:bCs/>
          <w:sz w:val="28"/>
          <w:szCs w:val="28"/>
        </w:rPr>
        <w:t>其中：其他文化和旅游支出</w:t>
      </w:r>
      <w:r>
        <w:rPr>
          <w:bCs/>
          <w:sz w:val="28"/>
          <w:szCs w:val="28"/>
        </w:rPr>
        <w:t>10</w:t>
      </w:r>
      <w:r>
        <w:rPr>
          <w:rFonts w:hint="eastAsia"/>
          <w:bCs/>
          <w:sz w:val="28"/>
          <w:szCs w:val="28"/>
        </w:rPr>
        <w:t>万元；其他文化旅游体育与传媒支出</w:t>
      </w:r>
      <w:r>
        <w:rPr>
          <w:bCs/>
          <w:sz w:val="28"/>
          <w:szCs w:val="28"/>
        </w:rPr>
        <w:t>2</w:t>
      </w:r>
      <w:r>
        <w:rPr>
          <w:rFonts w:hint="eastAsia"/>
          <w:bCs/>
          <w:sz w:val="28"/>
          <w:szCs w:val="28"/>
        </w:rPr>
        <w:t>万元；人大信访工作支出</w:t>
      </w:r>
      <w:r>
        <w:rPr>
          <w:bCs/>
          <w:sz w:val="28"/>
          <w:szCs w:val="28"/>
        </w:rPr>
        <w:t>4</w:t>
      </w:r>
      <w:r>
        <w:rPr>
          <w:rFonts w:hint="eastAsia"/>
          <w:bCs/>
          <w:sz w:val="28"/>
          <w:szCs w:val="28"/>
        </w:rPr>
        <w:t>万元；其他人大事务支出</w:t>
      </w:r>
      <w:r>
        <w:rPr>
          <w:bCs/>
          <w:sz w:val="28"/>
          <w:szCs w:val="28"/>
        </w:rPr>
        <w:t>1.98</w:t>
      </w:r>
      <w:r>
        <w:rPr>
          <w:rFonts w:hint="eastAsia"/>
          <w:bCs/>
          <w:sz w:val="28"/>
          <w:szCs w:val="28"/>
        </w:rPr>
        <w:t>万元；社会事业发展规划</w:t>
      </w:r>
      <w:r>
        <w:rPr>
          <w:bCs/>
          <w:sz w:val="28"/>
          <w:szCs w:val="28"/>
        </w:rPr>
        <w:t>10</w:t>
      </w:r>
      <w:r>
        <w:rPr>
          <w:rFonts w:hint="eastAsia"/>
          <w:bCs/>
          <w:sz w:val="28"/>
          <w:szCs w:val="28"/>
        </w:rPr>
        <w:t>万元；一般行政管理事务支出</w:t>
      </w:r>
      <w:r>
        <w:rPr>
          <w:bCs/>
          <w:sz w:val="28"/>
          <w:szCs w:val="28"/>
        </w:rPr>
        <w:t>31.92</w:t>
      </w:r>
      <w:r>
        <w:rPr>
          <w:rFonts w:hint="eastAsia"/>
          <w:bCs/>
          <w:sz w:val="28"/>
          <w:szCs w:val="28"/>
        </w:rPr>
        <w:t>万元；用于社会福利的彩票公益金支出</w:t>
      </w:r>
      <w:r>
        <w:rPr>
          <w:bCs/>
          <w:sz w:val="28"/>
          <w:szCs w:val="28"/>
        </w:rPr>
        <w:t>11</w:t>
      </w:r>
      <w:r>
        <w:rPr>
          <w:rFonts w:hint="eastAsia"/>
          <w:bCs/>
          <w:sz w:val="28"/>
          <w:szCs w:val="28"/>
        </w:rPr>
        <w:t>万元；信访业务支出</w:t>
      </w:r>
      <w:r>
        <w:rPr>
          <w:bCs/>
          <w:sz w:val="28"/>
          <w:szCs w:val="28"/>
        </w:rPr>
        <w:t>2</w:t>
      </w:r>
      <w:r>
        <w:rPr>
          <w:rFonts w:hint="eastAsia"/>
          <w:bCs/>
          <w:sz w:val="28"/>
          <w:szCs w:val="28"/>
        </w:rPr>
        <w:t>万元；社会保险经办机构支出</w:t>
      </w:r>
      <w:r>
        <w:rPr>
          <w:bCs/>
          <w:sz w:val="28"/>
          <w:szCs w:val="28"/>
        </w:rPr>
        <w:t>11.86</w:t>
      </w:r>
      <w:r>
        <w:rPr>
          <w:rFonts w:hint="eastAsia"/>
          <w:bCs/>
          <w:sz w:val="28"/>
          <w:szCs w:val="28"/>
        </w:rPr>
        <w:t>万元；死亡抚恤支出</w:t>
      </w:r>
      <w:r>
        <w:rPr>
          <w:bCs/>
          <w:sz w:val="28"/>
          <w:szCs w:val="28"/>
        </w:rPr>
        <w:t>5.58</w:t>
      </w:r>
      <w:r>
        <w:rPr>
          <w:rFonts w:hint="eastAsia"/>
          <w:bCs/>
          <w:sz w:val="28"/>
          <w:szCs w:val="28"/>
        </w:rPr>
        <w:t>万元；其他环境保护管理事务支出8</w:t>
      </w:r>
      <w:r>
        <w:rPr>
          <w:bCs/>
          <w:sz w:val="28"/>
          <w:szCs w:val="28"/>
        </w:rPr>
        <w:t>.7</w:t>
      </w:r>
      <w:r>
        <w:rPr>
          <w:rFonts w:hint="eastAsia"/>
          <w:bCs/>
          <w:sz w:val="28"/>
          <w:szCs w:val="28"/>
        </w:rPr>
        <w:t>万元；水体支出</w:t>
      </w:r>
      <w:r>
        <w:rPr>
          <w:bCs/>
          <w:sz w:val="28"/>
          <w:szCs w:val="28"/>
        </w:rPr>
        <w:t>2.97</w:t>
      </w:r>
      <w:r>
        <w:rPr>
          <w:rFonts w:hint="eastAsia"/>
          <w:bCs/>
          <w:sz w:val="28"/>
          <w:szCs w:val="28"/>
        </w:rPr>
        <w:t>万元；其他城乡社区管理事务支出</w:t>
      </w:r>
      <w:r>
        <w:rPr>
          <w:bCs/>
          <w:sz w:val="28"/>
          <w:szCs w:val="28"/>
        </w:rPr>
        <w:t>10</w:t>
      </w:r>
      <w:r>
        <w:rPr>
          <w:rFonts w:hint="eastAsia"/>
          <w:bCs/>
          <w:sz w:val="28"/>
          <w:szCs w:val="28"/>
        </w:rPr>
        <w:t>万元；其他城乡社区公共设施支出</w:t>
      </w:r>
      <w:r>
        <w:rPr>
          <w:bCs/>
          <w:sz w:val="28"/>
          <w:szCs w:val="28"/>
        </w:rPr>
        <w:t>5</w:t>
      </w:r>
      <w:r>
        <w:rPr>
          <w:rFonts w:hint="eastAsia"/>
          <w:bCs/>
          <w:sz w:val="28"/>
          <w:szCs w:val="28"/>
        </w:rPr>
        <w:t>万元；农业生产发展支出</w:t>
      </w:r>
      <w:r>
        <w:rPr>
          <w:bCs/>
          <w:sz w:val="28"/>
          <w:szCs w:val="28"/>
        </w:rPr>
        <w:t>21</w:t>
      </w:r>
      <w:r>
        <w:rPr>
          <w:rFonts w:hint="eastAsia"/>
          <w:bCs/>
          <w:sz w:val="28"/>
          <w:szCs w:val="28"/>
        </w:rPr>
        <w:t>万元；其他国有土地使用权出让收入安排的支出</w:t>
      </w:r>
      <w:r>
        <w:rPr>
          <w:bCs/>
          <w:sz w:val="28"/>
          <w:szCs w:val="28"/>
        </w:rPr>
        <w:t>28.58</w:t>
      </w:r>
      <w:r>
        <w:rPr>
          <w:rFonts w:hint="eastAsia"/>
          <w:bCs/>
          <w:sz w:val="28"/>
          <w:szCs w:val="28"/>
        </w:rPr>
        <w:t>万元；其他城乡社区支出</w:t>
      </w:r>
      <w:r>
        <w:rPr>
          <w:bCs/>
          <w:sz w:val="28"/>
          <w:szCs w:val="28"/>
        </w:rPr>
        <w:t>20</w:t>
      </w:r>
      <w:r>
        <w:rPr>
          <w:rFonts w:hint="eastAsia"/>
          <w:bCs/>
          <w:sz w:val="28"/>
          <w:szCs w:val="28"/>
        </w:rPr>
        <w:t>万元；病虫害控制支出</w:t>
      </w:r>
      <w:r>
        <w:rPr>
          <w:bCs/>
          <w:sz w:val="28"/>
          <w:szCs w:val="28"/>
        </w:rPr>
        <w:t>2.29</w:t>
      </w:r>
      <w:r>
        <w:rPr>
          <w:rFonts w:hint="eastAsia"/>
          <w:bCs/>
          <w:sz w:val="28"/>
          <w:szCs w:val="28"/>
        </w:rPr>
        <w:t>万元；农村社会事业支出</w:t>
      </w:r>
      <w:r>
        <w:rPr>
          <w:bCs/>
          <w:sz w:val="28"/>
          <w:szCs w:val="28"/>
        </w:rPr>
        <w:t>10.96</w:t>
      </w:r>
      <w:r>
        <w:rPr>
          <w:rFonts w:hint="eastAsia"/>
          <w:bCs/>
          <w:sz w:val="28"/>
          <w:szCs w:val="28"/>
        </w:rPr>
        <w:t>万元；其他农业农村支出</w:t>
      </w:r>
      <w:r>
        <w:rPr>
          <w:bCs/>
          <w:sz w:val="28"/>
          <w:szCs w:val="28"/>
        </w:rPr>
        <w:t>117.65</w:t>
      </w:r>
      <w:r>
        <w:rPr>
          <w:rFonts w:hint="eastAsia"/>
          <w:bCs/>
          <w:sz w:val="28"/>
          <w:szCs w:val="28"/>
        </w:rPr>
        <w:t>万元；其他水利支出</w:t>
      </w:r>
      <w:r>
        <w:rPr>
          <w:bCs/>
          <w:sz w:val="28"/>
          <w:szCs w:val="28"/>
        </w:rPr>
        <w:t>3.15</w:t>
      </w:r>
      <w:r>
        <w:rPr>
          <w:rFonts w:hint="eastAsia"/>
          <w:bCs/>
          <w:sz w:val="28"/>
          <w:szCs w:val="28"/>
        </w:rPr>
        <w:t>万元；农村基础设施建设支出3</w:t>
      </w:r>
      <w:r>
        <w:rPr>
          <w:bCs/>
          <w:sz w:val="28"/>
          <w:szCs w:val="28"/>
        </w:rPr>
        <w:t>0.56</w:t>
      </w:r>
      <w:r>
        <w:rPr>
          <w:rFonts w:hint="eastAsia"/>
          <w:bCs/>
          <w:sz w:val="28"/>
          <w:szCs w:val="28"/>
        </w:rPr>
        <w:t>万元；其他</w:t>
      </w:r>
      <w:r>
        <w:rPr>
          <w:rFonts w:hint="eastAsia"/>
          <w:bCs/>
          <w:sz w:val="28"/>
          <w:szCs w:val="28"/>
          <w:lang w:eastAsia="zh-CN"/>
        </w:rPr>
        <w:t>巩固拓展脱贫攻坚成果</w:t>
      </w:r>
      <w:r>
        <w:rPr>
          <w:rFonts w:hint="eastAsia"/>
          <w:bCs/>
          <w:sz w:val="28"/>
          <w:szCs w:val="28"/>
        </w:rPr>
        <w:t>衔接乡村振兴支出7</w:t>
      </w:r>
      <w:r>
        <w:rPr>
          <w:bCs/>
          <w:sz w:val="28"/>
          <w:szCs w:val="28"/>
        </w:rPr>
        <w:t>5.2</w:t>
      </w:r>
      <w:r>
        <w:rPr>
          <w:rFonts w:hint="eastAsia"/>
          <w:bCs/>
          <w:sz w:val="28"/>
          <w:szCs w:val="28"/>
        </w:rPr>
        <w:t>万元；对村民委员会和村党支部的补助支出</w:t>
      </w:r>
      <w:r>
        <w:rPr>
          <w:bCs/>
          <w:sz w:val="28"/>
          <w:szCs w:val="28"/>
        </w:rPr>
        <w:t>163.53</w:t>
      </w:r>
      <w:r>
        <w:rPr>
          <w:rFonts w:hint="eastAsia"/>
          <w:bCs/>
          <w:sz w:val="28"/>
          <w:szCs w:val="28"/>
        </w:rPr>
        <w:t>万元；对村级公益事业建设的补助支出</w:t>
      </w:r>
      <w:r>
        <w:rPr>
          <w:bCs/>
          <w:sz w:val="28"/>
          <w:szCs w:val="28"/>
        </w:rPr>
        <w:t>56</w:t>
      </w:r>
      <w:r>
        <w:rPr>
          <w:rFonts w:hint="eastAsia"/>
          <w:bCs/>
          <w:sz w:val="28"/>
          <w:szCs w:val="28"/>
        </w:rPr>
        <w:t>万元；农村综合改革示范试点补助支出</w:t>
      </w:r>
      <w:r>
        <w:rPr>
          <w:bCs/>
          <w:sz w:val="28"/>
          <w:szCs w:val="28"/>
        </w:rPr>
        <w:t>40</w:t>
      </w:r>
      <w:r>
        <w:rPr>
          <w:rFonts w:hint="eastAsia"/>
          <w:bCs/>
          <w:sz w:val="28"/>
          <w:szCs w:val="28"/>
        </w:rPr>
        <w:t>万元；其他农林水支出</w:t>
      </w:r>
      <w:r>
        <w:rPr>
          <w:bCs/>
          <w:sz w:val="28"/>
          <w:szCs w:val="28"/>
        </w:rPr>
        <w:t>35</w:t>
      </w:r>
      <w:r>
        <w:rPr>
          <w:rFonts w:hint="eastAsia"/>
          <w:bCs/>
          <w:sz w:val="28"/>
          <w:szCs w:val="28"/>
        </w:rPr>
        <w:t>万元；公路建设支出</w:t>
      </w:r>
      <w:r>
        <w:rPr>
          <w:bCs/>
          <w:sz w:val="28"/>
          <w:szCs w:val="28"/>
        </w:rPr>
        <w:t>4.14</w:t>
      </w:r>
      <w:r>
        <w:rPr>
          <w:rFonts w:hint="eastAsia"/>
          <w:bCs/>
          <w:sz w:val="28"/>
          <w:szCs w:val="28"/>
        </w:rPr>
        <w:t>万元；公共租赁住房开支</w:t>
      </w:r>
      <w:r>
        <w:rPr>
          <w:bCs/>
          <w:sz w:val="28"/>
          <w:szCs w:val="28"/>
        </w:rPr>
        <w:t>3.5</w:t>
      </w:r>
      <w:r>
        <w:rPr>
          <w:rFonts w:hint="eastAsia"/>
          <w:bCs/>
          <w:sz w:val="28"/>
          <w:szCs w:val="28"/>
        </w:rPr>
        <w:t>万元；应急救援支出3万元；森林草原防灾减灾支出</w:t>
      </w:r>
      <w:r>
        <w:rPr>
          <w:bCs/>
          <w:sz w:val="28"/>
          <w:szCs w:val="28"/>
        </w:rPr>
        <w:t>1.9</w:t>
      </w:r>
      <w:r>
        <w:rPr>
          <w:rFonts w:hint="eastAsia"/>
          <w:bCs/>
          <w:sz w:val="28"/>
          <w:szCs w:val="28"/>
        </w:rPr>
        <w:t>万元；用于体育事业的彩票公益金支出</w:t>
      </w:r>
      <w:r>
        <w:rPr>
          <w:bCs/>
          <w:sz w:val="28"/>
          <w:szCs w:val="28"/>
        </w:rPr>
        <w:t>1</w:t>
      </w:r>
      <w:r>
        <w:rPr>
          <w:rFonts w:hint="eastAsia"/>
          <w:bCs/>
          <w:sz w:val="28"/>
          <w:szCs w:val="28"/>
        </w:rPr>
        <w:t>万元；其他支出</w:t>
      </w:r>
      <w:r>
        <w:rPr>
          <w:bCs/>
          <w:sz w:val="28"/>
          <w:szCs w:val="28"/>
        </w:rPr>
        <w:t>20.71</w:t>
      </w:r>
      <w:r>
        <w:rPr>
          <w:rFonts w:hint="eastAsia"/>
          <w:bCs/>
          <w:sz w:val="28"/>
          <w:szCs w:val="28"/>
        </w:rPr>
        <w:t>万元。</w:t>
      </w:r>
    </w:p>
    <w:p>
      <w:pPr>
        <w:pStyle w:val="7"/>
        <w:ind w:left="561" w:firstLine="560"/>
        <w:jc w:val="left"/>
        <w:rPr>
          <w:b/>
          <w:bCs/>
          <w:sz w:val="28"/>
          <w:szCs w:val="28"/>
        </w:rPr>
      </w:pPr>
      <w:r>
        <w:rPr>
          <w:rFonts w:hint="eastAsia"/>
          <w:sz w:val="28"/>
          <w:szCs w:val="28"/>
        </w:rPr>
        <w:t>三、</w:t>
      </w:r>
      <w:r>
        <w:rPr>
          <w:rFonts w:hint="eastAsia"/>
          <w:b/>
          <w:bCs/>
          <w:sz w:val="28"/>
          <w:szCs w:val="28"/>
        </w:rPr>
        <w:t>项目资金使用及管理情况</w:t>
      </w:r>
    </w:p>
    <w:p>
      <w:pPr>
        <w:ind w:firstLine="560" w:firstLineChars="200"/>
        <w:jc w:val="left"/>
        <w:rPr>
          <w:sz w:val="28"/>
          <w:szCs w:val="28"/>
        </w:rPr>
      </w:pPr>
      <w:r>
        <w:rPr>
          <w:rFonts w:hint="eastAsia"/>
          <w:sz w:val="28"/>
          <w:szCs w:val="28"/>
        </w:rPr>
        <w:t>该项目资金由县财政局零余额户管理，石亭子镇政府主要负责监督、检查项目工程建设质量、进度。其付款程序大致是：镇财政所在县财政安排的专项资金指标到位后进行计划申请，县局科室审核同意后再进行支付申请，县局审批后方可完成财政直接支付。</w:t>
      </w:r>
    </w:p>
    <w:p>
      <w:pPr>
        <w:ind w:firstLine="560" w:firstLineChars="200"/>
        <w:jc w:val="left"/>
        <w:rPr>
          <w:sz w:val="28"/>
          <w:szCs w:val="28"/>
        </w:rPr>
      </w:pPr>
      <w:r>
        <w:rPr>
          <w:rFonts w:hint="eastAsia"/>
          <w:sz w:val="28"/>
          <w:szCs w:val="28"/>
        </w:rPr>
        <w:t>该</w:t>
      </w:r>
      <w:r>
        <w:rPr>
          <w:sz w:val="28"/>
          <w:szCs w:val="28"/>
        </w:rPr>
        <w:t>项目立项依据充分，有</w:t>
      </w:r>
      <w:r>
        <w:rPr>
          <w:rFonts w:hint="eastAsia"/>
          <w:sz w:val="28"/>
          <w:szCs w:val="28"/>
        </w:rPr>
        <w:t>规范</w:t>
      </w:r>
      <w:r>
        <w:rPr>
          <w:sz w:val="28"/>
          <w:szCs w:val="28"/>
        </w:rPr>
        <w:t>资金管理办法</w:t>
      </w:r>
      <w:r>
        <w:rPr>
          <w:rFonts w:hint="eastAsia"/>
          <w:sz w:val="28"/>
          <w:szCs w:val="28"/>
        </w:rPr>
        <w:t>；且项目资金</w:t>
      </w:r>
      <w:r>
        <w:rPr>
          <w:sz w:val="28"/>
          <w:szCs w:val="28"/>
        </w:rPr>
        <w:t>于</w:t>
      </w:r>
      <w:r>
        <w:rPr>
          <w:rFonts w:hint="eastAsia"/>
          <w:sz w:val="28"/>
          <w:szCs w:val="28"/>
        </w:rPr>
        <w:t>2</w:t>
      </w:r>
      <w:r>
        <w:rPr>
          <w:sz w:val="28"/>
          <w:szCs w:val="28"/>
        </w:rPr>
        <w:t>024</w:t>
      </w:r>
      <w:r>
        <w:rPr>
          <w:rFonts w:hint="eastAsia"/>
          <w:sz w:val="28"/>
          <w:szCs w:val="28"/>
        </w:rPr>
        <w:t>年12</w:t>
      </w:r>
      <w:r>
        <w:rPr>
          <w:sz w:val="28"/>
          <w:szCs w:val="28"/>
        </w:rPr>
        <w:t>月</w:t>
      </w:r>
      <w:r>
        <w:rPr>
          <w:rFonts w:hint="eastAsia"/>
          <w:sz w:val="28"/>
          <w:szCs w:val="28"/>
        </w:rPr>
        <w:t>底按预算进度</w:t>
      </w:r>
      <w:r>
        <w:rPr>
          <w:sz w:val="28"/>
          <w:szCs w:val="28"/>
        </w:rPr>
        <w:t>全部</w:t>
      </w:r>
      <w:r>
        <w:rPr>
          <w:rFonts w:hint="eastAsia"/>
          <w:sz w:val="28"/>
          <w:szCs w:val="28"/>
        </w:rPr>
        <w:t>拨付</w:t>
      </w:r>
      <w:r>
        <w:rPr>
          <w:sz w:val="28"/>
          <w:szCs w:val="28"/>
        </w:rPr>
        <w:t>到位，未影响项目实施</w:t>
      </w:r>
      <w:r>
        <w:rPr>
          <w:rFonts w:hint="eastAsia"/>
          <w:sz w:val="28"/>
          <w:szCs w:val="28"/>
        </w:rPr>
        <w:t>；</w:t>
      </w:r>
      <w:r>
        <w:rPr>
          <w:sz w:val="28"/>
          <w:szCs w:val="28"/>
        </w:rPr>
        <w:t>资金使用</w:t>
      </w:r>
      <w:r>
        <w:rPr>
          <w:rFonts w:hint="eastAsia"/>
          <w:sz w:val="28"/>
          <w:szCs w:val="28"/>
        </w:rPr>
        <w:t>符合</w:t>
      </w:r>
      <w:r>
        <w:rPr>
          <w:sz w:val="28"/>
          <w:szCs w:val="28"/>
        </w:rPr>
        <w:t>规</w:t>
      </w:r>
      <w:r>
        <w:rPr>
          <w:rFonts w:hint="eastAsia"/>
          <w:sz w:val="28"/>
          <w:szCs w:val="28"/>
        </w:rPr>
        <w:t>定</w:t>
      </w:r>
      <w:r>
        <w:rPr>
          <w:sz w:val="28"/>
          <w:szCs w:val="28"/>
        </w:rPr>
        <w:t>，无截留、挪用等现象，资金使用效益</w:t>
      </w:r>
      <w:r>
        <w:rPr>
          <w:rFonts w:hint="eastAsia"/>
          <w:sz w:val="28"/>
          <w:szCs w:val="28"/>
        </w:rPr>
        <w:t>明显。</w:t>
      </w:r>
    </w:p>
    <w:p>
      <w:pPr>
        <w:ind w:firstLine="560" w:firstLineChars="200"/>
        <w:jc w:val="left"/>
      </w:pPr>
      <w:r>
        <w:rPr>
          <w:rFonts w:hint="eastAsia"/>
          <w:sz w:val="28"/>
          <w:szCs w:val="28"/>
        </w:rPr>
        <w:t>四、</w:t>
      </w:r>
      <w:r>
        <w:rPr>
          <w:rFonts w:hint="eastAsia"/>
          <w:b/>
          <w:bCs/>
          <w:sz w:val="28"/>
          <w:szCs w:val="28"/>
        </w:rPr>
        <w:t>项目年度预算绩效目标、绩效指标设定情况</w:t>
      </w:r>
    </w:p>
    <w:p>
      <w:pPr>
        <w:ind w:firstLine="560" w:firstLineChars="200"/>
        <w:jc w:val="left"/>
        <w:rPr>
          <w:sz w:val="28"/>
          <w:szCs w:val="28"/>
        </w:rPr>
      </w:pPr>
      <w:r>
        <w:rPr>
          <w:rFonts w:hint="eastAsia"/>
          <w:sz w:val="28"/>
          <w:szCs w:val="28"/>
        </w:rPr>
        <w:t>年初，我镇党委政府</w:t>
      </w:r>
      <w:r>
        <w:rPr>
          <w:sz w:val="28"/>
          <w:szCs w:val="28"/>
        </w:rPr>
        <w:t>成立</w:t>
      </w:r>
      <w:r>
        <w:rPr>
          <w:rFonts w:hint="eastAsia"/>
          <w:sz w:val="28"/>
          <w:szCs w:val="28"/>
        </w:rPr>
        <w:t>了由分管财税的领导负责、纪检、财政所、农业服务中心、社会事务办中心等部门人员参加的项目支出</w:t>
      </w:r>
      <w:r>
        <w:rPr>
          <w:sz w:val="28"/>
          <w:szCs w:val="28"/>
        </w:rPr>
        <w:t>绩效评价小组，</w:t>
      </w:r>
      <w:r>
        <w:rPr>
          <w:rFonts w:hint="eastAsia"/>
          <w:sz w:val="28"/>
          <w:szCs w:val="28"/>
        </w:rPr>
        <w:t>并要求小组成员</w:t>
      </w:r>
      <w:r>
        <w:rPr>
          <w:sz w:val="28"/>
          <w:szCs w:val="28"/>
        </w:rPr>
        <w:t>学习</w:t>
      </w:r>
      <w:r>
        <w:rPr>
          <w:rFonts w:hint="eastAsia"/>
          <w:sz w:val="28"/>
          <w:szCs w:val="28"/>
        </w:rPr>
        <w:t>和掌握</w:t>
      </w:r>
      <w:r>
        <w:rPr>
          <w:sz w:val="28"/>
          <w:szCs w:val="28"/>
        </w:rPr>
        <w:t>评价指标体系和绩效相关文件</w:t>
      </w:r>
      <w:r>
        <w:rPr>
          <w:rFonts w:hint="eastAsia"/>
          <w:sz w:val="28"/>
          <w:szCs w:val="28"/>
        </w:rPr>
        <w:t>精神，根据预算绩效目标设定了较完整的一、二、三级绩效指标和相应的分值。预算绩效目标、绩效指标设定体系大致如下：</w:t>
      </w:r>
    </w:p>
    <w:p>
      <w:pPr>
        <w:ind w:firstLine="560" w:firstLineChars="200"/>
        <w:jc w:val="left"/>
        <w:rPr>
          <w:sz w:val="28"/>
          <w:szCs w:val="28"/>
        </w:rPr>
      </w:pPr>
      <w:r>
        <w:rPr>
          <w:rFonts w:hint="eastAsia"/>
          <w:sz w:val="28"/>
          <w:szCs w:val="28"/>
        </w:rPr>
        <w:t>项目总体设立投入、过程、产出、效果四个一级指标，总分值100。</w:t>
      </w:r>
    </w:p>
    <w:p>
      <w:pPr>
        <w:ind w:firstLine="560" w:firstLineChars="200"/>
        <w:jc w:val="left"/>
        <w:rPr>
          <w:sz w:val="28"/>
          <w:szCs w:val="28"/>
        </w:rPr>
      </w:pPr>
      <w:r>
        <w:rPr>
          <w:rFonts w:hint="eastAsia"/>
          <w:sz w:val="28"/>
          <w:szCs w:val="28"/>
        </w:rPr>
        <w:t>一级指标“投入”下分项目立项、资金落实2个二级指标，“项目立项”又分立项规划性、目标合理性、明确性3个三级指标，“资金落实”又分资金到位率、资金到位及时率2个三级指标。</w:t>
      </w:r>
    </w:p>
    <w:p>
      <w:pPr>
        <w:ind w:firstLine="560" w:firstLineChars="200"/>
        <w:jc w:val="left"/>
        <w:rPr>
          <w:sz w:val="28"/>
          <w:szCs w:val="28"/>
        </w:rPr>
      </w:pPr>
      <w:r>
        <w:rPr>
          <w:rFonts w:hint="eastAsia"/>
          <w:sz w:val="28"/>
          <w:szCs w:val="28"/>
        </w:rPr>
        <w:t>一级指标“过程”下分业务管理、财务管理2个二级指标。“业务管理”又分管理制度健全性、制度执行有效性、项目管理可控性3个三级指标，“财务管理”又分管理制度健全性、资金使用合规性、财务监控有效性3个三级指标。</w:t>
      </w:r>
    </w:p>
    <w:p>
      <w:pPr>
        <w:ind w:firstLine="560" w:firstLineChars="200"/>
        <w:jc w:val="left"/>
        <w:rPr>
          <w:sz w:val="28"/>
          <w:szCs w:val="28"/>
        </w:rPr>
      </w:pPr>
      <w:r>
        <w:rPr>
          <w:rFonts w:hint="eastAsia"/>
          <w:sz w:val="28"/>
          <w:szCs w:val="28"/>
        </w:rPr>
        <w:t>“项目产出”二级指标下分实际完成率、完成及时率、质量达标率、成本节约率4个三个指标。</w:t>
      </w:r>
    </w:p>
    <w:p>
      <w:pPr>
        <w:ind w:firstLine="560" w:firstLineChars="200"/>
        <w:jc w:val="left"/>
        <w:rPr>
          <w:sz w:val="28"/>
          <w:szCs w:val="28"/>
        </w:rPr>
      </w:pPr>
      <w:r>
        <w:rPr>
          <w:rFonts w:hint="eastAsia"/>
          <w:sz w:val="28"/>
          <w:szCs w:val="28"/>
        </w:rPr>
        <w:t>“项目效果”二级指标下分经济效益、社会效益、生态效益、可持续影响、社会公众或服务对象满意度5个三级指标。</w:t>
      </w:r>
    </w:p>
    <w:p>
      <w:pPr>
        <w:ind w:firstLine="560" w:firstLineChars="200"/>
        <w:jc w:val="left"/>
        <w:rPr>
          <w:sz w:val="28"/>
          <w:szCs w:val="28"/>
        </w:rPr>
      </w:pPr>
      <w:r>
        <w:rPr>
          <w:rFonts w:hint="eastAsia"/>
          <w:sz w:val="28"/>
          <w:szCs w:val="28"/>
        </w:rPr>
        <w:t>在项目正式实施后便</w:t>
      </w:r>
      <w:r>
        <w:rPr>
          <w:sz w:val="28"/>
          <w:szCs w:val="28"/>
        </w:rPr>
        <w:t>按照规定的工作程序组织绩效评价自评</w:t>
      </w:r>
      <w:r>
        <w:rPr>
          <w:rFonts w:hint="eastAsia"/>
          <w:sz w:val="28"/>
          <w:szCs w:val="28"/>
        </w:rPr>
        <w:t>，</w:t>
      </w:r>
      <w:r>
        <w:rPr>
          <w:sz w:val="28"/>
          <w:szCs w:val="28"/>
        </w:rPr>
        <w:t>对评价结果</w:t>
      </w:r>
      <w:r>
        <w:rPr>
          <w:rFonts w:hint="eastAsia"/>
          <w:sz w:val="28"/>
          <w:szCs w:val="28"/>
        </w:rPr>
        <w:t>不满意的地方认真</w:t>
      </w:r>
      <w:r>
        <w:rPr>
          <w:sz w:val="28"/>
          <w:szCs w:val="28"/>
        </w:rPr>
        <w:t>进行整改</w:t>
      </w:r>
      <w:r>
        <w:rPr>
          <w:rFonts w:hint="eastAsia"/>
          <w:sz w:val="28"/>
          <w:szCs w:val="28"/>
        </w:rPr>
        <w:t>。年末，对项目年度预算目标、绩效指标进行汇总、分析，力争绩效考核评分达到95分以上。</w:t>
      </w:r>
    </w:p>
    <w:p>
      <w:pPr>
        <w:numPr>
          <w:ilvl w:val="0"/>
          <w:numId w:val="2"/>
        </w:numPr>
        <w:ind w:firstLine="562" w:firstLineChars="200"/>
        <w:jc w:val="left"/>
        <w:rPr>
          <w:b/>
          <w:bCs/>
          <w:sz w:val="28"/>
          <w:szCs w:val="28"/>
        </w:rPr>
      </w:pPr>
      <w:r>
        <w:rPr>
          <w:rFonts w:hint="eastAsia"/>
          <w:b/>
          <w:bCs/>
          <w:sz w:val="28"/>
          <w:szCs w:val="28"/>
        </w:rPr>
        <w:t>项目绩效分析</w:t>
      </w:r>
    </w:p>
    <w:p>
      <w:pPr>
        <w:ind w:firstLine="560" w:firstLineChars="200"/>
        <w:jc w:val="left"/>
        <w:rPr>
          <w:sz w:val="28"/>
          <w:szCs w:val="28"/>
        </w:rPr>
      </w:pPr>
      <w:r>
        <w:rPr>
          <w:rFonts w:hint="eastAsia"/>
          <w:sz w:val="28"/>
          <w:szCs w:val="28"/>
        </w:rPr>
        <w:t>2024年来，由于镇党委、政府的正确领导以及县财政的大力支持下，通过所有项目相关人员的共同努力，该项目任务如数如质地完成。</w:t>
      </w:r>
    </w:p>
    <w:p>
      <w:pPr>
        <w:numPr>
          <w:ilvl w:val="0"/>
          <w:numId w:val="3"/>
        </w:numPr>
        <w:ind w:firstLine="560" w:firstLineChars="200"/>
        <w:jc w:val="left"/>
        <w:rPr>
          <w:sz w:val="28"/>
          <w:szCs w:val="28"/>
        </w:rPr>
      </w:pPr>
      <w:r>
        <w:rPr>
          <w:rFonts w:hint="eastAsia"/>
          <w:sz w:val="28"/>
          <w:szCs w:val="28"/>
        </w:rPr>
        <w:t>投入目标完成情况：县财政2024年度拨入该项目资金</w:t>
      </w:r>
      <w:r>
        <w:rPr>
          <w:sz w:val="28"/>
          <w:szCs w:val="28"/>
        </w:rPr>
        <w:t>755.18</w:t>
      </w:r>
      <w:r>
        <w:rPr>
          <w:rFonts w:hint="eastAsia"/>
          <w:sz w:val="28"/>
          <w:szCs w:val="28"/>
        </w:rPr>
        <w:t>万元；</w:t>
      </w:r>
    </w:p>
    <w:p>
      <w:pPr>
        <w:numPr>
          <w:ilvl w:val="0"/>
          <w:numId w:val="3"/>
        </w:numPr>
        <w:ind w:firstLine="560" w:firstLineChars="200"/>
        <w:jc w:val="left"/>
        <w:rPr>
          <w:sz w:val="28"/>
          <w:szCs w:val="28"/>
        </w:rPr>
      </w:pPr>
      <w:r>
        <w:rPr>
          <w:rFonts w:hint="eastAsia"/>
          <w:sz w:val="28"/>
          <w:szCs w:val="28"/>
        </w:rPr>
        <w:t>产出目标完成情况：石亭子镇财政2024年度实际支付资金</w:t>
      </w:r>
      <w:r>
        <w:rPr>
          <w:sz w:val="28"/>
          <w:szCs w:val="28"/>
        </w:rPr>
        <w:t>755.18</w:t>
      </w:r>
      <w:r>
        <w:rPr>
          <w:rFonts w:hint="eastAsia"/>
          <w:sz w:val="28"/>
          <w:szCs w:val="28"/>
        </w:rPr>
        <w:t>万元，目标支出完成率100%。</w:t>
      </w:r>
    </w:p>
    <w:p>
      <w:pPr>
        <w:numPr>
          <w:ilvl w:val="0"/>
          <w:numId w:val="3"/>
        </w:numPr>
        <w:ind w:firstLine="560"/>
        <w:jc w:val="left"/>
        <w:rPr>
          <w:sz w:val="28"/>
          <w:szCs w:val="28"/>
        </w:rPr>
      </w:pPr>
      <w:r>
        <w:rPr>
          <w:rFonts w:hint="eastAsia"/>
          <w:sz w:val="28"/>
          <w:szCs w:val="28"/>
        </w:rPr>
        <w:t>效益目标完成情况：按进度要求完成率100%。重点加大了农村公益性项目奖补支出、农田水利、</w:t>
      </w:r>
      <w:r>
        <w:rPr>
          <w:rFonts w:hint="eastAsia"/>
          <w:bCs/>
          <w:sz w:val="28"/>
          <w:szCs w:val="28"/>
        </w:rPr>
        <w:t>农村综合改革示范试点补助</w:t>
      </w:r>
      <w:r>
        <w:rPr>
          <w:rFonts w:hint="eastAsia"/>
          <w:sz w:val="28"/>
          <w:szCs w:val="28"/>
        </w:rPr>
        <w:t>等方面项目的争取和实施，极大地促进了和美乡村建设与新型城镇化建设速度与质量。</w:t>
      </w:r>
    </w:p>
    <w:p>
      <w:pPr>
        <w:ind w:left="420" w:leftChars="200"/>
        <w:jc w:val="left"/>
        <w:rPr>
          <w:sz w:val="28"/>
          <w:szCs w:val="28"/>
        </w:rPr>
      </w:pPr>
      <w:r>
        <w:rPr>
          <w:rFonts w:hint="eastAsia"/>
          <w:sz w:val="28"/>
          <w:szCs w:val="28"/>
        </w:rPr>
        <w:t>六、项目支出绩效自评考核评分：95.9（详见评分表）</w:t>
      </w:r>
    </w:p>
    <w:p>
      <w:pPr>
        <w:ind w:firstLine="640" w:firstLineChars="200"/>
        <w:rPr>
          <w:rFonts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附表：2024年财政专项资金支出绩效评价评分表</w:t>
      </w:r>
    </w:p>
    <w:p>
      <w:pPr>
        <w:ind w:firstLine="5600" w:firstLineChars="2000"/>
        <w:rPr>
          <w:sz w:val="28"/>
          <w:szCs w:val="28"/>
        </w:rPr>
      </w:pPr>
    </w:p>
    <w:p>
      <w:pPr>
        <w:ind w:firstLine="5600" w:firstLineChars="2000"/>
        <w:jc w:val="right"/>
        <w:rPr>
          <w:sz w:val="28"/>
          <w:szCs w:val="28"/>
        </w:rPr>
      </w:pPr>
      <w:r>
        <w:rPr>
          <w:rFonts w:hint="eastAsia"/>
          <w:sz w:val="28"/>
          <w:szCs w:val="28"/>
        </w:rPr>
        <w:t>祁东县石亭子镇人民政府</w:t>
      </w:r>
    </w:p>
    <w:p>
      <w:pPr>
        <w:ind w:firstLine="5600" w:firstLineChars="2000"/>
        <w:jc w:val="right"/>
        <w:rPr>
          <w:sz w:val="28"/>
          <w:szCs w:val="28"/>
        </w:rPr>
      </w:pPr>
      <w:r>
        <w:rPr>
          <w:rFonts w:hint="eastAsia"/>
          <w:sz w:val="28"/>
          <w:szCs w:val="28"/>
        </w:rPr>
        <w:t>2025年</w:t>
      </w:r>
      <w:r>
        <w:rPr>
          <w:sz w:val="28"/>
          <w:szCs w:val="28"/>
        </w:rPr>
        <w:t>4</w:t>
      </w:r>
      <w:r>
        <w:rPr>
          <w:rFonts w:hint="eastAsia"/>
          <w:sz w:val="28"/>
          <w:szCs w:val="28"/>
        </w:rPr>
        <w:t>月</w:t>
      </w:r>
      <w:r>
        <w:rPr>
          <w:sz w:val="28"/>
          <w:szCs w:val="28"/>
        </w:rPr>
        <w:t>29</w:t>
      </w:r>
      <w:r>
        <w:rPr>
          <w:rFonts w:hint="eastAsia"/>
          <w:sz w:val="28"/>
          <w:szCs w:val="28"/>
        </w:rPr>
        <w:t>日</w:t>
      </w:r>
    </w:p>
    <w:p>
      <w:r>
        <w:br w:type="page"/>
      </w:r>
    </w:p>
    <w:tbl>
      <w:tblPr>
        <w:tblStyle w:val="5"/>
        <w:tblpPr w:leftFromText="180" w:rightFromText="180" w:vertAnchor="text" w:tblpXSpec="center" w:tblpY="1"/>
        <w:tblOverlap w:val="never"/>
        <w:tblW w:w="8329" w:type="dxa"/>
        <w:tblInd w:w="0" w:type="dxa"/>
        <w:tblLayout w:type="fixed"/>
        <w:tblCellMar>
          <w:top w:w="0" w:type="dxa"/>
          <w:left w:w="0" w:type="dxa"/>
          <w:bottom w:w="0" w:type="dxa"/>
          <w:right w:w="0" w:type="dxa"/>
        </w:tblCellMar>
      </w:tblPr>
      <w:tblGrid>
        <w:gridCol w:w="526"/>
        <w:gridCol w:w="622"/>
        <w:gridCol w:w="906"/>
        <w:gridCol w:w="596"/>
        <w:gridCol w:w="2780"/>
        <w:gridCol w:w="2224"/>
        <w:gridCol w:w="675"/>
      </w:tblGrid>
      <w:tr>
        <w:tblPrEx>
          <w:tblCellMar>
            <w:top w:w="0" w:type="dxa"/>
            <w:left w:w="0" w:type="dxa"/>
            <w:bottom w:w="0" w:type="dxa"/>
            <w:right w:w="0" w:type="dxa"/>
          </w:tblCellMar>
        </w:tblPrEx>
        <w:trPr>
          <w:trHeight w:val="444" w:hRule="atLeast"/>
        </w:trPr>
        <w:tc>
          <w:tcPr>
            <w:tcW w:w="8329" w:type="dxa"/>
            <w:gridSpan w:val="7"/>
            <w:tcBorders>
              <w:top w:val="nil"/>
              <w:left w:val="nil"/>
              <w:bottom w:val="nil"/>
              <w:right w:val="nil"/>
            </w:tcBorders>
            <w:tcMar>
              <w:top w:w="12" w:type="dxa"/>
              <w:left w:w="12" w:type="dxa"/>
              <w:right w:w="12" w:type="dxa"/>
            </w:tcMar>
            <w:vAlign w:val="center"/>
          </w:tcPr>
          <w:p>
            <w:pPr>
              <w:widowControl/>
              <w:jc w:val="center"/>
              <w:rPr>
                <w:rFonts w:ascii="方正小标宋_GBK" w:hAnsi="方正小标宋_GBK" w:eastAsia="方正小标宋_GBK" w:cs="方正小标宋_GBK"/>
                <w:color w:val="000000"/>
                <w:kern w:val="0"/>
                <w:sz w:val="36"/>
                <w:szCs w:val="36"/>
              </w:rPr>
            </w:pPr>
            <w:r>
              <w:rPr>
                <w:rFonts w:hint="eastAsia" w:ascii="方正小标宋_GBK" w:hAnsi="宋体" w:eastAsia="方正小标宋_GBK" w:cs="宋体"/>
                <w:color w:val="000000"/>
                <w:kern w:val="0"/>
                <w:sz w:val="36"/>
                <w:szCs w:val="36"/>
              </w:rPr>
              <w:t>2024年财政专项资金支出</w:t>
            </w:r>
            <w:r>
              <w:rPr>
                <w:rFonts w:ascii="方正小标宋_GBK" w:hAnsi="宋体" w:eastAsia="方正小标宋_GBK" w:cs="宋体"/>
                <w:color w:val="000000"/>
                <w:kern w:val="0"/>
                <w:sz w:val="36"/>
                <w:szCs w:val="36"/>
              </w:rPr>
              <w:t>绩效</w:t>
            </w:r>
            <w:r>
              <w:rPr>
                <w:rFonts w:hint="eastAsia" w:ascii="方正小标宋_GBK" w:hAnsi="宋体" w:eastAsia="方正小标宋_GBK" w:cs="宋体"/>
                <w:color w:val="000000"/>
                <w:kern w:val="0"/>
                <w:sz w:val="36"/>
                <w:szCs w:val="36"/>
              </w:rPr>
              <w:t>评价</w:t>
            </w:r>
            <w:r>
              <w:rPr>
                <w:rFonts w:ascii="方正小标宋_GBK" w:hAnsi="宋体" w:eastAsia="方正小标宋_GBK" w:cs="宋体"/>
                <w:color w:val="000000"/>
                <w:kern w:val="0"/>
                <w:sz w:val="36"/>
                <w:szCs w:val="36"/>
              </w:rPr>
              <w:t>评</w:t>
            </w:r>
            <w:r>
              <w:rPr>
                <w:rFonts w:hint="eastAsia" w:ascii="方正小标宋_GBK" w:hAnsi="宋体" w:eastAsia="方正小标宋_GBK" w:cs="宋体"/>
                <w:color w:val="000000"/>
                <w:kern w:val="0"/>
                <w:sz w:val="36"/>
                <w:szCs w:val="36"/>
              </w:rPr>
              <w:t>分表</w:t>
            </w:r>
          </w:p>
          <w:p>
            <w:pPr>
              <w:widowControl/>
              <w:textAlignment w:val="center"/>
              <w:rPr>
                <w:rFonts w:ascii="方正小标宋_GBK" w:hAnsi="方正小标宋_GBK" w:eastAsia="方正小标宋_GBK" w:cs="方正小标宋_GBK"/>
                <w:color w:val="000000"/>
                <w:kern w:val="0"/>
                <w:sz w:val="36"/>
                <w:szCs w:val="36"/>
              </w:rPr>
            </w:pPr>
            <w:r>
              <w:rPr>
                <w:rFonts w:ascii="仿宋_GB2312" w:hAnsi="宋体" w:eastAsia="仿宋_GB2312" w:cs="仿宋_GB2312"/>
                <w:color w:val="000000"/>
                <w:kern w:val="0"/>
                <w:sz w:val="20"/>
                <w:szCs w:val="20"/>
              </w:rPr>
              <w:t>主管单位</w:t>
            </w:r>
            <w:r>
              <w:rPr>
                <w:rFonts w:hint="eastAsia" w:ascii="仿宋_GB2312" w:hAnsi="宋体" w:eastAsia="仿宋_GB2312" w:cs="仿宋_GB2312"/>
                <w:color w:val="000000"/>
                <w:kern w:val="0"/>
                <w:sz w:val="20"/>
                <w:szCs w:val="20"/>
              </w:rPr>
              <w:t xml:space="preserve">：     </w:t>
            </w:r>
            <w:r>
              <w:rPr>
                <w:rFonts w:hint="eastAsia" w:eastAsia="仿宋_GB2312"/>
                <w:kern w:val="0"/>
                <w:sz w:val="24"/>
              </w:rPr>
              <w:t xml:space="preserve">           </w:t>
            </w:r>
            <w:r>
              <w:rPr>
                <w:rFonts w:hint="eastAsia" w:ascii="Calibri" w:hAnsi="Calibri" w:eastAsia="仿宋_GB2312" w:cs="Times New Roman"/>
                <w:kern w:val="0"/>
                <w:sz w:val="24"/>
              </w:rPr>
              <w:t>填报人：</w:t>
            </w:r>
            <w:r>
              <w:rPr>
                <w:rFonts w:hint="eastAsia" w:eastAsia="仿宋_GB2312"/>
                <w:kern w:val="0"/>
                <w:sz w:val="24"/>
              </w:rPr>
              <w:t>肖方婕</w:t>
            </w:r>
            <w:r>
              <w:rPr>
                <w:rFonts w:hint="eastAsia" w:ascii="Calibri" w:hAnsi="Calibri" w:eastAsia="仿宋_GB2312" w:cs="Times New Roman"/>
                <w:kern w:val="0"/>
                <w:sz w:val="24"/>
              </w:rPr>
              <w:t xml:space="preserve">             电话：</w:t>
            </w:r>
            <w:r>
              <w:rPr>
                <w:rFonts w:hint="eastAsia" w:eastAsia="仿宋_GB2312"/>
                <w:kern w:val="0"/>
                <w:sz w:val="24"/>
              </w:rPr>
              <w:t>13974799018</w:t>
            </w:r>
            <w:r>
              <w:rPr>
                <w:rFonts w:hint="eastAsia" w:ascii="仿宋_GB2312" w:hAnsi="宋体" w:eastAsia="仿宋_GB2312" w:cs="仿宋_GB2312"/>
                <w:color w:val="000000"/>
                <w:kern w:val="0"/>
                <w:sz w:val="20"/>
                <w:szCs w:val="20"/>
              </w:rPr>
              <w:t xml:space="preserve">  </w:t>
            </w:r>
          </w:p>
        </w:tc>
      </w:tr>
      <w:tr>
        <w:tblPrEx>
          <w:tblCellMar>
            <w:top w:w="0" w:type="dxa"/>
            <w:left w:w="0" w:type="dxa"/>
            <w:bottom w:w="0" w:type="dxa"/>
            <w:right w:w="0" w:type="dxa"/>
          </w:tblCellMar>
        </w:tblPrEx>
        <w:trPr>
          <w:trHeight w:val="708" w:hRule="atLeast"/>
        </w:trPr>
        <w:tc>
          <w:tcPr>
            <w:tcW w:w="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一级指标</w:t>
            </w: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0"/>
                <w:szCs w:val="20"/>
              </w:rPr>
            </w:pPr>
            <w:r>
              <w:rPr>
                <w:rFonts w:ascii="仿宋_GB2312" w:hAnsi="宋体" w:eastAsia="仿宋_GB2312" w:cs="仿宋_GB2312"/>
                <w:b/>
                <w:color w:val="000000"/>
                <w:kern w:val="0"/>
                <w:sz w:val="20"/>
                <w:szCs w:val="20"/>
              </w:rPr>
              <w:t>二级</w:t>
            </w:r>
          </w:p>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指标</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三级指标</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分值</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具体指标</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评价标准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评分</w:t>
            </w:r>
          </w:p>
        </w:tc>
      </w:tr>
      <w:tr>
        <w:tblPrEx>
          <w:tblCellMar>
            <w:top w:w="0" w:type="dxa"/>
            <w:left w:w="0" w:type="dxa"/>
            <w:bottom w:w="0" w:type="dxa"/>
            <w:right w:w="0" w:type="dxa"/>
          </w:tblCellMar>
        </w:tblPrEx>
        <w:trPr>
          <w:trHeight w:val="90" w:hRule="atLeast"/>
        </w:trPr>
        <w:tc>
          <w:tcPr>
            <w:tcW w:w="52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项目决策（</w:t>
            </w:r>
            <w:r>
              <w:rPr>
                <w:rFonts w:hint="eastAsia" w:ascii="仿宋_GB2312" w:hAnsi="宋体" w:eastAsia="仿宋_GB2312" w:cs="仿宋_GB2312"/>
                <w:b/>
                <w:color w:val="000000"/>
                <w:kern w:val="0"/>
                <w:sz w:val="20"/>
                <w:szCs w:val="20"/>
              </w:rPr>
              <w:t>16分</w:t>
            </w:r>
            <w:r>
              <w:rPr>
                <w:rFonts w:ascii="仿宋_GB2312" w:hAnsi="宋体" w:eastAsia="仿宋_GB2312" w:cs="仿宋_GB2312"/>
                <w:b/>
                <w:color w:val="000000"/>
                <w:kern w:val="0"/>
                <w:sz w:val="20"/>
                <w:szCs w:val="20"/>
              </w:rPr>
              <w:t>）</w:t>
            </w:r>
          </w:p>
        </w:tc>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项目立项（5）</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立项程序规范性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①项目是否按照规定的程序申请设立；</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②审批文件、合同及材料是否符合相关要求；</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③事前是否已经过必要的风险评估、绩效评估、集体决策。</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①按照规定的程序申请设立计1分，否则，酌情扣分；</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②审批文件、合同及材料符合相关要求计1分,否则，酌情扣分；</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③事前是否已经过必要的风险评估、绩效评估、集体决策计1分，否则，酌情扣分。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3</w:t>
            </w:r>
          </w:p>
          <w:p>
            <w:pPr>
              <w:pStyle w:val="10"/>
              <w:ind w:firstLine="560"/>
            </w:pPr>
          </w:p>
        </w:tc>
      </w:tr>
      <w:tr>
        <w:tblPrEx>
          <w:tblCellMar>
            <w:top w:w="0" w:type="dxa"/>
            <w:left w:w="0" w:type="dxa"/>
            <w:bottom w:w="0" w:type="dxa"/>
            <w:right w:w="0" w:type="dxa"/>
          </w:tblCellMar>
        </w:tblPrEx>
        <w:trPr>
          <w:trHeight w:val="554"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项目库建设和执行</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2</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是否按要求建设了项目库并得到执行。</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按要求建立了项目库的得</w:t>
            </w:r>
            <w:r>
              <w:rPr>
                <w:rFonts w:ascii="Calibri" w:hAnsi="Calibri" w:eastAsia="仿宋_GB2312" w:cs="Times New Roman"/>
                <w:color w:val="000000"/>
                <w:kern w:val="0"/>
                <w:sz w:val="20"/>
                <w:szCs w:val="20"/>
              </w:rPr>
              <w:t>1</w:t>
            </w:r>
            <w:r>
              <w:rPr>
                <w:rStyle w:val="11"/>
                <w:rFonts w:hAnsi="宋体"/>
              </w:rPr>
              <w:t>分，项目从项目库中选择的得</w:t>
            </w:r>
            <w:r>
              <w:rPr>
                <w:rFonts w:ascii="Calibri" w:hAnsi="Calibri" w:eastAsia="仿宋_GB2312" w:cs="Times New Roman"/>
                <w:color w:val="000000"/>
                <w:kern w:val="0"/>
                <w:sz w:val="20"/>
                <w:szCs w:val="20"/>
              </w:rPr>
              <w:t>1</w:t>
            </w:r>
            <w:r>
              <w:rPr>
                <w:rStyle w:val="11"/>
                <w:rFonts w:hAnsi="宋体"/>
              </w:rPr>
              <w:t>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2</w:t>
            </w:r>
          </w:p>
        </w:tc>
      </w:tr>
      <w:tr>
        <w:tblPrEx>
          <w:tblCellMar>
            <w:top w:w="0" w:type="dxa"/>
            <w:left w:w="0" w:type="dxa"/>
            <w:bottom w:w="0" w:type="dxa"/>
            <w:right w:w="0" w:type="dxa"/>
          </w:tblCellMar>
        </w:tblPrEx>
        <w:trPr>
          <w:trHeight w:val="1976"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sz w:val="20"/>
                <w:szCs w:val="20"/>
              </w:rPr>
              <w:t>绩效目标（</w:t>
            </w:r>
            <w:r>
              <w:rPr>
                <w:rFonts w:hint="eastAsia" w:ascii="仿宋_GB2312" w:hAnsi="宋体" w:eastAsia="仿宋_GB2312" w:cs="仿宋_GB2312"/>
                <w:b/>
                <w:color w:val="000000"/>
                <w:sz w:val="20"/>
                <w:szCs w:val="20"/>
              </w:rPr>
              <w:t>7</w:t>
            </w:r>
            <w:r>
              <w:rPr>
                <w:rFonts w:ascii="仿宋_GB2312" w:hAnsi="宋体" w:eastAsia="仿宋_GB2312" w:cs="仿宋_GB2312"/>
                <w:b/>
                <w:color w:val="000000"/>
                <w:sz w:val="20"/>
                <w:szCs w:val="20"/>
              </w:rPr>
              <w:t>）</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绩效目标合理性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①项目是否有绩效目标；     ②项目绩效目标与实际工作内容是否具有相关性；         ③项目绩效目标是否全面反映项目应达到的数量、质量、时效、成本及预期效益；                ④是否与预算确定的项目投资额或资金量相匹配。</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①、②、③、④、各1分，否则，酌情扣分。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4</w:t>
            </w:r>
          </w:p>
        </w:tc>
      </w:tr>
      <w:tr>
        <w:tblPrEx>
          <w:tblCellMar>
            <w:top w:w="0" w:type="dxa"/>
            <w:left w:w="0" w:type="dxa"/>
            <w:bottom w:w="0" w:type="dxa"/>
            <w:right w:w="0" w:type="dxa"/>
          </w:tblCellMar>
        </w:tblPrEx>
        <w:trPr>
          <w:trHeight w:val="2144"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kern w:val="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绩效指标明确性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①是否将项目绩效目标细化分解为具体的绩效指标；</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②是否通过清晰、可衡量的指标值予以体现；</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③是否与项目目标任务数或计划数相对应。</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①项目绩效目标细化分解为具体的绩效指标得1分，否则酌情扣分，扣完为止；</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②通过清晰、可衡量的指标值予以体现得1分，否则酌情扣分，扣完为止；</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③与项目目标任务数或计划数相对应得1分，否则酌情扣分，扣完为止。</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3</w:t>
            </w:r>
          </w:p>
        </w:tc>
      </w:tr>
      <w:tr>
        <w:tblPrEx>
          <w:tblCellMar>
            <w:top w:w="0" w:type="dxa"/>
            <w:left w:w="0" w:type="dxa"/>
            <w:bottom w:w="0" w:type="dxa"/>
            <w:right w:w="0" w:type="dxa"/>
          </w:tblCellMar>
        </w:tblPrEx>
        <w:trPr>
          <w:trHeight w:val="722"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资金投入（4）</w:t>
            </w:r>
          </w:p>
        </w:tc>
        <w:tc>
          <w:tcPr>
            <w:tcW w:w="90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资金分配规范性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①分配办法是否健全、规范；                          ②分配标准、因素选择是否全面、合理。</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①分配办法健全、规范，计1分；                        ②分配标准、因素选择全面、合理，计1分。否则，酌情扣分。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2</w:t>
            </w:r>
          </w:p>
        </w:tc>
      </w:tr>
      <w:tr>
        <w:tblPrEx>
          <w:tblCellMar>
            <w:top w:w="0" w:type="dxa"/>
            <w:left w:w="0" w:type="dxa"/>
            <w:bottom w:w="0" w:type="dxa"/>
            <w:right w:w="0" w:type="dxa"/>
          </w:tblCellMar>
        </w:tblPrEx>
        <w:trPr>
          <w:trHeight w:val="90" w:hRule="atLeast"/>
        </w:trPr>
        <w:tc>
          <w:tcPr>
            <w:tcW w:w="526"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left"/>
              <w:rPr>
                <w:rFonts w:ascii="仿宋_GB2312" w:hAnsi="宋体" w:eastAsia="仿宋_GB2312" w:cs="仿宋_GB2312"/>
                <w:color w:val="000000"/>
                <w:kern w:val="0"/>
                <w:sz w:val="20"/>
                <w:szCs w:val="20"/>
              </w:rPr>
            </w:pP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实际分配是否符合办法要求，结果是否公平、合理。</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实际分配符合办法要求，结果公平、合理，计2分。否则，酌情扣分。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2</w:t>
            </w:r>
          </w:p>
        </w:tc>
      </w:tr>
      <w:tr>
        <w:tblPrEx>
          <w:tblCellMar>
            <w:top w:w="0" w:type="dxa"/>
            <w:left w:w="0" w:type="dxa"/>
            <w:bottom w:w="0" w:type="dxa"/>
            <w:right w:w="0" w:type="dxa"/>
          </w:tblCellMar>
        </w:tblPrEx>
        <w:trPr>
          <w:trHeight w:val="346" w:hRule="atLeast"/>
        </w:trPr>
        <w:tc>
          <w:tcPr>
            <w:tcW w:w="52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r>
              <w:rPr>
                <w:rFonts w:hint="eastAsia" w:ascii="仿宋_GB2312" w:hAnsi="宋体" w:eastAsia="仿宋_GB2312" w:cs="仿宋_GB2312"/>
                <w:b/>
                <w:color w:val="000000"/>
                <w:sz w:val="20"/>
                <w:szCs w:val="20"/>
              </w:rPr>
              <w:t>项目过程（24分）</w:t>
            </w:r>
          </w:p>
        </w:tc>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资金使用（11）</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资金使用合规性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5</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p>
          <w:p>
            <w:pPr>
              <w:widowControl/>
              <w:spacing w:line="240" w:lineRule="exact"/>
              <w:jc w:val="left"/>
              <w:textAlignment w:val="center"/>
              <w:rPr>
                <w:rFonts w:ascii="仿宋_GB2312" w:hAnsi="宋体" w:eastAsia="仿宋_GB2312" w:cs="仿宋_GB2312"/>
                <w:color w:val="000000"/>
                <w:kern w:val="0"/>
                <w:sz w:val="20"/>
                <w:szCs w:val="20"/>
              </w:rPr>
            </w:pPr>
          </w:p>
          <w:p>
            <w:pPr>
              <w:widowControl/>
              <w:spacing w:line="240" w:lineRule="exact"/>
              <w:jc w:val="left"/>
              <w:textAlignment w:val="center"/>
              <w:rPr>
                <w:rFonts w:ascii="仿宋_GB2312" w:hAnsi="宋体" w:eastAsia="仿宋_GB2312" w:cs="仿宋_GB2312"/>
                <w:color w:val="000000"/>
                <w:kern w:val="0"/>
                <w:sz w:val="20"/>
                <w:szCs w:val="20"/>
              </w:rPr>
            </w:pP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①是否符合国家财经法规和财务管理制度以及有关专项资金管理办法的规定；                          ②资金的支付是否有完整的审批程序和验收手续；         ③项目的重大开支是否经过评估认证或单位集体决策；                           ④是否符合项目预算批复或合同规定的用途；             ⑤是否存在截留、挤占、挪用、虚列支出等情况；            ⑥是否存在重复申报项目、虚报冒领资金。                 ⑦现场核实的评价项目是否存在与项目申报资金下达内容和合同不符的情形。</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①符合国家财经法规和财务管理制度以及各类专项资金管理办法的规定，资金的支付有完整的审批程序，计1分，1例不符合扣0.5分；                   ②项目的重大开支经过评估认证和单位集体决策，计1分，1例不符合扣0.5分；               ③符合项目预算批复或合同规定的用途，计1分，1例不符合扣0.5分；                  ④不存在截留、挤占、挪用、虚列支出等情况，不存在重复申报项目、虚报冒领资金，不存在项目申报与合同和资金下达内容不符的，计2分，出现1例不符合，本指标的5分全扣；               ⑤违规情况特别严重的，重点绩效评价等级定为“差”。</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5</w:t>
            </w:r>
          </w:p>
        </w:tc>
      </w:tr>
      <w:tr>
        <w:tblPrEx>
          <w:tblCellMar>
            <w:top w:w="0" w:type="dxa"/>
            <w:left w:w="0" w:type="dxa"/>
            <w:bottom w:w="0" w:type="dxa"/>
            <w:right w:w="0" w:type="dxa"/>
          </w:tblCellMar>
        </w:tblPrEx>
        <w:trPr>
          <w:trHeight w:val="995"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资金进度</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6</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专项资金使用率</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评价项目单位实际使用专项资金情况与专项资金指标下达数进行对比。计分原则如下：当年末项目单位使用专项资金未达到</w:t>
            </w:r>
            <w:r>
              <w:rPr>
                <w:rFonts w:ascii="Calibri" w:hAnsi="Calibri" w:eastAsia="仿宋_GB2312" w:cs="Times New Roman"/>
                <w:color w:val="000000"/>
                <w:kern w:val="0"/>
                <w:sz w:val="20"/>
                <w:szCs w:val="20"/>
              </w:rPr>
              <w:t>90%</w:t>
            </w:r>
            <w:r>
              <w:rPr>
                <w:rStyle w:val="11"/>
                <w:rFonts w:hAnsi="宋体"/>
              </w:rPr>
              <w:t>的扣</w:t>
            </w:r>
            <w:r>
              <w:rPr>
                <w:rFonts w:ascii="Calibri" w:hAnsi="Calibri" w:eastAsia="仿宋_GB2312" w:cs="Times New Roman"/>
                <w:color w:val="000000"/>
                <w:kern w:val="0"/>
                <w:sz w:val="20"/>
                <w:szCs w:val="20"/>
              </w:rPr>
              <w:t>2</w:t>
            </w:r>
            <w:r>
              <w:rPr>
                <w:rStyle w:val="11"/>
                <w:rFonts w:hAnsi="宋体"/>
              </w:rPr>
              <w:t>分，未达到</w:t>
            </w:r>
            <w:r>
              <w:rPr>
                <w:rFonts w:ascii="Calibri" w:hAnsi="Calibri" w:eastAsia="仿宋_GB2312" w:cs="Times New Roman"/>
                <w:color w:val="000000"/>
                <w:kern w:val="0"/>
                <w:sz w:val="20"/>
                <w:szCs w:val="20"/>
              </w:rPr>
              <w:t>80%</w:t>
            </w:r>
            <w:r>
              <w:rPr>
                <w:rStyle w:val="11"/>
                <w:rFonts w:hAnsi="宋体"/>
              </w:rPr>
              <w:t>的扣</w:t>
            </w:r>
            <w:r>
              <w:rPr>
                <w:rFonts w:ascii="Calibri" w:hAnsi="Calibri" w:eastAsia="仿宋_GB2312" w:cs="Times New Roman"/>
                <w:color w:val="000000"/>
                <w:kern w:val="0"/>
                <w:sz w:val="20"/>
                <w:szCs w:val="20"/>
              </w:rPr>
              <w:t>3</w:t>
            </w:r>
            <w:r>
              <w:rPr>
                <w:rStyle w:val="11"/>
                <w:rFonts w:hAnsi="宋体"/>
              </w:rPr>
              <w:t>分，未达到</w:t>
            </w:r>
            <w:r>
              <w:rPr>
                <w:rFonts w:ascii="Calibri" w:hAnsi="Calibri" w:eastAsia="仿宋_GB2312" w:cs="Times New Roman"/>
                <w:color w:val="000000"/>
                <w:kern w:val="0"/>
                <w:sz w:val="20"/>
                <w:szCs w:val="20"/>
              </w:rPr>
              <w:t>70%</w:t>
            </w:r>
            <w:r>
              <w:rPr>
                <w:rStyle w:val="11"/>
                <w:rFonts w:hAnsi="宋体"/>
              </w:rPr>
              <w:t>的扣</w:t>
            </w:r>
            <w:r>
              <w:rPr>
                <w:rFonts w:ascii="Calibri" w:hAnsi="Calibri" w:eastAsia="仿宋_GB2312" w:cs="Times New Roman"/>
                <w:color w:val="000000"/>
                <w:kern w:val="0"/>
                <w:sz w:val="20"/>
                <w:szCs w:val="20"/>
              </w:rPr>
              <w:t>4</w:t>
            </w:r>
            <w:r>
              <w:rPr>
                <w:rStyle w:val="11"/>
                <w:rFonts w:hAnsi="宋体"/>
              </w:rPr>
              <w:t>分，未达到</w:t>
            </w:r>
            <w:r>
              <w:rPr>
                <w:rFonts w:ascii="Calibri" w:hAnsi="Calibri" w:eastAsia="仿宋_GB2312" w:cs="Times New Roman"/>
                <w:color w:val="000000"/>
                <w:kern w:val="0"/>
                <w:sz w:val="20"/>
                <w:szCs w:val="20"/>
              </w:rPr>
              <w:t>60%</w:t>
            </w:r>
            <w:r>
              <w:rPr>
                <w:rStyle w:val="11"/>
                <w:rFonts w:hAnsi="宋体"/>
              </w:rPr>
              <w:t>的扣</w:t>
            </w:r>
            <w:r>
              <w:rPr>
                <w:rFonts w:ascii="Calibri" w:hAnsi="Calibri" w:eastAsia="仿宋_GB2312" w:cs="Times New Roman"/>
                <w:color w:val="000000"/>
                <w:kern w:val="0"/>
                <w:sz w:val="20"/>
                <w:szCs w:val="20"/>
              </w:rPr>
              <w:t>5</w:t>
            </w:r>
            <w:r>
              <w:rPr>
                <w:rStyle w:val="11"/>
                <w:rFonts w:hAnsi="宋体"/>
              </w:rPr>
              <w:t>分，未达到</w:t>
            </w:r>
            <w:r>
              <w:rPr>
                <w:rFonts w:ascii="Calibri" w:hAnsi="Calibri" w:eastAsia="仿宋_GB2312" w:cs="Times New Roman"/>
                <w:color w:val="000000"/>
                <w:kern w:val="0"/>
                <w:sz w:val="20"/>
                <w:szCs w:val="20"/>
              </w:rPr>
              <w:t>50%</w:t>
            </w:r>
            <w:r>
              <w:rPr>
                <w:rStyle w:val="11"/>
                <w:rFonts w:hAnsi="宋体"/>
              </w:rPr>
              <w:t>的扣</w:t>
            </w:r>
            <w:r>
              <w:rPr>
                <w:rFonts w:ascii="Calibri" w:hAnsi="Calibri" w:eastAsia="仿宋_GB2312" w:cs="Times New Roman"/>
                <w:color w:val="000000"/>
                <w:kern w:val="0"/>
                <w:sz w:val="20"/>
                <w:szCs w:val="20"/>
              </w:rPr>
              <w:t>6</w:t>
            </w:r>
            <w:r>
              <w:rPr>
                <w:rStyle w:val="11"/>
                <w:rFonts w:hAnsi="宋体"/>
              </w:rPr>
              <w:t>分；次年</w:t>
            </w:r>
            <w:r>
              <w:rPr>
                <w:rStyle w:val="11"/>
                <w:rFonts w:hint="eastAsia" w:hAnsi="Calibri"/>
              </w:rPr>
              <w:t>6</w:t>
            </w:r>
            <w:r>
              <w:rPr>
                <w:rStyle w:val="11"/>
                <w:rFonts w:hAnsi="宋体"/>
              </w:rPr>
              <w:t>月</w:t>
            </w:r>
            <w:r>
              <w:rPr>
                <w:rFonts w:ascii="Calibri" w:hAnsi="Calibri" w:eastAsia="仿宋_GB2312" w:cs="Times New Roman"/>
                <w:color w:val="000000"/>
                <w:kern w:val="0"/>
                <w:sz w:val="20"/>
                <w:szCs w:val="20"/>
              </w:rPr>
              <w:t>30</w:t>
            </w:r>
            <w:r>
              <w:rPr>
                <w:rStyle w:val="11"/>
                <w:rFonts w:hAnsi="宋体"/>
              </w:rPr>
              <w:t>日未达到</w:t>
            </w:r>
            <w:r>
              <w:rPr>
                <w:rFonts w:ascii="Calibri" w:hAnsi="Calibri" w:eastAsia="仿宋_GB2312" w:cs="Times New Roman"/>
                <w:color w:val="000000"/>
                <w:kern w:val="0"/>
                <w:sz w:val="20"/>
                <w:szCs w:val="20"/>
              </w:rPr>
              <w:t>70%</w:t>
            </w:r>
            <w:r>
              <w:rPr>
                <w:rStyle w:val="11"/>
                <w:rFonts w:hAnsi="宋体"/>
              </w:rPr>
              <w:t>的扣</w:t>
            </w:r>
            <w:r>
              <w:rPr>
                <w:rFonts w:ascii="Calibri" w:hAnsi="Calibri" w:eastAsia="仿宋_GB2312" w:cs="Times New Roman"/>
                <w:color w:val="000000"/>
                <w:kern w:val="0"/>
                <w:sz w:val="20"/>
                <w:szCs w:val="20"/>
              </w:rPr>
              <w:t>6</w:t>
            </w:r>
            <w:r>
              <w:rPr>
                <w:rStyle w:val="11"/>
                <w:rFonts w:hAnsi="宋体"/>
              </w:rPr>
              <w:t>分，未达到</w:t>
            </w:r>
            <w:r>
              <w:rPr>
                <w:rFonts w:ascii="Calibri" w:hAnsi="Calibri" w:eastAsia="仿宋_GB2312" w:cs="Times New Roman"/>
                <w:color w:val="000000"/>
                <w:kern w:val="0"/>
                <w:sz w:val="20"/>
                <w:szCs w:val="20"/>
              </w:rPr>
              <w:t>80%</w:t>
            </w:r>
            <w:r>
              <w:rPr>
                <w:rStyle w:val="11"/>
                <w:rFonts w:hAnsi="宋体"/>
              </w:rPr>
              <w:t>的扣</w:t>
            </w:r>
            <w:r>
              <w:rPr>
                <w:rFonts w:ascii="Calibri" w:hAnsi="Calibri" w:eastAsia="仿宋_GB2312" w:cs="Times New Roman"/>
                <w:color w:val="000000"/>
                <w:kern w:val="0"/>
                <w:sz w:val="20"/>
                <w:szCs w:val="20"/>
              </w:rPr>
              <w:t>5</w:t>
            </w:r>
            <w:r>
              <w:rPr>
                <w:rStyle w:val="11"/>
                <w:rFonts w:hAnsi="宋体"/>
              </w:rPr>
              <w:t>分，未达到</w:t>
            </w:r>
            <w:r>
              <w:rPr>
                <w:rFonts w:ascii="Calibri" w:hAnsi="Calibri" w:eastAsia="仿宋_GB2312" w:cs="Times New Roman"/>
                <w:color w:val="000000"/>
                <w:kern w:val="0"/>
                <w:sz w:val="20"/>
                <w:szCs w:val="20"/>
              </w:rPr>
              <w:t>90%</w:t>
            </w:r>
            <w:r>
              <w:rPr>
                <w:rStyle w:val="11"/>
                <w:rFonts w:hAnsi="宋体"/>
              </w:rPr>
              <w:t>的扣</w:t>
            </w:r>
            <w:r>
              <w:rPr>
                <w:rFonts w:ascii="Calibri" w:hAnsi="Calibri" w:eastAsia="仿宋_GB2312" w:cs="Times New Roman"/>
                <w:color w:val="000000"/>
                <w:kern w:val="0"/>
                <w:sz w:val="20"/>
                <w:szCs w:val="20"/>
              </w:rPr>
              <w:t>4</w:t>
            </w:r>
            <w:r>
              <w:rPr>
                <w:rStyle w:val="11"/>
                <w:rFonts w:hAnsi="宋体"/>
              </w:rPr>
              <w:t>分。两项合计最多扣</w:t>
            </w:r>
            <w:r>
              <w:rPr>
                <w:rFonts w:ascii="Calibri" w:hAnsi="Calibri" w:eastAsia="仿宋_GB2312" w:cs="Times New Roman"/>
                <w:color w:val="000000"/>
                <w:kern w:val="0"/>
                <w:sz w:val="20"/>
                <w:szCs w:val="20"/>
              </w:rPr>
              <w:t>6</w:t>
            </w:r>
            <w:r>
              <w:rPr>
                <w:rStyle w:val="11"/>
                <w:rFonts w:hAnsi="宋体"/>
              </w:rPr>
              <w:t>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6</w:t>
            </w:r>
          </w:p>
        </w:tc>
      </w:tr>
      <w:tr>
        <w:tblPrEx>
          <w:tblCellMar>
            <w:top w:w="0" w:type="dxa"/>
            <w:left w:w="0" w:type="dxa"/>
            <w:bottom w:w="0" w:type="dxa"/>
            <w:right w:w="0" w:type="dxa"/>
          </w:tblCellMar>
        </w:tblPrEx>
        <w:trPr>
          <w:trHeight w:val="528"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资金监管（2）</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资金监督</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2</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专项监管一次以上且规范有效</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符合计</w:t>
            </w:r>
            <w:r>
              <w:rPr>
                <w:rFonts w:ascii="Calibri" w:hAnsi="Calibri" w:eastAsia="仿宋_GB2312" w:cs="Times New Roman"/>
                <w:color w:val="000000"/>
                <w:kern w:val="0"/>
                <w:sz w:val="20"/>
                <w:szCs w:val="20"/>
              </w:rPr>
              <w:t>2</w:t>
            </w:r>
            <w:r>
              <w:rPr>
                <w:rStyle w:val="11"/>
                <w:rFonts w:hAnsi="宋体"/>
              </w:rPr>
              <w:t>分；有一次但欠规范无实效计</w:t>
            </w:r>
            <w:r>
              <w:rPr>
                <w:rFonts w:ascii="Calibri" w:hAnsi="Calibri" w:eastAsia="仿宋_GB2312" w:cs="Times New Roman"/>
                <w:color w:val="000000"/>
                <w:kern w:val="0"/>
                <w:sz w:val="20"/>
                <w:szCs w:val="20"/>
              </w:rPr>
              <w:t>1</w:t>
            </w:r>
            <w:r>
              <w:rPr>
                <w:rStyle w:val="11"/>
                <w:rFonts w:hAnsi="宋体"/>
              </w:rPr>
              <w:t>分；无监管计</w:t>
            </w:r>
            <w:r>
              <w:rPr>
                <w:rFonts w:ascii="Calibri" w:hAnsi="Calibri" w:eastAsia="仿宋_GB2312" w:cs="Times New Roman"/>
                <w:color w:val="000000"/>
                <w:kern w:val="0"/>
                <w:sz w:val="20"/>
                <w:szCs w:val="20"/>
              </w:rPr>
              <w:t>0</w:t>
            </w:r>
            <w:r>
              <w:rPr>
                <w:rStyle w:val="11"/>
                <w:rFonts w:hAnsi="宋体"/>
              </w:rPr>
              <w:t>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2</w:t>
            </w:r>
          </w:p>
          <w:p>
            <w:pPr>
              <w:pStyle w:val="10"/>
              <w:ind w:firstLine="560"/>
            </w:pPr>
          </w:p>
        </w:tc>
      </w:tr>
      <w:tr>
        <w:tblPrEx>
          <w:tblCellMar>
            <w:top w:w="0" w:type="dxa"/>
            <w:left w:w="0" w:type="dxa"/>
            <w:bottom w:w="0" w:type="dxa"/>
            <w:right w:w="0" w:type="dxa"/>
          </w:tblCellMar>
        </w:tblPrEx>
        <w:trPr>
          <w:trHeight w:val="1206"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sz w:val="20"/>
                <w:szCs w:val="20"/>
              </w:rPr>
            </w:pPr>
            <w:r>
              <w:rPr>
                <w:rFonts w:ascii="仿宋_GB2312" w:hAnsi="宋体" w:eastAsia="仿宋_GB2312" w:cs="仿宋_GB2312"/>
                <w:b/>
                <w:kern w:val="0"/>
                <w:sz w:val="20"/>
                <w:szCs w:val="20"/>
              </w:rPr>
              <w:t>公示公告（</w:t>
            </w:r>
            <w:r>
              <w:rPr>
                <w:rFonts w:hint="eastAsia" w:ascii="仿宋_GB2312" w:hAnsi="宋体" w:eastAsia="仿宋_GB2312" w:cs="仿宋_GB2312"/>
                <w:b/>
                <w:kern w:val="0"/>
                <w:sz w:val="20"/>
                <w:szCs w:val="20"/>
              </w:rPr>
              <w:t>3</w:t>
            </w:r>
            <w:r>
              <w:rPr>
                <w:rFonts w:ascii="仿宋_GB2312" w:hAnsi="宋体" w:eastAsia="仿宋_GB2312" w:cs="仿宋_GB2312"/>
                <w:b/>
                <w:kern w:val="0"/>
                <w:sz w:val="20"/>
                <w:szCs w:val="20"/>
              </w:rPr>
              <w:t>）</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sz w:val="20"/>
                <w:szCs w:val="20"/>
              </w:rPr>
            </w:pPr>
            <w:r>
              <w:rPr>
                <w:rFonts w:ascii="仿宋_GB2312" w:hAnsi="宋体" w:eastAsia="仿宋_GB2312" w:cs="仿宋_GB2312"/>
                <w:kern w:val="0"/>
                <w:sz w:val="20"/>
                <w:szCs w:val="20"/>
              </w:rPr>
              <w:t>公示公告情况</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3</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按照相关规定进行公示公告</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到村到户项目在所在行政村公告公示且公示公告时间不少于</w:t>
            </w:r>
            <w:r>
              <w:rPr>
                <w:rFonts w:ascii="Calibri" w:hAnsi="Calibri" w:eastAsia="仿宋_GB2312" w:cs="Times New Roman"/>
                <w:color w:val="000000"/>
                <w:kern w:val="0"/>
                <w:sz w:val="20"/>
                <w:szCs w:val="20"/>
              </w:rPr>
              <w:t>10</w:t>
            </w:r>
            <w:r>
              <w:rPr>
                <w:rStyle w:val="11"/>
                <w:rFonts w:hAnsi="宋体"/>
              </w:rPr>
              <w:t>天，计</w:t>
            </w:r>
            <w:r>
              <w:rPr>
                <w:rFonts w:hint="eastAsia" w:ascii="Calibri" w:hAnsi="Calibri" w:eastAsia="仿宋_GB2312" w:cs="Times New Roman"/>
                <w:color w:val="000000"/>
                <w:kern w:val="0"/>
                <w:sz w:val="20"/>
                <w:szCs w:val="20"/>
              </w:rPr>
              <w:t>1</w:t>
            </w:r>
            <w:r>
              <w:rPr>
                <w:rStyle w:val="11"/>
                <w:rFonts w:hAnsi="宋体"/>
              </w:rPr>
              <w:t>分</w:t>
            </w:r>
            <w:r>
              <w:rPr>
                <w:rStyle w:val="11"/>
                <w:rFonts w:hint="eastAsia" w:hAnsi="宋体"/>
              </w:rPr>
              <w:t>；公示内容完整，计1分；事前事后公示，计1分。</w:t>
            </w:r>
            <w:r>
              <w:rPr>
                <w:rStyle w:val="11"/>
                <w:rFonts w:hAnsi="宋体"/>
              </w:rPr>
              <w:t>否则不得分。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3</w:t>
            </w:r>
          </w:p>
        </w:tc>
      </w:tr>
      <w:tr>
        <w:tblPrEx>
          <w:tblCellMar>
            <w:top w:w="0" w:type="dxa"/>
            <w:left w:w="0" w:type="dxa"/>
            <w:bottom w:w="0" w:type="dxa"/>
            <w:right w:w="0" w:type="dxa"/>
          </w:tblCellMar>
        </w:tblPrEx>
        <w:trPr>
          <w:trHeight w:val="2302" w:hRule="atLeast"/>
        </w:trPr>
        <w:tc>
          <w:tcPr>
            <w:tcW w:w="526" w:type="dxa"/>
            <w:vMerge w:val="continue"/>
            <w:tcBorders>
              <w:left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项目实施（</w:t>
            </w:r>
            <w:r>
              <w:rPr>
                <w:rFonts w:hint="eastAsia" w:ascii="仿宋_GB2312" w:hAnsi="宋体" w:eastAsia="仿宋_GB2312" w:cs="仿宋_GB2312"/>
                <w:b/>
                <w:color w:val="000000"/>
                <w:kern w:val="0"/>
                <w:sz w:val="20"/>
                <w:szCs w:val="20"/>
              </w:rPr>
              <w:t>8</w:t>
            </w:r>
            <w:r>
              <w:rPr>
                <w:rFonts w:ascii="仿宋_GB2312" w:hAnsi="宋体" w:eastAsia="仿宋_GB2312" w:cs="仿宋_GB2312"/>
                <w:b/>
                <w:color w:val="000000"/>
                <w:kern w:val="0"/>
                <w:sz w:val="20"/>
                <w:szCs w:val="20"/>
              </w:rPr>
              <w:t>）</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管理制度健全性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①项目单位按有关规定需要进行政府采购、招投标和投资评审的项目，是否做到应采尽采、应招尽招、应评尽评，无规避政府采购、招投标和投资评审等行为；                       ②是否按规定对有关项目进行中期检查、竣工验收，并进行跟踪管理。</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①、②各计2分。否则，酌情扣分。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4</w:t>
            </w:r>
          </w:p>
        </w:tc>
      </w:tr>
      <w:tr>
        <w:tblPrEx>
          <w:tblCellMar>
            <w:top w:w="0" w:type="dxa"/>
            <w:left w:w="0" w:type="dxa"/>
            <w:bottom w:w="0" w:type="dxa"/>
            <w:right w:w="0" w:type="dxa"/>
          </w:tblCellMar>
        </w:tblPrEx>
        <w:trPr>
          <w:trHeight w:val="2372" w:hRule="atLeast"/>
        </w:trPr>
        <w:tc>
          <w:tcPr>
            <w:tcW w:w="526"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制度执行有效性</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①是否遵守相关法律法规和相关管理规定；</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②项目调整及支出调整手续是否完备；</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③项目合同书、验收报告、技术鉴定等资料是否齐全并及时归档；</w:t>
            </w:r>
          </w:p>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④项目实施的人员条件、场地设备、信息支撑等是否落实到位。</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①、②、③、④各1分。否则，酌情扣分。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3</w:t>
            </w:r>
          </w:p>
        </w:tc>
      </w:tr>
      <w:tr>
        <w:tblPrEx>
          <w:tblCellMar>
            <w:top w:w="0" w:type="dxa"/>
            <w:left w:w="0" w:type="dxa"/>
            <w:bottom w:w="0" w:type="dxa"/>
            <w:right w:w="0" w:type="dxa"/>
          </w:tblCellMar>
        </w:tblPrEx>
        <w:trPr>
          <w:trHeight w:val="1848" w:hRule="atLeast"/>
        </w:trPr>
        <w:tc>
          <w:tcPr>
            <w:tcW w:w="52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项目效益</w:t>
            </w:r>
            <w:r>
              <w:rPr>
                <w:rFonts w:hint="eastAsia" w:ascii="仿宋_GB2312" w:hAnsi="宋体" w:eastAsia="仿宋_GB2312" w:cs="仿宋_GB2312"/>
                <w:b/>
                <w:color w:val="000000"/>
                <w:kern w:val="0"/>
                <w:sz w:val="20"/>
                <w:szCs w:val="20"/>
              </w:rPr>
              <w:t>（60分）</w:t>
            </w:r>
          </w:p>
        </w:tc>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项目产出</w:t>
            </w:r>
            <w:r>
              <w:rPr>
                <w:rFonts w:hint="eastAsia" w:ascii="仿宋_GB2312" w:hAnsi="宋体" w:eastAsia="仿宋_GB2312" w:cs="仿宋_GB2312"/>
                <w:b/>
                <w:color w:val="000000"/>
                <w:kern w:val="0"/>
                <w:sz w:val="20"/>
                <w:szCs w:val="20"/>
              </w:rPr>
              <w:t>(34分）</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项目完成率</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10</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项目是否按申报资料的数量完成</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int="eastAsia" w:hAnsi="宋体"/>
              </w:rPr>
              <w:t>评价专项资金安排的项目截至2024年12月31日实际完成情况。计分原则如下：项目未完成率达到30%以上的扣10分，未完成率达到20%-30%（含）的扣</w:t>
            </w:r>
            <w:r>
              <w:rPr>
                <w:rStyle w:val="11"/>
                <w:rFonts w:hAnsi="宋体"/>
              </w:rPr>
              <w:t>8</w:t>
            </w:r>
            <w:r>
              <w:rPr>
                <w:rStyle w:val="11"/>
                <w:rFonts w:hint="eastAsia" w:hAnsi="宋体"/>
              </w:rPr>
              <w:t>分，未完成率达到10%-20%（含）的扣</w:t>
            </w:r>
            <w:r>
              <w:rPr>
                <w:rStyle w:val="11"/>
                <w:rFonts w:hAnsi="宋体"/>
              </w:rPr>
              <w:t>6</w:t>
            </w:r>
            <w:r>
              <w:rPr>
                <w:rStyle w:val="11"/>
                <w:rFonts w:hint="eastAsia" w:hAnsi="宋体"/>
              </w:rPr>
              <w:t>分，未完成率达到5%-10%（含）的扣4分，未完成率5%（含）以下的扣2分。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9.</w:t>
            </w:r>
            <w:r>
              <w:rPr>
                <w:rFonts w:hint="eastAsia"/>
                <w:bCs/>
                <w:color w:val="000000"/>
                <w:sz w:val="20"/>
                <w:szCs w:val="20"/>
              </w:rPr>
              <w:t>5</w:t>
            </w:r>
          </w:p>
        </w:tc>
      </w:tr>
      <w:tr>
        <w:tblPrEx>
          <w:tblCellMar>
            <w:top w:w="0" w:type="dxa"/>
            <w:left w:w="0" w:type="dxa"/>
            <w:bottom w:w="0" w:type="dxa"/>
            <w:right w:w="0" w:type="dxa"/>
          </w:tblCellMar>
        </w:tblPrEx>
        <w:trPr>
          <w:trHeight w:val="768"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项目产出质量达标率</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8</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项目完成后，项目完成的质量达标产出数与实际产出数的比率</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质量达标率</w:t>
            </w:r>
            <w:r>
              <w:rPr>
                <w:rFonts w:ascii="Calibri" w:hAnsi="Calibri" w:eastAsia="仿宋_GB2312" w:cs="Times New Roman"/>
                <w:color w:val="000000"/>
                <w:kern w:val="0"/>
                <w:sz w:val="20"/>
                <w:szCs w:val="20"/>
              </w:rPr>
              <w:t>100%</w:t>
            </w:r>
            <w:r>
              <w:rPr>
                <w:rStyle w:val="11"/>
                <w:rFonts w:hAnsi="宋体"/>
              </w:rPr>
              <w:t>计</w:t>
            </w:r>
            <w:r>
              <w:rPr>
                <w:rFonts w:ascii="Calibri" w:hAnsi="Calibri" w:eastAsia="仿宋_GB2312" w:cs="Times New Roman"/>
                <w:color w:val="000000"/>
                <w:kern w:val="0"/>
                <w:sz w:val="20"/>
                <w:szCs w:val="20"/>
              </w:rPr>
              <w:t>8</w:t>
            </w:r>
            <w:r>
              <w:rPr>
                <w:rStyle w:val="11"/>
                <w:rFonts w:hAnsi="宋体"/>
              </w:rPr>
              <w:t>分，每降低1%扣0.4分</w:t>
            </w:r>
            <w:r>
              <w:rPr>
                <w:rStyle w:val="11"/>
                <w:rFonts w:hint="eastAsia" w:hAnsi="宋体"/>
              </w:rPr>
              <w:t>，扣完为止</w:t>
            </w:r>
            <w:r>
              <w:rPr>
                <w:rStyle w:val="11"/>
                <w:rFonts w:hAnsi="宋体"/>
              </w:rPr>
              <w:t>。</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7.</w:t>
            </w:r>
            <w:r>
              <w:rPr>
                <w:rFonts w:hint="eastAsia"/>
                <w:bCs/>
                <w:color w:val="000000"/>
                <w:sz w:val="20"/>
                <w:szCs w:val="20"/>
              </w:rPr>
              <w:t>6</w:t>
            </w:r>
          </w:p>
        </w:tc>
      </w:tr>
      <w:tr>
        <w:tblPrEx>
          <w:tblCellMar>
            <w:top w:w="0" w:type="dxa"/>
            <w:left w:w="0" w:type="dxa"/>
            <w:bottom w:w="0" w:type="dxa"/>
            <w:right w:w="0" w:type="dxa"/>
          </w:tblCellMar>
        </w:tblPrEx>
        <w:trPr>
          <w:trHeight w:val="792"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项目完成时效</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8</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项目是否按申报资料的计划时间完成</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该项得分</w:t>
            </w:r>
            <w:r>
              <w:rPr>
                <w:rFonts w:ascii="Calibri" w:hAnsi="Calibri" w:eastAsia="仿宋_GB2312" w:cs="Times New Roman"/>
                <w:color w:val="000000"/>
                <w:kern w:val="0"/>
                <w:sz w:val="20"/>
                <w:szCs w:val="20"/>
              </w:rPr>
              <w:t>=</w:t>
            </w:r>
            <w:r>
              <w:rPr>
                <w:rStyle w:val="11"/>
                <w:rFonts w:hAnsi="宋体"/>
              </w:rPr>
              <w:t>申报资料的计划用时/项目实际用时×</w:t>
            </w:r>
            <w:r>
              <w:rPr>
                <w:rFonts w:hint="eastAsia" w:ascii="Calibri" w:hAnsi="Calibri" w:eastAsia="仿宋_GB2312" w:cs="Times New Roman"/>
                <w:color w:val="000000"/>
                <w:kern w:val="0"/>
                <w:sz w:val="20"/>
                <w:szCs w:val="20"/>
              </w:rPr>
              <w:t>100%</w:t>
            </w:r>
            <w:r>
              <w:rPr>
                <w:rStyle w:val="11"/>
                <w:rFonts w:hAnsi="宋体"/>
              </w:rPr>
              <w:t>，</w:t>
            </w:r>
            <w:r>
              <w:rPr>
                <w:rStyle w:val="11"/>
                <w:rFonts w:hint="eastAsia" w:hAnsi="宋体"/>
              </w:rPr>
              <w:t>每超过1%扣0.4分，扣完为止。</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7.</w:t>
            </w:r>
            <w:r>
              <w:rPr>
                <w:rFonts w:hint="eastAsia"/>
                <w:bCs/>
                <w:color w:val="000000"/>
                <w:sz w:val="20"/>
                <w:szCs w:val="20"/>
              </w:rPr>
              <w:t>6</w:t>
            </w:r>
          </w:p>
        </w:tc>
      </w:tr>
      <w:tr>
        <w:tblPrEx>
          <w:tblCellMar>
            <w:top w:w="0" w:type="dxa"/>
            <w:left w:w="0" w:type="dxa"/>
            <w:bottom w:w="0" w:type="dxa"/>
            <w:right w:w="0" w:type="dxa"/>
          </w:tblCellMar>
        </w:tblPrEx>
        <w:trPr>
          <w:trHeight w:val="1001"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项目成本节约率</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8</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完成项目计划工作目标的实际节约成本与计划成本的比率</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Ansi="宋体"/>
              </w:rPr>
              <w:t>该项得分</w:t>
            </w:r>
            <w:r>
              <w:rPr>
                <w:rFonts w:ascii="Calibri" w:hAnsi="Calibri" w:eastAsia="仿宋_GB2312" w:cs="Times New Roman"/>
                <w:color w:val="000000"/>
                <w:kern w:val="0"/>
                <w:sz w:val="20"/>
                <w:szCs w:val="20"/>
              </w:rPr>
              <w:t>=</w:t>
            </w:r>
            <w:r>
              <w:rPr>
                <w:rStyle w:val="11"/>
                <w:rFonts w:hAnsi="宋体"/>
              </w:rPr>
              <w:t>申报资料的计划投资成本</w:t>
            </w:r>
            <w:r>
              <w:rPr>
                <w:rFonts w:ascii="Calibri" w:hAnsi="Calibri" w:eastAsia="仿宋_GB2312" w:cs="Times New Roman"/>
                <w:color w:val="000000"/>
                <w:kern w:val="0"/>
                <w:sz w:val="20"/>
                <w:szCs w:val="20"/>
              </w:rPr>
              <w:t>/</w:t>
            </w:r>
            <w:r>
              <w:rPr>
                <w:rStyle w:val="11"/>
                <w:rFonts w:hAnsi="宋体"/>
              </w:rPr>
              <w:t>项目实际投资成本×</w:t>
            </w:r>
            <w:r>
              <w:rPr>
                <w:rFonts w:hint="eastAsia" w:ascii="Calibri" w:hAnsi="Calibri" w:eastAsia="仿宋_GB2312" w:cs="Times New Roman"/>
                <w:color w:val="000000"/>
                <w:kern w:val="0"/>
                <w:sz w:val="20"/>
                <w:szCs w:val="20"/>
              </w:rPr>
              <w:t>100%</w:t>
            </w:r>
            <w:r>
              <w:rPr>
                <w:rStyle w:val="11"/>
                <w:rFonts w:hAnsi="宋体"/>
              </w:rPr>
              <w:t>，</w:t>
            </w:r>
            <w:r>
              <w:rPr>
                <w:rStyle w:val="11"/>
                <w:rFonts w:hint="eastAsia" w:hAnsi="宋体"/>
              </w:rPr>
              <w:t>每超过1%扣0.4分，扣完为止。</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7.</w:t>
            </w:r>
            <w:r>
              <w:rPr>
                <w:rFonts w:hint="eastAsia"/>
                <w:bCs/>
                <w:color w:val="000000"/>
                <w:sz w:val="20"/>
                <w:szCs w:val="20"/>
              </w:rPr>
              <w:t>6</w:t>
            </w:r>
          </w:p>
        </w:tc>
      </w:tr>
      <w:tr>
        <w:tblPrEx>
          <w:tblCellMar>
            <w:top w:w="0" w:type="dxa"/>
            <w:left w:w="0" w:type="dxa"/>
            <w:bottom w:w="0" w:type="dxa"/>
            <w:right w:w="0" w:type="dxa"/>
          </w:tblCellMar>
        </w:tblPrEx>
        <w:trPr>
          <w:trHeight w:val="942"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b/>
                <w:color w:val="000000"/>
                <w:sz w:val="20"/>
                <w:szCs w:val="20"/>
              </w:rPr>
            </w:pPr>
            <w:r>
              <w:rPr>
                <w:rFonts w:ascii="仿宋_GB2312" w:hAnsi="宋体" w:eastAsia="仿宋_GB2312" w:cs="仿宋_GB2312"/>
                <w:b/>
                <w:color w:val="000000"/>
                <w:kern w:val="0"/>
                <w:sz w:val="20"/>
                <w:szCs w:val="20"/>
              </w:rPr>
              <w:t>项目效果</w:t>
            </w:r>
            <w:r>
              <w:rPr>
                <w:rFonts w:hint="eastAsia" w:ascii="仿宋_GB2312" w:hAnsi="宋体" w:eastAsia="仿宋_GB2312" w:cs="仿宋_GB2312"/>
                <w:b/>
                <w:color w:val="000000"/>
                <w:kern w:val="0"/>
                <w:sz w:val="20"/>
                <w:szCs w:val="20"/>
              </w:rPr>
              <w:t>（26分）</w:t>
            </w: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经济效益</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8</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hint="eastAsia" w:ascii="仿宋_GB2312" w:hAnsi="仿宋_GB2312" w:eastAsia="仿宋_GB2312" w:cs="仿宋_GB2312"/>
                <w:kern w:val="0"/>
                <w:sz w:val="20"/>
                <w:szCs w:val="20"/>
              </w:rPr>
              <w:t>项目实施对经济发展所带来的直接或间接影响情况。</w:t>
            </w:r>
          </w:p>
        </w:tc>
        <w:tc>
          <w:tcPr>
            <w:tcW w:w="222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hint="eastAsia" w:ascii="仿宋_GB2312" w:hAnsi="仿宋_GB2312" w:eastAsia="仿宋_GB2312" w:cs="仿宋_GB2312"/>
                <w:kern w:val="0"/>
                <w:sz w:val="20"/>
                <w:szCs w:val="20"/>
              </w:rPr>
              <w:t>此四项指标为设置项目支出绩效评价指标时必须考虑的共性要素，可根据项目实际并结合绩效目标设立情况有选择的进行设置，并将其细化为相应的个性化指标。</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bCs/>
                <w:color w:val="000000"/>
                <w:sz w:val="20"/>
                <w:szCs w:val="20"/>
              </w:rPr>
              <w:t>7.5</w:t>
            </w:r>
          </w:p>
        </w:tc>
      </w:tr>
      <w:tr>
        <w:tblPrEx>
          <w:tblCellMar>
            <w:top w:w="0" w:type="dxa"/>
            <w:left w:w="0" w:type="dxa"/>
            <w:bottom w:w="0" w:type="dxa"/>
            <w:right w:w="0" w:type="dxa"/>
          </w:tblCellMar>
        </w:tblPrEx>
        <w:trPr>
          <w:trHeight w:val="750"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社会效益</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5</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项目实施对社会发展所带来的直接或间接影响情况。</w:t>
            </w:r>
          </w:p>
        </w:tc>
        <w:tc>
          <w:tcPr>
            <w:tcW w:w="2224" w:type="dxa"/>
            <w:vMerge w:val="continue"/>
            <w:tcBorders>
              <w:left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bCs/>
                <w:color w:val="000000"/>
                <w:sz w:val="20"/>
                <w:szCs w:val="20"/>
              </w:rPr>
              <w:t>4.5</w:t>
            </w:r>
          </w:p>
          <w:p>
            <w:pPr>
              <w:pStyle w:val="10"/>
              <w:ind w:firstLine="560"/>
            </w:pPr>
          </w:p>
        </w:tc>
      </w:tr>
      <w:tr>
        <w:tblPrEx>
          <w:tblCellMar>
            <w:top w:w="0" w:type="dxa"/>
            <w:left w:w="0" w:type="dxa"/>
            <w:bottom w:w="0" w:type="dxa"/>
            <w:right w:w="0" w:type="dxa"/>
          </w:tblCellMar>
        </w:tblPrEx>
        <w:trPr>
          <w:trHeight w:val="1280"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生态效益</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仿宋_GB2312" w:eastAsia="仿宋_GB2312" w:cs="仿宋_GB2312"/>
                <w:kern w:val="0"/>
                <w:sz w:val="20"/>
                <w:szCs w:val="20"/>
              </w:rPr>
              <w:t>项目实施对生态环境所带来的直接或间接影响情况。</w:t>
            </w:r>
          </w:p>
        </w:tc>
        <w:tc>
          <w:tcPr>
            <w:tcW w:w="2224" w:type="dxa"/>
            <w:vMerge w:val="continue"/>
            <w:tcBorders>
              <w:left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Style w:val="11"/>
                <w:rFonts w:hAnsi="宋体"/>
              </w:rPr>
            </w:pP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bCs/>
                <w:color w:val="000000"/>
                <w:sz w:val="20"/>
                <w:szCs w:val="20"/>
              </w:rPr>
              <w:t>3.6</w:t>
            </w:r>
          </w:p>
        </w:tc>
      </w:tr>
      <w:tr>
        <w:tblPrEx>
          <w:tblCellMar>
            <w:top w:w="0" w:type="dxa"/>
            <w:left w:w="0" w:type="dxa"/>
            <w:bottom w:w="0" w:type="dxa"/>
            <w:right w:w="0" w:type="dxa"/>
          </w:tblCellMar>
        </w:tblPrEx>
        <w:trPr>
          <w:trHeight w:val="1280"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可持续影响</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kern w:val="0"/>
                <w:sz w:val="20"/>
                <w:szCs w:val="20"/>
              </w:rPr>
            </w:pPr>
            <w:r>
              <w:rPr>
                <w:rFonts w:hint="eastAsia" w:ascii="仿宋_GB2312" w:hAnsi="仿宋_GB2312" w:eastAsia="仿宋_GB2312" w:cs="仿宋_GB2312"/>
                <w:kern w:val="0"/>
                <w:sz w:val="20"/>
                <w:szCs w:val="20"/>
              </w:rPr>
              <w:t>项目后续运行及成效发挥的可持续影响情况。</w:t>
            </w:r>
          </w:p>
        </w:tc>
        <w:tc>
          <w:tcPr>
            <w:tcW w:w="2224"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Style w:val="11"/>
                <w:rFonts w:hAnsi="宋体"/>
              </w:rPr>
            </w:pP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bCs/>
                <w:color w:val="000000"/>
                <w:sz w:val="20"/>
                <w:szCs w:val="20"/>
              </w:rPr>
              <w:t>4</w:t>
            </w:r>
          </w:p>
        </w:tc>
      </w:tr>
      <w:tr>
        <w:tblPrEx>
          <w:tblCellMar>
            <w:top w:w="0" w:type="dxa"/>
            <w:left w:w="0" w:type="dxa"/>
            <w:bottom w:w="0" w:type="dxa"/>
            <w:right w:w="0" w:type="dxa"/>
          </w:tblCellMar>
        </w:tblPrEx>
        <w:trPr>
          <w:trHeight w:val="1280" w:hRule="atLeast"/>
        </w:trPr>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rPr>
                <w:rFonts w:ascii="仿宋_GB2312" w:hAnsi="宋体" w:eastAsia="仿宋_GB2312" w:cs="仿宋_GB2312"/>
                <w:b/>
                <w:color w:val="000000"/>
                <w:sz w:val="20"/>
                <w:szCs w:val="20"/>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仿宋_GB2312" w:hAnsi="宋体" w:eastAsia="仿宋_GB2312" w:cs="仿宋_GB2312"/>
                <w:b/>
                <w:color w:val="000000"/>
                <w:sz w:val="20"/>
                <w:szCs w:val="20"/>
              </w:rPr>
            </w:pPr>
          </w:p>
        </w:tc>
        <w:tc>
          <w:tcPr>
            <w:tcW w:w="9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社会公众满意度</w:t>
            </w:r>
          </w:p>
        </w:tc>
        <w:tc>
          <w:tcPr>
            <w:tcW w:w="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5</w:t>
            </w:r>
          </w:p>
        </w:tc>
        <w:tc>
          <w:tcPr>
            <w:tcW w:w="2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rPr>
              <w:t>社会公众或服务对象对项目实施效果的满意程度</w:t>
            </w:r>
          </w:p>
        </w:tc>
        <w:tc>
          <w:tcPr>
            <w:tcW w:w="2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仿宋_GB2312" w:hAnsi="宋体" w:eastAsia="仿宋_GB2312" w:cs="仿宋_GB2312"/>
                <w:color w:val="000000"/>
                <w:sz w:val="20"/>
                <w:szCs w:val="20"/>
              </w:rPr>
            </w:pPr>
            <w:r>
              <w:rPr>
                <w:rStyle w:val="11"/>
                <w:rFonts w:hint="eastAsia" w:hAnsi="宋体"/>
              </w:rPr>
              <w:t>90%-100%（含）计10分，80%-90%（含）计8分，70%-80%（含）计6分，60%-70%（含）计4分，60%以下不计分。</w:t>
            </w:r>
          </w:p>
        </w:tc>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exact"/>
              <w:jc w:val="center"/>
              <w:rPr>
                <w:rFonts w:ascii="Calibri" w:hAnsi="Calibri" w:eastAsia="宋体" w:cs="Times New Roman"/>
                <w:bCs/>
                <w:color w:val="000000"/>
                <w:sz w:val="20"/>
                <w:szCs w:val="20"/>
              </w:rPr>
            </w:pPr>
            <w:r>
              <w:rPr>
                <w:rFonts w:hint="eastAsia"/>
                <w:bCs/>
                <w:color w:val="000000"/>
                <w:sz w:val="20"/>
                <w:szCs w:val="20"/>
              </w:rPr>
              <w:t>5</w:t>
            </w:r>
          </w:p>
        </w:tc>
      </w:tr>
      <w:tr>
        <w:tblPrEx>
          <w:tblCellMar>
            <w:top w:w="0" w:type="dxa"/>
            <w:left w:w="0" w:type="dxa"/>
            <w:bottom w:w="0" w:type="dxa"/>
            <w:right w:w="0" w:type="dxa"/>
          </w:tblCellMar>
        </w:tblPrEx>
        <w:trPr>
          <w:trHeight w:val="426" w:hRule="atLeast"/>
        </w:trPr>
        <w:tc>
          <w:tcPr>
            <w:tcW w:w="205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评价</w:t>
            </w:r>
            <w:r>
              <w:rPr>
                <w:rFonts w:ascii="仿宋_GB2312" w:hAnsi="宋体" w:eastAsia="仿宋_GB2312" w:cs="仿宋_GB2312"/>
                <w:b/>
                <w:color w:val="000000"/>
                <w:kern w:val="0"/>
                <w:sz w:val="20"/>
                <w:szCs w:val="20"/>
              </w:rPr>
              <w:t>得分</w:t>
            </w:r>
          </w:p>
        </w:tc>
        <w:tc>
          <w:tcPr>
            <w:tcW w:w="627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Calibri" w:hAnsi="Calibri" w:eastAsia="宋体" w:cs="Times New Roman"/>
                <w:bCs/>
                <w:color w:val="000000"/>
                <w:sz w:val="20"/>
                <w:szCs w:val="20"/>
              </w:rPr>
            </w:pPr>
            <w:r>
              <w:rPr>
                <w:rFonts w:hint="eastAsia"/>
                <w:bCs/>
                <w:color w:val="000000"/>
                <w:sz w:val="20"/>
                <w:szCs w:val="20"/>
              </w:rPr>
              <w:t>95.9</w:t>
            </w:r>
          </w:p>
        </w:tc>
      </w:tr>
      <w:tr>
        <w:tblPrEx>
          <w:tblCellMar>
            <w:top w:w="0" w:type="dxa"/>
            <w:left w:w="0" w:type="dxa"/>
            <w:bottom w:w="0" w:type="dxa"/>
            <w:right w:w="0" w:type="dxa"/>
          </w:tblCellMar>
        </w:tblPrEx>
        <w:trPr>
          <w:trHeight w:val="518" w:hRule="atLeast"/>
        </w:trPr>
        <w:tc>
          <w:tcPr>
            <w:tcW w:w="2054" w:type="dxa"/>
            <w:gridSpan w:val="3"/>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评价</w:t>
            </w:r>
            <w:r>
              <w:rPr>
                <w:rFonts w:ascii="仿宋_GB2312" w:hAnsi="宋体" w:eastAsia="仿宋_GB2312" w:cs="仿宋_GB2312"/>
                <w:b/>
                <w:color w:val="000000"/>
                <w:kern w:val="0"/>
                <w:sz w:val="20"/>
                <w:szCs w:val="20"/>
              </w:rPr>
              <w:t>等次</w:t>
            </w:r>
          </w:p>
        </w:tc>
        <w:tc>
          <w:tcPr>
            <w:tcW w:w="627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Calibri" w:hAnsi="Calibri" w:eastAsia="宋体" w:cs="Times New Roman"/>
                <w:bCs/>
                <w:color w:val="000000"/>
                <w:sz w:val="20"/>
                <w:szCs w:val="20"/>
              </w:rPr>
            </w:pPr>
            <w:r>
              <w:rPr>
                <w:rFonts w:hint="eastAsia" w:ascii="Calibri" w:hAnsi="Calibri" w:eastAsia="宋体" w:cs="Times New Roman"/>
                <w:bCs/>
                <w:color w:val="000000"/>
                <w:sz w:val="20"/>
                <w:szCs w:val="20"/>
              </w:rPr>
              <w:t>优</w:t>
            </w:r>
          </w:p>
        </w:tc>
      </w:tr>
      <w:tr>
        <w:tblPrEx>
          <w:tblCellMar>
            <w:top w:w="0" w:type="dxa"/>
            <w:left w:w="0" w:type="dxa"/>
            <w:bottom w:w="0" w:type="dxa"/>
            <w:right w:w="0" w:type="dxa"/>
          </w:tblCellMar>
        </w:tblPrEx>
        <w:trPr>
          <w:trHeight w:val="1034" w:hRule="atLeast"/>
        </w:trPr>
        <w:tc>
          <w:tcPr>
            <w:tcW w:w="2054" w:type="dxa"/>
            <w:gridSpan w:val="3"/>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Calibri" w:hAnsi="Calibri" w:eastAsia="仿宋" w:cs="Times New Roman"/>
                <w:sz w:val="28"/>
                <w:szCs w:val="28"/>
              </w:rPr>
            </w:pPr>
          </w:p>
        </w:tc>
        <w:tc>
          <w:tcPr>
            <w:tcW w:w="6275"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Calibri" w:hAnsi="Calibri" w:eastAsia="宋体" w:cs="Times New Roman"/>
                <w:bCs/>
                <w:color w:val="000000"/>
                <w:sz w:val="20"/>
                <w:szCs w:val="20"/>
              </w:rPr>
            </w:pPr>
            <w:r>
              <w:rPr>
                <w:rFonts w:hint="eastAsia" w:ascii="仿宋_GB2312" w:hAnsi="宋体" w:eastAsia="仿宋_GB2312" w:cs="仿宋_GB2312"/>
                <w:bCs/>
                <w:color w:val="000000"/>
                <w:kern w:val="0"/>
                <w:sz w:val="20"/>
                <w:szCs w:val="20"/>
              </w:rPr>
              <w:t xml:space="preserve">90分（含）—100分为优，80分（含）—90分为良，60分（含）—80分为中，60分以下为差 </w:t>
            </w:r>
          </w:p>
        </w:tc>
      </w:tr>
    </w:tbl>
    <w:tbl>
      <w:tblPr>
        <w:tblStyle w:val="5"/>
        <w:tblW w:w="7010" w:type="dxa"/>
        <w:tblInd w:w="93" w:type="dxa"/>
        <w:tblLayout w:type="autofit"/>
        <w:tblCellMar>
          <w:top w:w="0" w:type="dxa"/>
          <w:left w:w="108" w:type="dxa"/>
          <w:bottom w:w="0" w:type="dxa"/>
          <w:right w:w="108" w:type="dxa"/>
        </w:tblCellMar>
      </w:tblPr>
      <w:tblGrid>
        <w:gridCol w:w="7010"/>
      </w:tblGrid>
      <w:tr>
        <w:tblPrEx>
          <w:tblCellMar>
            <w:top w:w="0" w:type="dxa"/>
            <w:left w:w="108" w:type="dxa"/>
            <w:bottom w:w="0" w:type="dxa"/>
            <w:right w:w="108" w:type="dxa"/>
          </w:tblCellMar>
        </w:tblPrEx>
        <w:trPr>
          <w:trHeight w:val="405" w:hRule="atLeast"/>
        </w:trPr>
        <w:tc>
          <w:tcPr>
            <w:tcW w:w="7010" w:type="dxa"/>
            <w:tcBorders>
              <w:top w:val="nil"/>
              <w:left w:val="nil"/>
              <w:bottom w:val="nil"/>
              <w:right w:val="nil"/>
            </w:tcBorders>
            <w:shd w:val="clear" w:color="auto" w:fill="FFFFFF"/>
            <w:vAlign w:val="center"/>
          </w:tcPr>
          <w:p>
            <w:pPr>
              <w:widowControl/>
              <w:jc w:val="center"/>
              <w:textAlignment w:val="center"/>
              <w:rPr>
                <w:rFonts w:ascii="宋体" w:hAnsi="宋体" w:eastAsia="宋体" w:cs="宋体"/>
                <w:b/>
                <w:bCs/>
                <w:color w:val="000000"/>
                <w:sz w:val="32"/>
                <w:szCs w:val="32"/>
              </w:rPr>
            </w:pPr>
          </w:p>
        </w:tc>
      </w:tr>
    </w:tbl>
    <w:p>
      <w:pPr>
        <w:jc w:val="right"/>
        <w:rPr>
          <w:b/>
          <w:bCs/>
          <w:sz w:val="28"/>
          <w:szCs w:val="28"/>
        </w:rPr>
      </w:pPr>
      <w:r>
        <w:rPr>
          <w:rFonts w:hint="eastAsia"/>
          <w:sz w:val="28"/>
          <w:szCs w:val="28"/>
        </w:rPr>
        <w:t xml:space="preserve">                          2025年</w:t>
      </w:r>
      <w:r>
        <w:rPr>
          <w:sz w:val="28"/>
          <w:szCs w:val="28"/>
        </w:rPr>
        <w:t>4</w:t>
      </w:r>
      <w:r>
        <w:rPr>
          <w:rFonts w:hint="eastAsia"/>
          <w:sz w:val="28"/>
          <w:szCs w:val="28"/>
        </w:rPr>
        <w:t>月2</w:t>
      </w:r>
      <w:r>
        <w:rPr>
          <w:sz w:val="28"/>
          <w:szCs w:val="28"/>
        </w:rPr>
        <w:t>9</w:t>
      </w:r>
      <w:r>
        <w:rPr>
          <w:rFonts w:hint="eastAsia"/>
          <w:sz w:val="28"/>
          <w:szCs w:val="28"/>
        </w:rPr>
        <w:t>日</w:t>
      </w:r>
    </w:p>
    <w:sectPr>
      <w:pgSz w:w="11906" w:h="16838"/>
      <w:pgMar w:top="1440" w:right="1230" w:bottom="873"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41C0C"/>
    <w:multiLevelType w:val="singleLevel"/>
    <w:tmpl w:val="E0F41C0C"/>
    <w:lvl w:ilvl="0" w:tentative="0">
      <w:start w:val="1"/>
      <w:numFmt w:val="decimal"/>
      <w:suff w:val="nothing"/>
      <w:lvlText w:val="%1、"/>
      <w:lvlJc w:val="left"/>
    </w:lvl>
  </w:abstractNum>
  <w:abstractNum w:abstractNumId="1">
    <w:nsid w:val="FDE324A0"/>
    <w:multiLevelType w:val="singleLevel"/>
    <w:tmpl w:val="FDE324A0"/>
    <w:lvl w:ilvl="0" w:tentative="0">
      <w:start w:val="5"/>
      <w:numFmt w:val="chineseCounting"/>
      <w:suff w:val="nothing"/>
      <w:lvlText w:val="%1、"/>
      <w:lvlJc w:val="left"/>
      <w:rPr>
        <w:rFonts w:hint="eastAsia"/>
      </w:rPr>
    </w:lvl>
  </w:abstractNum>
  <w:abstractNum w:abstractNumId="2">
    <w:nsid w:val="4308CE9F"/>
    <w:multiLevelType w:val="singleLevel"/>
    <w:tmpl w:val="4308CE9F"/>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s>
  <w:rsids>
    <w:rsidRoot w:val="00300052"/>
    <w:rsid w:val="00011D70"/>
    <w:rsid w:val="00057844"/>
    <w:rsid w:val="000645F6"/>
    <w:rsid w:val="000B0837"/>
    <w:rsid w:val="000C5142"/>
    <w:rsid w:val="000E0A92"/>
    <w:rsid w:val="000F2ACF"/>
    <w:rsid w:val="00103F0D"/>
    <w:rsid w:val="00106C47"/>
    <w:rsid w:val="00111127"/>
    <w:rsid w:val="00141962"/>
    <w:rsid w:val="0016486B"/>
    <w:rsid w:val="00190818"/>
    <w:rsid w:val="001A4D1A"/>
    <w:rsid w:val="001D4EA3"/>
    <w:rsid w:val="00207126"/>
    <w:rsid w:val="002135A9"/>
    <w:rsid w:val="002B22FD"/>
    <w:rsid w:val="002C0FE2"/>
    <w:rsid w:val="002E4949"/>
    <w:rsid w:val="00300052"/>
    <w:rsid w:val="00330A76"/>
    <w:rsid w:val="00352075"/>
    <w:rsid w:val="00366F32"/>
    <w:rsid w:val="003A1527"/>
    <w:rsid w:val="003D40CE"/>
    <w:rsid w:val="00433F6A"/>
    <w:rsid w:val="00452C22"/>
    <w:rsid w:val="00457E8C"/>
    <w:rsid w:val="005074E6"/>
    <w:rsid w:val="00515727"/>
    <w:rsid w:val="00533438"/>
    <w:rsid w:val="0055320A"/>
    <w:rsid w:val="00597C9D"/>
    <w:rsid w:val="005B2D31"/>
    <w:rsid w:val="006129FD"/>
    <w:rsid w:val="00616F58"/>
    <w:rsid w:val="00651E22"/>
    <w:rsid w:val="006559AA"/>
    <w:rsid w:val="006A4061"/>
    <w:rsid w:val="006C1559"/>
    <w:rsid w:val="006F55AB"/>
    <w:rsid w:val="0070222A"/>
    <w:rsid w:val="00721BFE"/>
    <w:rsid w:val="00735EC4"/>
    <w:rsid w:val="00765849"/>
    <w:rsid w:val="007B051D"/>
    <w:rsid w:val="007D15A5"/>
    <w:rsid w:val="007E14B0"/>
    <w:rsid w:val="007F7D49"/>
    <w:rsid w:val="0081219F"/>
    <w:rsid w:val="00826FC4"/>
    <w:rsid w:val="008967E3"/>
    <w:rsid w:val="008A3105"/>
    <w:rsid w:val="008B09C2"/>
    <w:rsid w:val="008C0777"/>
    <w:rsid w:val="008F130D"/>
    <w:rsid w:val="009032E1"/>
    <w:rsid w:val="00903D0E"/>
    <w:rsid w:val="00931F44"/>
    <w:rsid w:val="00957101"/>
    <w:rsid w:val="00984609"/>
    <w:rsid w:val="00984D66"/>
    <w:rsid w:val="00986156"/>
    <w:rsid w:val="009910FE"/>
    <w:rsid w:val="009A3BC0"/>
    <w:rsid w:val="009C4021"/>
    <w:rsid w:val="009E3B2B"/>
    <w:rsid w:val="009F678A"/>
    <w:rsid w:val="00A36F13"/>
    <w:rsid w:val="00A37128"/>
    <w:rsid w:val="00AE65A2"/>
    <w:rsid w:val="00B40A77"/>
    <w:rsid w:val="00B47EEA"/>
    <w:rsid w:val="00B52CB9"/>
    <w:rsid w:val="00B54C65"/>
    <w:rsid w:val="00B6063D"/>
    <w:rsid w:val="00B73431"/>
    <w:rsid w:val="00B80805"/>
    <w:rsid w:val="00BA6B8A"/>
    <w:rsid w:val="00BB2B0A"/>
    <w:rsid w:val="00BC2CE3"/>
    <w:rsid w:val="00BC7053"/>
    <w:rsid w:val="00C148ED"/>
    <w:rsid w:val="00C512A0"/>
    <w:rsid w:val="00CE1A85"/>
    <w:rsid w:val="00CE6E1C"/>
    <w:rsid w:val="00D1574D"/>
    <w:rsid w:val="00D23A1A"/>
    <w:rsid w:val="00D36362"/>
    <w:rsid w:val="00D44C27"/>
    <w:rsid w:val="00D826BD"/>
    <w:rsid w:val="00D9201B"/>
    <w:rsid w:val="00DB20E2"/>
    <w:rsid w:val="00DC0EE3"/>
    <w:rsid w:val="00DE081B"/>
    <w:rsid w:val="00E23B03"/>
    <w:rsid w:val="00E30C02"/>
    <w:rsid w:val="00E47C2E"/>
    <w:rsid w:val="00EA699C"/>
    <w:rsid w:val="00ED0139"/>
    <w:rsid w:val="00EE366A"/>
    <w:rsid w:val="00EE4B3B"/>
    <w:rsid w:val="00EE57FD"/>
    <w:rsid w:val="00EF73B1"/>
    <w:rsid w:val="00F12AFD"/>
    <w:rsid w:val="00F13F59"/>
    <w:rsid w:val="00F241C0"/>
    <w:rsid w:val="00F37271"/>
    <w:rsid w:val="00F406E2"/>
    <w:rsid w:val="00F52ADD"/>
    <w:rsid w:val="00F62046"/>
    <w:rsid w:val="00F811A5"/>
    <w:rsid w:val="00F85AD4"/>
    <w:rsid w:val="00FE28A2"/>
    <w:rsid w:val="00FF069E"/>
    <w:rsid w:val="020970C3"/>
    <w:rsid w:val="027F1445"/>
    <w:rsid w:val="03E16D71"/>
    <w:rsid w:val="04C7396C"/>
    <w:rsid w:val="05623D80"/>
    <w:rsid w:val="06E06237"/>
    <w:rsid w:val="070D7D40"/>
    <w:rsid w:val="0762408E"/>
    <w:rsid w:val="076F5073"/>
    <w:rsid w:val="07A67C21"/>
    <w:rsid w:val="0B3979A3"/>
    <w:rsid w:val="0BD456BD"/>
    <w:rsid w:val="0E3523F6"/>
    <w:rsid w:val="0FC57F45"/>
    <w:rsid w:val="11162C66"/>
    <w:rsid w:val="117000DA"/>
    <w:rsid w:val="11F13B4D"/>
    <w:rsid w:val="12600222"/>
    <w:rsid w:val="14814EE1"/>
    <w:rsid w:val="149C71C3"/>
    <w:rsid w:val="15CB34A5"/>
    <w:rsid w:val="177359AF"/>
    <w:rsid w:val="1A90154A"/>
    <w:rsid w:val="1C4A3530"/>
    <w:rsid w:val="1E17629F"/>
    <w:rsid w:val="1ED71B18"/>
    <w:rsid w:val="218C6EBB"/>
    <w:rsid w:val="21F255DD"/>
    <w:rsid w:val="222205F7"/>
    <w:rsid w:val="247E04A5"/>
    <w:rsid w:val="265F4DEB"/>
    <w:rsid w:val="266B69B9"/>
    <w:rsid w:val="280F37EB"/>
    <w:rsid w:val="281C0F65"/>
    <w:rsid w:val="2881694E"/>
    <w:rsid w:val="294B0866"/>
    <w:rsid w:val="29D95B9B"/>
    <w:rsid w:val="2AA54621"/>
    <w:rsid w:val="2B49169D"/>
    <w:rsid w:val="2B551617"/>
    <w:rsid w:val="2EBB6093"/>
    <w:rsid w:val="2F0E45B0"/>
    <w:rsid w:val="2F0F69A3"/>
    <w:rsid w:val="2F3617BD"/>
    <w:rsid w:val="2FA93A48"/>
    <w:rsid w:val="2FDF5EE4"/>
    <w:rsid w:val="308A3B21"/>
    <w:rsid w:val="31C51966"/>
    <w:rsid w:val="323F6BA0"/>
    <w:rsid w:val="32F9416A"/>
    <w:rsid w:val="348E2E4B"/>
    <w:rsid w:val="34A94132"/>
    <w:rsid w:val="364754C0"/>
    <w:rsid w:val="36BC1391"/>
    <w:rsid w:val="375C5CAA"/>
    <w:rsid w:val="37923EB3"/>
    <w:rsid w:val="384E40B2"/>
    <w:rsid w:val="38A54633"/>
    <w:rsid w:val="38CF3E68"/>
    <w:rsid w:val="3B081805"/>
    <w:rsid w:val="3C9E16B1"/>
    <w:rsid w:val="3CF61144"/>
    <w:rsid w:val="3D3C0B0F"/>
    <w:rsid w:val="3D7803CD"/>
    <w:rsid w:val="414A7761"/>
    <w:rsid w:val="416904D0"/>
    <w:rsid w:val="449A4C63"/>
    <w:rsid w:val="450742EB"/>
    <w:rsid w:val="471460CA"/>
    <w:rsid w:val="47353C03"/>
    <w:rsid w:val="473E2C72"/>
    <w:rsid w:val="48632BB3"/>
    <w:rsid w:val="4A4F6855"/>
    <w:rsid w:val="4C935DE3"/>
    <w:rsid w:val="4D277CAD"/>
    <w:rsid w:val="4DBF721B"/>
    <w:rsid w:val="4F1371A9"/>
    <w:rsid w:val="4FB16753"/>
    <w:rsid w:val="4FFA7619"/>
    <w:rsid w:val="50075E8C"/>
    <w:rsid w:val="508112DC"/>
    <w:rsid w:val="53A31C7A"/>
    <w:rsid w:val="53AF1415"/>
    <w:rsid w:val="55A46DBC"/>
    <w:rsid w:val="58946C75"/>
    <w:rsid w:val="58CB6DCC"/>
    <w:rsid w:val="593440ED"/>
    <w:rsid w:val="5B751EBC"/>
    <w:rsid w:val="5B9C2710"/>
    <w:rsid w:val="5D4165D6"/>
    <w:rsid w:val="5D7E2EEB"/>
    <w:rsid w:val="5DCD5E0F"/>
    <w:rsid w:val="601C7A10"/>
    <w:rsid w:val="618F0530"/>
    <w:rsid w:val="641F108F"/>
    <w:rsid w:val="64633C6A"/>
    <w:rsid w:val="648C4212"/>
    <w:rsid w:val="64E26A3B"/>
    <w:rsid w:val="64F45323"/>
    <w:rsid w:val="66375CB4"/>
    <w:rsid w:val="677A3A37"/>
    <w:rsid w:val="678F2B5F"/>
    <w:rsid w:val="686625BF"/>
    <w:rsid w:val="693C43E6"/>
    <w:rsid w:val="69445855"/>
    <w:rsid w:val="6A9018B1"/>
    <w:rsid w:val="6B48146D"/>
    <w:rsid w:val="6BE42BCE"/>
    <w:rsid w:val="6BEE0750"/>
    <w:rsid w:val="6C4867D2"/>
    <w:rsid w:val="6CF81F89"/>
    <w:rsid w:val="6CF941B3"/>
    <w:rsid w:val="6F753B8F"/>
    <w:rsid w:val="6F7573D0"/>
    <w:rsid w:val="70E3660B"/>
    <w:rsid w:val="72E76F45"/>
    <w:rsid w:val="74226F6F"/>
    <w:rsid w:val="75B36DFA"/>
    <w:rsid w:val="77424CDF"/>
    <w:rsid w:val="77A76DAA"/>
    <w:rsid w:val="77B5270B"/>
    <w:rsid w:val="799A3FD1"/>
    <w:rsid w:val="79A02B12"/>
    <w:rsid w:val="79D24FFA"/>
    <w:rsid w:val="7BB22478"/>
    <w:rsid w:val="7E563859"/>
    <w:rsid w:val="7F035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 w:type="paragraph" w:customStyle="1" w:styleId="10">
    <w:name w:val="正文格式"/>
    <w:basedOn w:val="1"/>
    <w:qFormat/>
    <w:uiPriority w:val="0"/>
    <w:pPr>
      <w:widowControl/>
      <w:spacing w:line="360" w:lineRule="auto"/>
      <w:ind w:firstLine="200" w:firstLineChars="200"/>
    </w:pPr>
    <w:rPr>
      <w:rFonts w:ascii="Times New Roman" w:hAnsi="Times New Roman" w:eastAsia="宋体" w:cs="Times New Roman"/>
      <w:sz w:val="28"/>
      <w:szCs w:val="28"/>
    </w:rPr>
  </w:style>
  <w:style w:type="character" w:customStyle="1" w:styleId="11">
    <w:name w:val="font31"/>
    <w:basedOn w:val="6"/>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E18102-004F-4B58-8802-313F1317CA7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4212</Words>
  <Characters>4494</Characters>
  <Lines>35</Lines>
  <Paragraphs>10</Paragraphs>
  <TotalTime>115</TotalTime>
  <ScaleCrop>false</ScaleCrop>
  <LinksUpToDate>false</LinksUpToDate>
  <CharactersWithSpaces>4826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2022-05-24T08:30:00Z</dcterms:created>
  <dc:creator>User</dc:creator>
  <cp:lastModifiedBy>蒋阔</cp:lastModifiedBy>
  <cp:lastPrinted>2019-04-01T06:53:00Z</cp:lastPrinted>
  <dcterms:modified xsi:type="dcterms:W3CDTF">2025-09-30T01:38:49Z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F2B79DAC4CC5457FB8403E9CCFC5A186</vt:lpwstr>
  </property>
</Properties>
</file>