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D0245">
      <w:pPr>
        <w:jc w:val="center"/>
        <w:rPr>
          <w:rFonts w:ascii="宋体" w:hAnsi="宋体" w:eastAsia="宋体"/>
          <w:b/>
          <w:sz w:val="48"/>
        </w:rPr>
      </w:pPr>
    </w:p>
    <w:p w14:paraId="40CA1575">
      <w:pPr>
        <w:jc w:val="center"/>
        <w:rPr>
          <w:rFonts w:ascii="宋体" w:hAnsi="宋体" w:eastAsia="宋体"/>
          <w:b/>
          <w:sz w:val="48"/>
        </w:rPr>
      </w:pPr>
    </w:p>
    <w:p w14:paraId="1F6A7DE9">
      <w:pPr>
        <w:jc w:val="center"/>
        <w:rPr>
          <w:rFonts w:ascii="宋体" w:hAnsi="宋体" w:eastAsia="宋体"/>
          <w:b/>
          <w:sz w:val="48"/>
        </w:rPr>
      </w:pPr>
    </w:p>
    <w:p w14:paraId="04EA936A">
      <w:pPr>
        <w:jc w:val="center"/>
        <w:rPr>
          <w:rFonts w:ascii="宋体" w:hAnsi="宋体" w:eastAsia="宋体"/>
          <w:b/>
          <w:sz w:val="48"/>
        </w:rPr>
      </w:pPr>
      <w:r>
        <w:rPr>
          <w:rFonts w:hint="eastAsia" w:ascii="宋体" w:hAnsi="宋体" w:eastAsia="宋体"/>
          <w:b/>
          <w:sz w:val="48"/>
        </w:rPr>
        <w:t>2024年度部门整体支出绩效自评报告</w:t>
      </w:r>
    </w:p>
    <w:p w14:paraId="28BFCB63">
      <w:pPr>
        <w:jc w:val="center"/>
        <w:rPr>
          <w:rFonts w:ascii="宋体" w:hAnsi="宋体" w:eastAsia="宋体"/>
          <w:b/>
          <w:sz w:val="48"/>
        </w:rPr>
      </w:pPr>
    </w:p>
    <w:p w14:paraId="3BB5BD60">
      <w:pPr>
        <w:jc w:val="center"/>
        <w:rPr>
          <w:rFonts w:ascii="宋体" w:hAnsi="宋体" w:eastAsia="宋体"/>
          <w:b/>
          <w:sz w:val="48"/>
        </w:rPr>
      </w:pPr>
    </w:p>
    <w:p w14:paraId="1BEC6B69">
      <w:pPr>
        <w:jc w:val="center"/>
        <w:rPr>
          <w:rFonts w:ascii="宋体" w:hAnsi="宋体" w:eastAsia="宋体"/>
          <w:b/>
          <w:sz w:val="48"/>
        </w:rPr>
      </w:pPr>
    </w:p>
    <w:p w14:paraId="4133899F">
      <w:pPr>
        <w:jc w:val="center"/>
        <w:rPr>
          <w:rFonts w:ascii="宋体" w:hAnsi="宋体" w:eastAsia="宋体"/>
          <w:b/>
          <w:sz w:val="48"/>
        </w:rPr>
      </w:pPr>
    </w:p>
    <w:p w14:paraId="7C55B6D7">
      <w:pPr>
        <w:jc w:val="center"/>
        <w:rPr>
          <w:rFonts w:ascii="宋体" w:hAnsi="宋体" w:eastAsia="宋体"/>
          <w:b/>
          <w:sz w:val="48"/>
        </w:rPr>
      </w:pPr>
    </w:p>
    <w:p w14:paraId="348F3B65">
      <w:pPr>
        <w:jc w:val="center"/>
        <w:rPr>
          <w:rFonts w:ascii="宋体" w:hAnsi="宋体" w:eastAsia="宋体"/>
          <w:b/>
          <w:sz w:val="48"/>
        </w:rPr>
      </w:pPr>
    </w:p>
    <w:p w14:paraId="5799D3A2">
      <w:pPr>
        <w:jc w:val="center"/>
        <w:rPr>
          <w:rFonts w:ascii="宋体" w:hAnsi="宋体" w:eastAsia="宋体"/>
          <w:b/>
          <w:sz w:val="48"/>
        </w:rPr>
      </w:pPr>
    </w:p>
    <w:p w14:paraId="19C054FA">
      <w:pPr>
        <w:jc w:val="center"/>
        <w:rPr>
          <w:rFonts w:ascii="宋体" w:hAnsi="宋体" w:eastAsia="宋体"/>
          <w:b/>
          <w:sz w:val="48"/>
        </w:rPr>
      </w:pPr>
    </w:p>
    <w:p w14:paraId="6121B897">
      <w:pPr>
        <w:jc w:val="center"/>
        <w:rPr>
          <w:rFonts w:ascii="宋体" w:hAnsi="宋体" w:eastAsia="宋体"/>
          <w:b/>
          <w:sz w:val="48"/>
        </w:rPr>
      </w:pPr>
    </w:p>
    <w:p w14:paraId="69FCF24F">
      <w:pPr>
        <w:jc w:val="center"/>
        <w:rPr>
          <w:rFonts w:ascii="宋体" w:hAnsi="宋体" w:eastAsia="宋体"/>
          <w:b/>
          <w:sz w:val="48"/>
        </w:rPr>
      </w:pPr>
    </w:p>
    <w:p w14:paraId="745CDFDC">
      <w:pPr>
        <w:jc w:val="center"/>
        <w:rPr>
          <w:rFonts w:ascii="宋体" w:hAnsi="宋体" w:eastAsia="宋体"/>
          <w:b/>
          <w:sz w:val="48"/>
        </w:rPr>
      </w:pPr>
    </w:p>
    <w:p w14:paraId="4315BE91">
      <w:pPr>
        <w:jc w:val="center"/>
        <w:rPr>
          <w:rFonts w:ascii="宋体" w:hAnsi="宋体" w:eastAsia="宋体"/>
          <w:b/>
          <w:sz w:val="36"/>
        </w:rPr>
      </w:pPr>
      <w:r>
        <w:rPr>
          <w:rFonts w:hint="eastAsia" w:ascii="宋体" w:hAnsi="宋体" w:eastAsia="宋体"/>
          <w:b/>
          <w:sz w:val="36"/>
        </w:rPr>
        <w:t>单位名称(盖章)：祁东县农业农村局</w:t>
      </w:r>
    </w:p>
    <w:p w14:paraId="2EF28396">
      <w:pPr>
        <w:jc w:val="center"/>
        <w:rPr>
          <w:rFonts w:ascii="宋体" w:hAnsi="宋体" w:eastAsia="宋体"/>
          <w:b/>
          <w:sz w:val="36"/>
        </w:rPr>
      </w:pPr>
    </w:p>
    <w:p w14:paraId="7F961C67">
      <w:pPr>
        <w:jc w:val="center"/>
        <w:rPr>
          <w:rFonts w:ascii="宋体" w:hAnsi="宋体" w:eastAsia="宋体"/>
          <w:b/>
          <w:sz w:val="36"/>
        </w:rPr>
      </w:pPr>
      <w:r>
        <w:rPr>
          <w:rFonts w:hint="eastAsia" w:ascii="宋体" w:hAnsi="宋体" w:eastAsia="宋体"/>
          <w:b/>
          <w:sz w:val="36"/>
        </w:rPr>
        <w:t>2025年04月25日</w:t>
      </w:r>
    </w:p>
    <w:p w14:paraId="2B1BEDAD">
      <w:pPr>
        <w:jc w:val="center"/>
        <w:rPr>
          <w:rFonts w:ascii="宋体" w:hAnsi="宋体" w:eastAsia="宋体"/>
          <w:b/>
          <w:sz w:val="48"/>
        </w:rPr>
      </w:pPr>
    </w:p>
    <w:p w14:paraId="0C1FA91F">
      <w:pPr>
        <w:jc w:val="center"/>
        <w:rPr>
          <w:rFonts w:ascii="宋体" w:hAnsi="宋体" w:eastAsia="宋体"/>
          <w:b/>
          <w:sz w:val="48"/>
        </w:rPr>
      </w:pPr>
    </w:p>
    <w:p w14:paraId="72C8EE1F">
      <w:pPr>
        <w:spacing w:line="480" w:lineRule="auto"/>
        <w:ind w:firstLine="562" w:firstLineChars="200"/>
        <w:jc w:val="center"/>
        <w:rPr>
          <w:rFonts w:ascii="宋体" w:hAnsi="宋体" w:eastAsia="宋体"/>
          <w:b/>
          <w:sz w:val="28"/>
        </w:rPr>
      </w:pPr>
    </w:p>
    <w:p w14:paraId="0DB98641">
      <w:pPr>
        <w:spacing w:line="480" w:lineRule="auto"/>
        <w:ind w:firstLine="560" w:firstLineChars="200"/>
        <w:rPr>
          <w:rFonts w:ascii="宋体" w:hAnsi="宋体" w:eastAsia="宋体"/>
          <w:sz w:val="28"/>
        </w:rPr>
      </w:pPr>
    </w:p>
    <w:p w14:paraId="20CF5B90">
      <w:pPr>
        <w:spacing w:line="560" w:lineRule="exact"/>
        <w:ind w:left="0" w:firstLine="562" w:firstLineChars="200"/>
        <w:rPr>
          <w:rFonts w:ascii="宋体" w:hAnsi="宋体" w:eastAsia="宋体"/>
          <w:b/>
          <w:sz w:val="28"/>
        </w:rPr>
      </w:pPr>
      <w:r>
        <w:rPr>
          <w:rFonts w:hint="eastAsia" w:ascii="宋体" w:hAnsi="宋体" w:eastAsia="宋体"/>
          <w:b/>
          <w:sz w:val="28"/>
        </w:rPr>
        <w:t>一、部门基本情况</w:t>
      </w:r>
    </w:p>
    <w:p w14:paraId="4C5D135A">
      <w:pPr>
        <w:spacing w:line="560" w:lineRule="exact"/>
        <w:ind w:left="0" w:firstLine="560" w:firstLineChars="200"/>
        <w:rPr>
          <w:rFonts w:ascii="宋体" w:hAnsi="宋体" w:eastAsia="宋体"/>
          <w:sz w:val="28"/>
        </w:rPr>
      </w:pPr>
      <w:r>
        <w:rPr>
          <w:rFonts w:hint="eastAsia" w:ascii="宋体" w:hAnsi="宋体" w:eastAsia="宋体"/>
          <w:sz w:val="28"/>
        </w:rPr>
        <w:t>（一）部门职责</w:t>
      </w:r>
    </w:p>
    <w:p w14:paraId="6C9EE137">
      <w:pPr>
        <w:spacing w:line="560" w:lineRule="exact"/>
        <w:ind w:left="0" w:firstLine="560" w:firstLineChars="200"/>
        <w:rPr>
          <w:rFonts w:ascii="宋体" w:hAnsi="宋体" w:eastAsia="宋体"/>
          <w:sz w:val="28"/>
        </w:rPr>
      </w:pPr>
      <w:r>
        <w:rPr>
          <w:rFonts w:hint="eastAsia" w:ascii="宋体" w:hAnsi="宋体" w:eastAsia="宋体"/>
          <w:sz w:val="28"/>
        </w:rPr>
        <w:t>1、统筹研究和组织实施以乡村振兴为重心的“三农”工作中长期规划、重大政策。组织起草农业农村和乡村振兴有关地方性法规规章草案，指导农业综合执法。参与涉农的财税、价格、收储、金融保险、进出口等政策制定。</w:t>
      </w:r>
    </w:p>
    <w:p w14:paraId="13CF3A3B">
      <w:pPr>
        <w:spacing w:line="560" w:lineRule="exact"/>
        <w:ind w:left="0" w:firstLine="560" w:firstLineChars="200"/>
        <w:rPr>
          <w:rFonts w:ascii="宋体" w:hAnsi="宋体" w:eastAsia="宋体"/>
          <w:sz w:val="28"/>
        </w:rPr>
      </w:pPr>
      <w:r>
        <w:rPr>
          <w:rFonts w:hint="eastAsia" w:ascii="宋体" w:hAnsi="宋体" w:eastAsia="宋体"/>
          <w:sz w:val="28"/>
        </w:rPr>
        <w:t>2、统筹推动发展农村社会事业、农村公共服务、农村文化、农村基础设施和乡村治理。牵头组织改善农村人居环境。指导农村精神文明和优秀农耕文化建设。指导农业行业安全生产工作。</w:t>
      </w:r>
    </w:p>
    <w:p w14:paraId="225A66D3">
      <w:pPr>
        <w:spacing w:line="560" w:lineRule="exact"/>
        <w:ind w:left="0" w:firstLine="560" w:firstLineChars="200"/>
        <w:rPr>
          <w:rFonts w:ascii="宋体" w:hAnsi="宋体" w:eastAsia="宋体"/>
          <w:sz w:val="28"/>
        </w:rPr>
      </w:pPr>
      <w:r>
        <w:rPr>
          <w:rFonts w:hint="eastAsia" w:ascii="宋体" w:hAnsi="宋体" w:eastAsia="宋体"/>
          <w:sz w:val="28"/>
        </w:rPr>
        <w:t>3、负责农民承包地、农村宅基地、农村集体产权制度改革和管理有关工作。研究提出深化农村经济体制改革和巩固完善农村基本经营制度的政策建议。指导农村集体经济组织发展和集体资产管理工作。指导农民合作经济组织、农业社会化服务体系、新型农业经营主体建设与发展。</w:t>
      </w:r>
    </w:p>
    <w:p w14:paraId="4F30DDE4">
      <w:pPr>
        <w:spacing w:line="560" w:lineRule="exact"/>
        <w:ind w:left="0" w:firstLine="560" w:firstLineChars="200"/>
        <w:rPr>
          <w:rFonts w:ascii="宋体" w:hAnsi="宋体" w:eastAsia="宋体"/>
          <w:sz w:val="28"/>
        </w:rPr>
      </w:pPr>
      <w:r>
        <w:rPr>
          <w:rFonts w:hint="eastAsia" w:ascii="宋体" w:hAnsi="宋体" w:eastAsia="宋体"/>
          <w:sz w:val="28"/>
        </w:rPr>
        <w:t>4、负责巩固拓展脱贫攻坚成果有关工作。牵头开展防止返贫监测和帮扶，组织拟订乡村振兴重点帮扶地区的帮扶政策，组织开展对口帮扶、定点帮扶、社会帮扶，会同有关部门组织实施过渡期内巩固拓展脱贫攻坚成果相关考核评估工作，研究提出县级财政衔接推进乡村振兴相关资金分配方案并指导、监督资金使用，推动乡村帮扶产业发展。承担农村低收入人口和欠发达地区常态化帮扶有关工作，构建长效帮扶机制。</w:t>
      </w:r>
    </w:p>
    <w:p w14:paraId="1872AE8E">
      <w:pPr>
        <w:spacing w:line="560" w:lineRule="exact"/>
        <w:ind w:left="0" w:firstLine="560" w:firstLineChars="200"/>
        <w:rPr>
          <w:rFonts w:ascii="宋体" w:hAnsi="宋体" w:eastAsia="宋体"/>
          <w:sz w:val="28"/>
        </w:rPr>
      </w:pPr>
      <w:r>
        <w:rPr>
          <w:rFonts w:hint="eastAsia" w:ascii="宋体" w:hAnsi="宋体" w:eastAsia="宋体"/>
          <w:sz w:val="28"/>
        </w:rPr>
        <w:t>5、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0B4C20A6">
      <w:pPr>
        <w:spacing w:line="560" w:lineRule="exact"/>
        <w:ind w:left="0" w:firstLine="560" w:firstLineChars="200"/>
        <w:rPr>
          <w:rFonts w:ascii="宋体" w:hAnsi="宋体" w:eastAsia="宋体"/>
          <w:sz w:val="28"/>
        </w:rPr>
      </w:pPr>
      <w:r>
        <w:rPr>
          <w:rFonts w:hint="eastAsia" w:ascii="宋体" w:hAnsi="宋体" w:eastAsia="宋体"/>
          <w:sz w:val="28"/>
        </w:rPr>
        <w:t>6、负责种植业、畜牧业、渔业、农垦、农业机械化等农业各产业的监督管理。指导粮食等农产品生产，推进构建多元化食物供给体系。组织构建现代农业产业体系、生产体系、经营体系、指导农业标准化生产。负责渔政渔港监督管理。</w:t>
      </w:r>
    </w:p>
    <w:p w14:paraId="7332CCDD">
      <w:pPr>
        <w:spacing w:line="560" w:lineRule="exact"/>
        <w:ind w:left="0" w:firstLine="560" w:firstLineChars="200"/>
        <w:rPr>
          <w:rFonts w:ascii="宋体" w:hAnsi="宋体" w:eastAsia="宋体"/>
          <w:sz w:val="28"/>
        </w:rPr>
      </w:pPr>
      <w:r>
        <w:rPr>
          <w:rFonts w:hint="eastAsia" w:ascii="宋体" w:hAnsi="宋体" w:eastAsia="宋体"/>
          <w:sz w:val="28"/>
        </w:rPr>
        <w:t>7、负责农产品质量安全监督管理。组织开展农产品质量安全监测、追溯、风险评估，发布有关农产品质量安全信息。贯彻执行农产品质量安全国家标准，参与制定农产品质量安全地方标准并会同有关部门组织实施。指导农业检验检测体系建设。</w:t>
      </w:r>
    </w:p>
    <w:p w14:paraId="472606A4">
      <w:pPr>
        <w:spacing w:line="560" w:lineRule="exact"/>
        <w:ind w:left="0" w:firstLine="560" w:firstLineChars="200"/>
        <w:rPr>
          <w:rFonts w:ascii="宋体" w:hAnsi="宋体" w:eastAsia="宋体"/>
          <w:sz w:val="28"/>
        </w:rPr>
      </w:pPr>
      <w:r>
        <w:rPr>
          <w:rFonts w:hint="eastAsia" w:ascii="宋体" w:hAnsi="宋体" w:eastAsia="宋体"/>
          <w:sz w:val="28"/>
        </w:rPr>
        <w:t>8、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p>
    <w:p w14:paraId="066E1C5C">
      <w:pPr>
        <w:spacing w:line="560" w:lineRule="exact"/>
        <w:ind w:left="0" w:firstLine="560" w:firstLineChars="200"/>
        <w:rPr>
          <w:rFonts w:ascii="宋体" w:hAnsi="宋体" w:eastAsia="宋体"/>
          <w:sz w:val="28"/>
        </w:rPr>
      </w:pPr>
      <w:r>
        <w:rPr>
          <w:rFonts w:hint="eastAsia" w:ascii="宋体" w:hAnsi="宋体" w:eastAsia="宋体"/>
          <w:sz w:val="28"/>
        </w:rPr>
        <w:t>9、负责有关农业生产资料和农业投入品的监督管理。 组织农业生产资料市场体系建设, 拟订有关农业生产资料地方标准并监督实施。拟订种业振兴政策并组织实施。贯彻执行农业生产资料、兽药质量、兽药残留限量和残留检测方法国家标准并监督实施。组织兽医医政、兽药药政药检工作, 负责执业兽医和畜禽屠宰行业管理。</w:t>
      </w:r>
    </w:p>
    <w:p w14:paraId="12EECBDA">
      <w:pPr>
        <w:spacing w:line="560" w:lineRule="exact"/>
        <w:ind w:left="0" w:firstLine="560" w:firstLineChars="200"/>
        <w:rPr>
          <w:rFonts w:ascii="宋体" w:hAnsi="宋体" w:eastAsia="宋体"/>
          <w:sz w:val="28"/>
        </w:rPr>
      </w:pPr>
      <w:r>
        <w:rPr>
          <w:rFonts w:hint="eastAsia" w:ascii="宋体" w:hAnsi="宋体" w:eastAsia="宋体"/>
          <w:sz w:val="28"/>
        </w:rPr>
        <w:t>10、负责农业防灾减灾、农作物重大病虫害防治工作。指导动植物防疫检疫体系建设, 组织、监督县内动植物防疫检疫工作,发布疫情并组织扑灭。</w:t>
      </w:r>
    </w:p>
    <w:p w14:paraId="34AE28BD">
      <w:pPr>
        <w:spacing w:line="560" w:lineRule="exact"/>
        <w:ind w:left="0" w:firstLine="560" w:firstLineChars="200"/>
        <w:rPr>
          <w:rFonts w:ascii="宋体" w:hAnsi="宋体" w:eastAsia="宋体"/>
          <w:sz w:val="28"/>
        </w:rPr>
      </w:pPr>
      <w:r>
        <w:rPr>
          <w:rFonts w:hint="eastAsia" w:ascii="宋体" w:hAnsi="宋体" w:eastAsia="宋体"/>
          <w:sz w:val="28"/>
        </w:rPr>
        <w:t>11、负责农业投资管理。提出农业投融资体制机制改革建议。编制相关农业投资项目建设规划,提出农业投资规模和方向、扶持农业农村发展财政项目的建议, 按规定权限审批农业投资项目,负责农业投资项目资金安排和监督管理。</w:t>
      </w:r>
    </w:p>
    <w:p w14:paraId="2954FF5D">
      <w:pPr>
        <w:spacing w:line="560" w:lineRule="exact"/>
        <w:ind w:left="0" w:firstLine="560" w:firstLineChars="200"/>
        <w:rPr>
          <w:rFonts w:ascii="宋体" w:hAnsi="宋体" w:eastAsia="宋体"/>
          <w:sz w:val="28"/>
        </w:rPr>
      </w:pPr>
      <w:r>
        <w:rPr>
          <w:rFonts w:hint="eastAsia" w:ascii="宋体" w:hAnsi="宋体" w:eastAsia="宋体"/>
          <w:sz w:val="28"/>
        </w:rPr>
        <w:t>12、推动农业农村科技体制改革和科技创新体系建设，指导农业产业技术体系和农技推广体系建设,会同有关部门组织开展农业领城的高新技术和应用技术研究、关键核心技术攻关、成果转化和技术推广。负责农业转基因生物安全监督管理和农业植物新品种保护。</w:t>
      </w:r>
    </w:p>
    <w:p w14:paraId="45996E65">
      <w:pPr>
        <w:spacing w:line="560" w:lineRule="exact"/>
        <w:ind w:left="0" w:firstLine="560" w:firstLineChars="200"/>
        <w:rPr>
          <w:rFonts w:ascii="宋体" w:hAnsi="宋体" w:eastAsia="宋体"/>
          <w:sz w:val="28"/>
        </w:rPr>
      </w:pPr>
      <w:r>
        <w:rPr>
          <w:rFonts w:hint="eastAsia" w:ascii="宋体" w:hAnsi="宋体" w:eastAsia="宋体"/>
          <w:sz w:val="28"/>
        </w:rPr>
        <w:t>13、指导农业农村人才工作。 拟订农业农村人才队伍建设规划并组织实施,指导农业教育和农业职业技能开发,指导高素质农民培育、农业科技人才培养和农村实用人才培训工作。</w:t>
      </w:r>
    </w:p>
    <w:p w14:paraId="0E0AC458">
      <w:pPr>
        <w:spacing w:line="560" w:lineRule="exact"/>
        <w:ind w:left="0" w:firstLine="560" w:firstLineChars="200"/>
        <w:rPr>
          <w:rFonts w:ascii="宋体" w:hAnsi="宋体" w:eastAsia="宋体"/>
          <w:sz w:val="28"/>
        </w:rPr>
      </w:pPr>
      <w:r>
        <w:rPr>
          <w:rFonts w:hint="eastAsia" w:ascii="宋体" w:hAnsi="宋体" w:eastAsia="宋体"/>
          <w:sz w:val="28"/>
        </w:rPr>
        <w:t>14、牵头开展农业对外合作工作。承办有关农业涉外事务,组织开展农业贸易促进和有关对外交流合作, 具体执行有关农业援外项目。</w:t>
      </w:r>
    </w:p>
    <w:p w14:paraId="7AB12E2E">
      <w:pPr>
        <w:spacing w:line="560" w:lineRule="exact"/>
        <w:ind w:left="0" w:firstLine="560" w:firstLineChars="200"/>
        <w:rPr>
          <w:rFonts w:ascii="宋体" w:hAnsi="宋体" w:eastAsia="宋体"/>
          <w:sz w:val="28"/>
        </w:rPr>
      </w:pPr>
      <w:r>
        <w:rPr>
          <w:rFonts w:hint="eastAsia" w:ascii="宋体" w:hAnsi="宋体" w:eastAsia="宋体"/>
          <w:sz w:val="28"/>
        </w:rPr>
        <w:t>15、负责全县黄花菜产业中长期发展规划、区域布局、无公害生产监管，地理标志、绿色认证呈报，并指导加工、流通、网络营销。</w:t>
      </w:r>
    </w:p>
    <w:p w14:paraId="477EBED2">
      <w:pPr>
        <w:spacing w:line="560" w:lineRule="exact"/>
        <w:ind w:left="0" w:firstLine="560" w:firstLineChars="200"/>
        <w:rPr>
          <w:rFonts w:ascii="宋体" w:hAnsi="宋体" w:eastAsia="宋体"/>
          <w:sz w:val="28"/>
        </w:rPr>
      </w:pPr>
      <w:r>
        <w:rPr>
          <w:rFonts w:hint="eastAsia" w:ascii="宋体" w:hAnsi="宋体" w:eastAsia="宋体"/>
          <w:sz w:val="28"/>
        </w:rPr>
        <w:t>16、负责本行业领域的应急管理工作，对本行业领域的安全生产工作实施监督管理。</w:t>
      </w:r>
    </w:p>
    <w:p w14:paraId="15BAC556">
      <w:pPr>
        <w:spacing w:line="560" w:lineRule="exact"/>
        <w:ind w:left="0" w:firstLine="560" w:firstLineChars="200"/>
        <w:rPr>
          <w:rFonts w:ascii="宋体" w:hAnsi="宋体" w:eastAsia="宋体"/>
          <w:sz w:val="28"/>
        </w:rPr>
      </w:pPr>
      <w:r>
        <w:rPr>
          <w:rFonts w:hint="eastAsia" w:ascii="宋体" w:hAnsi="宋体" w:eastAsia="宋体"/>
          <w:sz w:val="28"/>
        </w:rPr>
        <w:t>17、完成县委、县政府交办的其他任务</w:t>
      </w:r>
    </w:p>
    <w:p w14:paraId="3FEDD45B">
      <w:pPr>
        <w:spacing w:line="560" w:lineRule="exact"/>
        <w:ind w:left="0" w:firstLine="560" w:firstLineChars="200"/>
        <w:rPr>
          <w:rFonts w:ascii="宋体" w:hAnsi="宋体" w:eastAsia="宋体"/>
          <w:sz w:val="28"/>
        </w:rPr>
      </w:pPr>
      <w:r>
        <w:rPr>
          <w:rFonts w:hint="eastAsia" w:ascii="宋体" w:hAnsi="宋体" w:eastAsia="宋体"/>
          <w:sz w:val="28"/>
        </w:rPr>
        <w:t>（二）职能转变。</w:t>
      </w:r>
    </w:p>
    <w:p w14:paraId="57C4FDFD">
      <w:pPr>
        <w:spacing w:line="560" w:lineRule="exact"/>
        <w:ind w:left="0" w:firstLine="560" w:firstLineChars="200"/>
        <w:rPr>
          <w:rFonts w:ascii="宋体" w:hAnsi="宋体" w:eastAsia="宋体"/>
          <w:sz w:val="28"/>
        </w:rPr>
      </w:pPr>
      <w:r>
        <w:rPr>
          <w:rFonts w:hint="eastAsia" w:ascii="宋体" w:hAnsi="宋体" w:eastAsia="宋体"/>
          <w:sz w:val="28"/>
        </w:rPr>
        <w:t>县农业农村局要紧紧围绕统筹抓好以乡村振兴为重心的"三农"各项工作, 加快建设农业强县。</w:t>
      </w:r>
    </w:p>
    <w:p w14:paraId="185DCEC2">
      <w:pPr>
        <w:spacing w:line="560" w:lineRule="exact"/>
        <w:ind w:left="0" w:firstLine="560" w:firstLineChars="200"/>
        <w:rPr>
          <w:rFonts w:ascii="宋体" w:hAnsi="宋体" w:eastAsia="宋体"/>
          <w:sz w:val="28"/>
        </w:rPr>
      </w:pPr>
      <w:r>
        <w:rPr>
          <w:rFonts w:hint="eastAsia" w:ascii="宋体" w:hAnsi="宋体" w:eastAsia="宋体"/>
          <w:sz w:val="28"/>
        </w:rPr>
        <w:t>1、推动实现巩固拓展脱贫攻坚成果同乡村振兴有效衔接, 持续压实各方责任, 过渡期内保持有关帮扶政策、财政支持、项目安排总体稳定,项目资金相对独立运行管理，增强脱贫地区和脱贫群众内生发展动力, 坚决守住不发生规模性返贫的底线。</w:t>
      </w:r>
    </w:p>
    <w:p w14:paraId="4B615A49">
      <w:pPr>
        <w:spacing w:line="560" w:lineRule="exact"/>
        <w:ind w:left="0" w:firstLine="560" w:firstLineChars="200"/>
        <w:rPr>
          <w:rFonts w:ascii="宋体" w:hAnsi="宋体" w:eastAsia="宋体"/>
          <w:sz w:val="28"/>
        </w:rPr>
      </w:pPr>
      <w:r>
        <w:rPr>
          <w:rFonts w:hint="eastAsia" w:ascii="宋体" w:hAnsi="宋体" w:eastAsia="宋体"/>
          <w:sz w:val="28"/>
        </w:rPr>
        <w:t>2、加强对全县乡村振兴促进工作的统筹协调、宏观指导和监督检查。扎实推进乡村发展、乡村建设、乡村治理，深化农业供给侧结构性改革，提升农业发展质量，推动农村产权规范流转和交易,推动返乡创业,建设宜居宜业和美乡村，拓宽农民增收致富渠道,推动实现共同富裕，推动农业全面升级、农村全面进步、农民全面发展,加快实现农业农村现代化。</w:t>
      </w:r>
    </w:p>
    <w:p w14:paraId="3F8041F1">
      <w:pPr>
        <w:spacing w:line="560" w:lineRule="exact"/>
        <w:ind w:left="0" w:firstLine="560" w:firstLineChars="200"/>
        <w:rPr>
          <w:rFonts w:ascii="宋体" w:hAnsi="宋体" w:eastAsia="宋体"/>
          <w:sz w:val="28"/>
        </w:rPr>
      </w:pPr>
      <w:r>
        <w:rPr>
          <w:rFonts w:hint="eastAsia" w:ascii="宋体" w:hAnsi="宋体" w:eastAsia="宋体"/>
          <w:sz w:val="28"/>
        </w:rPr>
        <w:t>3、统筹推进全方位夯实粮食安全根基,落实藏粮于地、藏粮于技战略,加强耕地种植用途管控,落实耕地利用优先序,树立大食物观,推进构建多元化食物供给体系,推动农村一二三产业融合发展,促进乡村产业全链条升级,实现农产品保数量、保质量、保多样, 保障食物供给安全。</w:t>
      </w:r>
    </w:p>
    <w:p w14:paraId="108FFD44">
      <w:pPr>
        <w:spacing w:line="560" w:lineRule="exact"/>
        <w:ind w:left="0" w:firstLine="560" w:firstLineChars="200"/>
        <w:rPr>
          <w:rFonts w:ascii="宋体" w:hAnsi="宋体" w:eastAsia="宋体"/>
          <w:sz w:val="28"/>
        </w:rPr>
      </w:pPr>
      <w:r>
        <w:rPr>
          <w:rFonts w:hint="eastAsia" w:ascii="宋体" w:hAnsi="宋体" w:eastAsia="宋体"/>
          <w:sz w:val="28"/>
        </w:rPr>
        <w:t>4、加快农业科技成果转化，推动创新链产业链资金链人才链融合、产业体系创新体系融汇、农科教产学研融通，打造种业创新高地、加强智慧智能农机装备推广应用,提升科技进步对农业的贡献率。</w:t>
      </w:r>
    </w:p>
    <w:p w14:paraId="1DA642F3">
      <w:pPr>
        <w:spacing w:line="560" w:lineRule="exact"/>
        <w:ind w:left="0" w:firstLine="560" w:firstLineChars="200"/>
        <w:rPr>
          <w:rFonts w:ascii="宋体" w:hAnsi="宋体" w:eastAsia="宋体"/>
          <w:sz w:val="28"/>
        </w:rPr>
      </w:pPr>
      <w:r>
        <w:rPr>
          <w:rFonts w:hint="eastAsia" w:ascii="宋体" w:hAnsi="宋体" w:eastAsia="宋体"/>
          <w:sz w:val="28"/>
        </w:rPr>
        <w:t>5、加强对农产品质量安全和相关农业生产资料、农业投入品的监督管理, 推动绿色、有机等优质农产品发展，建立地理标志农产品协同保护和产业培育体系,坚持最严谨的标准、最严格的监管、最严厉的处罚、最严肃的问责,严防、严管、严控质量安全风险。</w:t>
      </w:r>
    </w:p>
    <w:p w14:paraId="6CF1649A">
      <w:pPr>
        <w:spacing w:line="560" w:lineRule="exact"/>
        <w:ind w:left="0" w:firstLine="560" w:firstLineChars="200"/>
        <w:rPr>
          <w:rFonts w:ascii="宋体" w:hAnsi="宋体" w:eastAsia="宋体"/>
          <w:sz w:val="28"/>
        </w:rPr>
      </w:pPr>
      <w:r>
        <w:rPr>
          <w:rFonts w:hint="eastAsia" w:ascii="宋体" w:hAnsi="宋体" w:eastAsia="宋体"/>
          <w:sz w:val="28"/>
        </w:rPr>
        <w:t>（三）有关职责分工。</w:t>
      </w:r>
    </w:p>
    <w:p w14:paraId="4D85A90E">
      <w:pPr>
        <w:spacing w:line="560" w:lineRule="exact"/>
        <w:ind w:left="0" w:firstLine="560" w:firstLineChars="200"/>
        <w:rPr>
          <w:rFonts w:ascii="宋体" w:hAnsi="宋体" w:eastAsia="宋体"/>
          <w:sz w:val="28"/>
        </w:rPr>
      </w:pPr>
      <w:r>
        <w:rPr>
          <w:rFonts w:hint="eastAsia" w:ascii="宋体" w:hAnsi="宋体" w:eastAsia="宋体"/>
          <w:sz w:val="28"/>
        </w:rPr>
        <w:t>1、与县市场监督管理局有关职责分工。(1).县农业农村局负责食用农产品从种植养殖环节到进入批发、零售市场或生产加工企业前的质量安全监督管理。食用农产品进入批发、零售市场或生产加工企业后,由县市场监督管理局监督管理。(2).县农业农村局负责动植物疫病防控、畜禽屠宰环节、生鲜乳收购环节质量安全的监督管理。(3).两部门建立食品安全产地准出、市场准入和追溯机制,加强协调配合和工作衔接形成监管合力。</w:t>
      </w:r>
    </w:p>
    <w:p w14:paraId="7B50791C">
      <w:pPr>
        <w:spacing w:line="560" w:lineRule="exact"/>
        <w:ind w:left="0" w:firstLine="560" w:firstLineChars="200"/>
        <w:rPr>
          <w:rFonts w:ascii="宋体" w:hAnsi="宋体" w:eastAsia="宋体"/>
          <w:sz w:val="28"/>
        </w:rPr>
      </w:pPr>
      <w:r>
        <w:rPr>
          <w:rFonts w:hint="eastAsia" w:ascii="宋体" w:hAnsi="宋体" w:eastAsia="宋体"/>
          <w:sz w:val="28"/>
        </w:rPr>
        <w:t>2、与县商务和粮食局有关职责分工。(1).县农业农村局负责粮食生产环节的质量安全监管，切实担负起粮食从生产环节到进入批发、零售市场或生产加工企业前的质量安全监督管理职责。县商务和粮食局负责粮食（含食用油）收购、储蓄、运输环节和政策性用粮购销活动中的粮食质量安全和原粮卫生的监督管理。</w:t>
      </w:r>
    </w:p>
    <w:p w14:paraId="7CFFA46A">
      <w:pPr>
        <w:spacing w:line="560" w:lineRule="exact"/>
        <w:ind w:left="0" w:firstLine="560" w:firstLineChars="200"/>
        <w:rPr>
          <w:rFonts w:ascii="宋体" w:hAnsi="宋体" w:eastAsia="宋体"/>
          <w:sz w:val="28"/>
        </w:rPr>
      </w:pPr>
      <w:r>
        <w:rPr>
          <w:rFonts w:hint="eastAsia" w:ascii="宋体" w:hAnsi="宋体" w:eastAsia="宋体"/>
          <w:sz w:val="28"/>
        </w:rPr>
        <w:t>3、与自然资源局有关职责分工：农业农村局负责农村宅基地管理、改革、利用、调查、监管工作，负责农村村民未经批准或者采取欺骗手段批准，非法占用土地建住宅行为的查处；负责因开发土地造成土地荒漠化、盐渍化的处罚。负责基本农田“非粮化”、耕地抛荒等问题整治责任。县自然资源局负责农民宅基地农转用、规划、房地一体办证工作，负责耕地“非农化”工作，负责对非法占用耕地建窑、建坟或者擅自在耕地上建房、挖砂、采石、采矿、取土等破坏种植条件的查处。</w:t>
      </w:r>
    </w:p>
    <w:p w14:paraId="26DF852A">
      <w:pPr>
        <w:spacing w:line="560" w:lineRule="exact"/>
        <w:ind w:left="0" w:firstLine="560" w:firstLineChars="200"/>
        <w:rPr>
          <w:rFonts w:ascii="宋体" w:hAnsi="宋体" w:eastAsia="宋体"/>
          <w:sz w:val="28"/>
        </w:rPr>
      </w:pPr>
      <w:r>
        <w:rPr>
          <w:rFonts w:hint="eastAsia" w:ascii="宋体" w:hAnsi="宋体" w:eastAsia="宋体"/>
          <w:sz w:val="28"/>
        </w:rPr>
        <w:t>（四）机构设置和人员编制情况</w:t>
      </w:r>
    </w:p>
    <w:p w14:paraId="47D01D9A">
      <w:pPr>
        <w:spacing w:line="560" w:lineRule="exact"/>
        <w:ind w:left="0" w:firstLine="560" w:firstLineChars="200"/>
        <w:rPr>
          <w:rFonts w:ascii="宋体" w:hAnsi="宋体" w:eastAsia="宋体"/>
          <w:b/>
          <w:sz w:val="28"/>
        </w:rPr>
      </w:pPr>
      <w:r>
        <w:rPr>
          <w:rFonts w:hint="eastAsia" w:ascii="宋体" w:hAnsi="宋体" w:eastAsia="宋体"/>
          <w:sz w:val="28"/>
        </w:rPr>
        <w:t>祁东县农业农村局机关是正科级全额拨款公务员单位，22个内设机构：办公室、人事股、法规股、农村政策改革与合作经济指导股、发展规划股、计划财务股、粮油作物股 (农药管理股)、经济作物股、畜牧兽医股、渔业渔政管理股、乡村产业发展股（农产品加工指导股）、乡村建设股、农村社会事业促进股、帮扶股、监督检查股、市场与对外交流合作股科技教育股（农业转基因生物安全管理办公室）、农业资源保护与利用股、种业管理股、农田建设与农垦股。</w:t>
      </w:r>
    </w:p>
    <w:p w14:paraId="312D8FC9">
      <w:pPr>
        <w:spacing w:line="560" w:lineRule="exact"/>
        <w:ind w:left="0" w:firstLine="560" w:firstLineChars="200"/>
        <w:rPr>
          <w:rFonts w:ascii="宋体" w:hAnsi="宋体" w:eastAsia="宋体"/>
          <w:sz w:val="28"/>
        </w:rPr>
      </w:pPr>
      <w:r>
        <w:rPr>
          <w:rFonts w:hint="eastAsia" w:ascii="宋体" w:hAnsi="宋体" w:eastAsia="宋体"/>
          <w:sz w:val="28"/>
        </w:rPr>
        <w:t>祁东县农业农村局机关行政编制32名。设局长1名，副局长3名；正股级职数22名（含总农艺师、县委农办秘书股股长）。</w:t>
      </w:r>
    </w:p>
    <w:p w14:paraId="177E4BF3">
      <w:pPr>
        <w:spacing w:line="560" w:lineRule="exact"/>
        <w:ind w:left="0" w:firstLine="560" w:firstLineChars="200"/>
        <w:rPr>
          <w:rFonts w:ascii="宋体" w:hAnsi="宋体" w:eastAsia="宋体"/>
          <w:sz w:val="28"/>
        </w:rPr>
      </w:pPr>
      <w:r>
        <w:rPr>
          <w:rFonts w:hint="eastAsia" w:ascii="宋体" w:hAnsi="宋体" w:eastAsia="宋体"/>
          <w:sz w:val="28"/>
        </w:rPr>
        <w:t>（五）2024年度重点工作计划</w:t>
      </w:r>
    </w:p>
    <w:p w14:paraId="54379566">
      <w:pPr>
        <w:spacing w:line="560" w:lineRule="exact"/>
        <w:ind w:left="0" w:firstLine="560" w:firstLineChars="200"/>
        <w:rPr>
          <w:rFonts w:ascii="宋体" w:hAnsi="宋体" w:eastAsia="宋体"/>
          <w:sz w:val="28"/>
        </w:rPr>
      </w:pPr>
      <w:r>
        <w:rPr>
          <w:rFonts w:hint="eastAsia" w:ascii="宋体" w:hAnsi="宋体" w:eastAsia="宋体"/>
          <w:sz w:val="28"/>
        </w:rPr>
        <w:t>1、找准一个定位。祁东作为传统农业大县，农业大而不强、多而不优的问题依旧比较突出，今后一段时期，我们将立足资源禀赋和基础优势，始终坚持以产业振兴为核心基础，以发展现代化大农业为主攻方向，全力扩大农业农村有效投资，加快促进一二三产业融合，不断丰富农业产业的。品种和数量，全面补强农业产业链条，提升农业新质生产力，探索发展乡村旅游经济，持续拓展农民增收渠道，奋力实现我县从农业大县到农业强县的蝶变。</w:t>
      </w:r>
    </w:p>
    <w:p w14:paraId="2E0F8324">
      <w:pPr>
        <w:spacing w:line="560" w:lineRule="exact"/>
        <w:ind w:left="0" w:firstLine="560" w:firstLineChars="200"/>
        <w:rPr>
          <w:rFonts w:ascii="宋体" w:hAnsi="宋体" w:eastAsia="宋体"/>
          <w:sz w:val="28"/>
        </w:rPr>
      </w:pPr>
      <w:r>
        <w:rPr>
          <w:rFonts w:hint="eastAsia" w:ascii="宋体" w:hAnsi="宋体" w:eastAsia="宋体"/>
          <w:sz w:val="28"/>
        </w:rPr>
        <w:t>2、明确两个目标。一是建设农业强县。锚定建设农业强县的目标任务，以实施乡村振兴战略为总抓手，坚持不懈夯实农业基础，加快农业机械化、科技化、产业化、信息化、绿色化“五化”建设，真正把重农、强农、兴农、富农的责任扛在肩上、抓在手上，奋力开创祁东“三农”工作新局面。二是全面创先争优。在省委、省政府真抓实干督查激励措施的实施上持续发力，力争综合绩效考核整体创优；同时，对照省市巩固拓展脱贫攻坚成果同乡村振兴有效衔接年度考核指标，突出重点，抓好亮点，补强短板，确保实现各项指标进步进位。</w:t>
      </w:r>
    </w:p>
    <w:p w14:paraId="09828D16">
      <w:pPr>
        <w:spacing w:line="560" w:lineRule="exact"/>
        <w:ind w:left="0" w:firstLine="560" w:firstLineChars="200"/>
        <w:rPr>
          <w:rFonts w:ascii="宋体" w:hAnsi="宋体" w:eastAsia="宋体"/>
          <w:sz w:val="28"/>
        </w:rPr>
      </w:pPr>
      <w:r>
        <w:rPr>
          <w:rFonts w:hint="eastAsia" w:ascii="宋体" w:hAnsi="宋体" w:eastAsia="宋体"/>
          <w:sz w:val="28"/>
        </w:rPr>
        <w:t>3、体现三个抓手。首先是抓学习。坚决落实上级党委、监委要求，把党建和廉政建设等政治学习抓到实处，坚持周五专项学习制度，提升全体干部职工的防腐拒变能力和党品下部志率作用，其次是抓作风，进一步建立健全机关管理制度，做到用制度管人管事。再就是抓绩效。持续健全行之有效的干部职工绩效考核体系，用具体指标说话，用实绩评结果，逐步提高干部职工的凝聚力和积极性。</w:t>
      </w:r>
    </w:p>
    <w:p w14:paraId="7C76AB58">
      <w:pPr>
        <w:spacing w:line="560" w:lineRule="exact"/>
        <w:ind w:left="0" w:firstLine="560" w:firstLineChars="200"/>
        <w:rPr>
          <w:rFonts w:ascii="宋体" w:hAnsi="宋体" w:eastAsia="宋体"/>
          <w:sz w:val="28"/>
        </w:rPr>
      </w:pPr>
      <w:r>
        <w:rPr>
          <w:rFonts w:hint="eastAsia" w:ascii="宋体" w:hAnsi="宋体" w:eastAsia="宋体"/>
          <w:sz w:val="28"/>
        </w:rPr>
        <w:t>4、开展四大行动。一是开展能力提升行动。实行“走出去与请进来”相结合的方式，深入学习内外先进典型、知识和做法，不断提升全局干部职工的业务能力和业务知识水平，从根源上解决能力不足的问题。二是开展产业提升行动。充分发挥县域农业产业资源禀赋，坚持扬优势、补短板、强实效的原则，重点支持壮大祁东黄花菜、中秋酥脆枣、商品蔬菜等具</w:t>
      </w:r>
      <w:bookmarkStart w:id="0" w:name="_GoBack"/>
      <w:bookmarkEnd w:id="0"/>
      <w:r>
        <w:rPr>
          <w:rFonts w:hint="eastAsia" w:ascii="宋体" w:hAnsi="宋体" w:eastAsia="宋体"/>
          <w:sz w:val="28"/>
        </w:rPr>
        <w:t>有祁东特色的产业，培育一批种苗、特色养殖、鱼苗孵化等新型农业产业企业，打造优势农业产业带。三是开展人居环境提升行动。以农村人居环境大整治大提升行动为抓手，严格落实“六大任务”，坚决抓好“四房一残”“三清一改”“厕所革命”等重点工作。同时，按照“以点带面、以线串面、形成闭环”工作思路，打造精品村、示范村，推进和美乡村建设。四是开展农产品质量提升行动。坚决扛牢农产品质量安全的政治责任，以“六个一”为抓手，严守农产品质量安全关，继续巩固国家农产品质量安全县地位，确保不发生大的农产品质量安全事故。</w:t>
      </w:r>
    </w:p>
    <w:p w14:paraId="7E8E05FF">
      <w:pPr>
        <w:spacing w:line="560" w:lineRule="exact"/>
        <w:ind w:left="0" w:firstLine="560" w:firstLineChars="200"/>
        <w:rPr>
          <w:rFonts w:ascii="宋体" w:hAnsi="宋体" w:eastAsia="宋体"/>
          <w:sz w:val="28"/>
        </w:rPr>
      </w:pPr>
      <w:r>
        <w:rPr>
          <w:rFonts w:hint="eastAsia" w:ascii="宋体" w:hAnsi="宋体" w:eastAsia="宋体"/>
          <w:sz w:val="28"/>
        </w:rPr>
        <w:t>5、守牢五条底线。一是守牢粮食安全底线。坚决扛牢粮食安全政治责任，落实耕地地力保护补贴、水稻种植大户奖补、撂荒耕地复耕补贴等惠农政策，千方百计扩大粮食生产面积，优化结构，大力推进高标农田建设，确保完成粮食生产年度任务。同时，认真履行耕地保护责任，切实加强监管执法力度，严格耕地用途管制，坚决遏制耕地“非农化”“非粮化”现象。二是守牢不发生规模性返贫底线。严格落实“守底线、增动力、促振兴”要求，不断健全防止返贫动态监测和帮扶机制，依托市场机制提高产业发展的可持续性，通过加强技能培训、支持返乡创业、引导就近就业等途径，促进脱贫人口稳岗就业，牢牢守住不发生规模性返贫底线。三是守牢安全生产底线。重点抓好农机、养殖等农业生产领域安全生产，确保不发生大的安全生产事故。坚守秋冬动物防疫关、农作物病虫害和重大外来生物防控关，严格落实好“两场保护”和“两项制度”等措施，做好应急预案，确保不发生重大动植物疫情。四是守牢农业环保底线。积极探索农业产业循环发展模式，逐步减少化肥和农药的使用，提高农业资源的利用效率。进一步加大畜禽规模养殖污染防治和水产品尾水治理力度，全面促进农业绿色持续发展。五是守牢清正廉洁底线。深入开展“三湘护农”专项行动，以纠治群众身边腐败和不正之风为抓手，全力推进我县农村集体“三资”管理，全面做好“村社分账”工作，严格规范资产管理。同时，进一步完善涉农项目资金审批分配机制，坚决杜绝优亲厚友、以权谋私、利益输送等问题发生，切实增强人民群众的获得感、幸福感、安全感。</w:t>
      </w:r>
    </w:p>
    <w:p w14:paraId="7D86C327">
      <w:pPr>
        <w:spacing w:line="560" w:lineRule="exact"/>
        <w:ind w:left="0" w:firstLine="562" w:firstLineChars="200"/>
        <w:rPr>
          <w:rFonts w:ascii="宋体" w:hAnsi="宋体" w:eastAsia="宋体"/>
          <w:b/>
          <w:sz w:val="28"/>
        </w:rPr>
      </w:pPr>
      <w:r>
        <w:rPr>
          <w:rFonts w:hint="eastAsia" w:ascii="宋体" w:hAnsi="宋体" w:eastAsia="宋体"/>
          <w:b/>
          <w:sz w:val="28"/>
        </w:rPr>
        <w:t>二、一般公共预算支出情况</w:t>
      </w:r>
    </w:p>
    <w:p w14:paraId="2902580D">
      <w:pPr>
        <w:spacing w:line="560" w:lineRule="exact"/>
        <w:ind w:left="0" w:firstLine="560" w:firstLineChars="200"/>
        <w:rPr>
          <w:rFonts w:ascii="宋体" w:hAnsi="宋体" w:eastAsia="宋体"/>
          <w:sz w:val="28"/>
        </w:rPr>
      </w:pPr>
      <w:r>
        <w:rPr>
          <w:rFonts w:hint="eastAsia" w:ascii="宋体" w:hAnsi="宋体" w:eastAsia="宋体"/>
          <w:sz w:val="28"/>
        </w:rPr>
        <w:t>本年收入合计15642.62万元，其中：一般公共预算财政拨款收入15395.44万元，占比98.42%；政府性基金预算财政拨款收入225.41万元，占比1.44%；其他收入21.78万元，占比0.14%。本年支出合计15642.62万元，其中。</w:t>
      </w:r>
    </w:p>
    <w:p w14:paraId="4AD46ACD">
      <w:pPr>
        <w:spacing w:line="560" w:lineRule="exact"/>
        <w:ind w:left="0" w:firstLine="560" w:firstLineChars="200"/>
        <w:rPr>
          <w:rFonts w:ascii="宋体" w:hAnsi="宋体" w:eastAsia="宋体"/>
          <w:sz w:val="28"/>
        </w:rPr>
      </w:pPr>
      <w:r>
        <w:rPr>
          <w:rFonts w:hint="eastAsia" w:ascii="宋体" w:hAnsi="宋体" w:eastAsia="宋体"/>
          <w:sz w:val="28"/>
        </w:rPr>
        <w:t>主要内容和涉及范围：人员经费包括基本工资、津贴补贴、奖金、社会保障缴费、退休费生活补助、住房公积金等；日常公用经费包括办公费、差旅费、培训费、公务接待费、劳务费、工会经费、福利费、公务用车运行维护费、其他交通费用、其他商品和服务支出等；项目支出主要包括办公费、印刷费、邮电费、差旅费、维修（护）费、会议费、培训费、公务接待费、劳务费、委托业务费、公务用车运行维护费、其他交通费、其他商品和服务支出、办公设备购置。涉及人员经费、保障基本运转、开展各项专项业务工作、精准扶贫、乡村振兴、党建所发生的全部支出。</w:t>
      </w:r>
    </w:p>
    <w:p w14:paraId="0C4BB6B6">
      <w:pPr>
        <w:spacing w:line="560" w:lineRule="exact"/>
        <w:ind w:left="0" w:firstLine="562" w:firstLineChars="200"/>
        <w:rPr>
          <w:rFonts w:ascii="宋体" w:hAnsi="宋体" w:eastAsia="宋体"/>
          <w:b/>
          <w:sz w:val="28"/>
        </w:rPr>
      </w:pPr>
      <w:r>
        <w:rPr>
          <w:rFonts w:hint="eastAsia" w:ascii="宋体" w:hAnsi="宋体" w:eastAsia="宋体"/>
          <w:b/>
          <w:sz w:val="28"/>
        </w:rPr>
        <w:t>（一）基本支出情况</w:t>
      </w:r>
    </w:p>
    <w:p w14:paraId="0DD43C27">
      <w:pPr>
        <w:spacing w:line="560" w:lineRule="exact"/>
        <w:ind w:left="0" w:firstLine="560" w:firstLineChars="200"/>
        <w:rPr>
          <w:rFonts w:ascii="宋体" w:hAnsi="宋体" w:eastAsia="宋体"/>
          <w:sz w:val="28"/>
        </w:rPr>
      </w:pPr>
      <w:r>
        <w:rPr>
          <w:rFonts w:hint="eastAsia" w:ascii="宋体" w:hAnsi="宋体" w:eastAsia="宋体"/>
          <w:sz w:val="28"/>
        </w:rPr>
        <w:t>1、实际整体收支情况</w:t>
      </w:r>
    </w:p>
    <w:p w14:paraId="3ECE2C33">
      <w:pPr>
        <w:spacing w:line="560" w:lineRule="exact"/>
        <w:ind w:left="0" w:firstLine="560" w:firstLineChars="200"/>
        <w:rPr>
          <w:rFonts w:ascii="宋体" w:hAnsi="宋体" w:eastAsia="宋体"/>
          <w:sz w:val="28"/>
        </w:rPr>
      </w:pPr>
      <w:r>
        <w:rPr>
          <w:rFonts w:hint="eastAsia" w:ascii="宋体" w:hAnsi="宋体" w:eastAsia="宋体"/>
          <w:sz w:val="28"/>
        </w:rPr>
        <w:t>2024年度收、支总计15642.62万元。与上年相比减少5009.03万元，下降24.25%，主要是因为：退休、异动等人员经费、专项资金减少。</w:t>
      </w:r>
    </w:p>
    <w:p w14:paraId="254EE8EA">
      <w:pPr>
        <w:spacing w:line="560" w:lineRule="exact"/>
        <w:ind w:left="0" w:firstLine="560" w:firstLineChars="200"/>
        <w:rPr>
          <w:rFonts w:ascii="宋体" w:hAnsi="宋体" w:eastAsia="宋体"/>
          <w:sz w:val="28"/>
        </w:rPr>
      </w:pPr>
      <w:r>
        <w:rPr>
          <w:rFonts w:hint="eastAsia" w:ascii="宋体" w:hAnsi="宋体" w:eastAsia="宋体"/>
          <w:sz w:val="28"/>
        </w:rPr>
        <w:t>2024年度财政拨款基本支出1661.61万元，其中：人员经费1471.61万元，占基本支出的88.57%,主要包括本工资、津贴补贴、奖金、伙食补助费、机关事业单位基本养老保险缴费、职工基本医疗保险缴费、其他社会保障缴费、住房公积金、其他工资福利支出、抚恤金、生活补助、医疗费补助、奖励金；公用经费189.99万元，占基本支出的11.43%,主要包括办公费、印刷费、水费、电费、邮电费、差旅费、维修（护）费、公务接待费、劳务费、委托业务费、工会经费、福利费、其他交通费用、其他商品和服务支出、办公设备购置。</w:t>
      </w:r>
    </w:p>
    <w:p w14:paraId="0F143697">
      <w:pPr>
        <w:spacing w:line="560" w:lineRule="exact"/>
        <w:ind w:left="0" w:firstLine="560" w:firstLineChars="200"/>
        <w:rPr>
          <w:rFonts w:ascii="宋体" w:hAnsi="宋体" w:eastAsia="宋体"/>
          <w:sz w:val="28"/>
        </w:rPr>
      </w:pPr>
      <w:r>
        <w:rPr>
          <w:rFonts w:hint="eastAsia" w:ascii="宋体" w:hAnsi="宋体" w:eastAsia="宋体"/>
          <w:sz w:val="28"/>
        </w:rPr>
        <w:t>2、“三公”经费总支出情况</w:t>
      </w:r>
    </w:p>
    <w:p w14:paraId="79D8E667">
      <w:pPr>
        <w:spacing w:line="560" w:lineRule="exact"/>
        <w:ind w:left="0" w:firstLine="560" w:firstLineChars="200"/>
        <w:rPr>
          <w:rFonts w:ascii="宋体" w:hAnsi="宋体" w:eastAsia="宋体"/>
          <w:sz w:val="28"/>
        </w:rPr>
      </w:pPr>
      <w:r>
        <w:rPr>
          <w:rFonts w:hint="eastAsia" w:ascii="宋体" w:hAnsi="宋体" w:eastAsia="宋体"/>
          <w:sz w:val="28"/>
        </w:rPr>
        <w:t>2024年“三公”经费预算为—万元，支出为—万元，比预算节约0万元。其中：“因公出国（境）费预算数0.00万元，支出0.00万元、公务用车购置及运行维护费预算数0.00万元，支出0.00万元、公务接待费预算数2.25万元，支出2.25万元。“三公”经费相关数据统计：国内公务接待批次113个，国内公务接待人次564人。</w:t>
      </w:r>
    </w:p>
    <w:p w14:paraId="020D3C00">
      <w:pPr>
        <w:spacing w:line="560" w:lineRule="exact"/>
        <w:ind w:left="0" w:firstLine="562" w:firstLineChars="200"/>
        <w:rPr>
          <w:rFonts w:ascii="宋体" w:hAnsi="宋体" w:eastAsia="宋体"/>
          <w:b/>
          <w:sz w:val="28"/>
        </w:rPr>
      </w:pPr>
      <w:r>
        <w:rPr>
          <w:rFonts w:hint="eastAsia" w:ascii="宋体" w:hAnsi="宋体" w:eastAsia="宋体"/>
          <w:b/>
          <w:sz w:val="28"/>
        </w:rPr>
        <w:t>（二）项目支出</w:t>
      </w:r>
    </w:p>
    <w:p w14:paraId="077C7E99">
      <w:pPr>
        <w:spacing w:line="560" w:lineRule="exact"/>
        <w:ind w:left="0" w:firstLine="560" w:firstLineChars="200"/>
        <w:rPr>
          <w:rFonts w:ascii="宋体" w:hAnsi="宋体" w:eastAsia="宋体"/>
          <w:sz w:val="28"/>
        </w:rPr>
      </w:pPr>
      <w:r>
        <w:rPr>
          <w:rFonts w:hint="eastAsia" w:ascii="宋体" w:hAnsi="宋体" w:eastAsia="宋体"/>
          <w:sz w:val="28"/>
        </w:rPr>
        <w:t>1、项目资金安排、使用</w:t>
      </w:r>
    </w:p>
    <w:p w14:paraId="3F0970DF">
      <w:pPr>
        <w:spacing w:line="560" w:lineRule="exact"/>
        <w:ind w:left="0" w:firstLine="560" w:firstLineChars="200"/>
        <w:rPr>
          <w:rFonts w:ascii="宋体" w:hAnsi="宋体" w:eastAsia="宋体"/>
          <w:sz w:val="28"/>
        </w:rPr>
      </w:pPr>
      <w:r>
        <w:rPr>
          <w:rFonts w:hint="eastAsia" w:ascii="宋体" w:hAnsi="宋体" w:eastAsia="宋体"/>
          <w:sz w:val="28"/>
        </w:rPr>
        <w:t>2024年度项目资金收入支出合计13950.43万元，其中：县级专项资金73万元，上级专项资金13877.43万元，主要项目包括：湖南省耕地土壤与农产品重金属污染加密调查资金</w:t>
      </w:r>
      <w:r>
        <w:rPr>
          <w:rFonts w:ascii="宋体" w:hAnsi="宋体" w:eastAsia="宋体"/>
          <w:sz w:val="28"/>
        </w:rPr>
        <w:t>6534.64</w:t>
      </w:r>
      <w:r>
        <w:rPr>
          <w:rFonts w:hint="eastAsia" w:ascii="宋体" w:hAnsi="宋体" w:eastAsia="宋体"/>
          <w:sz w:val="28"/>
        </w:rPr>
        <w:t>万元、高素质农民培训资金112万元、植保防疫防控补助资金125.9万元、农药安全监管资金5.46万元、中央植物疫情防控资金204.43万元、耕地轮作休耕试点资金440.55万元、现代农业产业园创建资金487.15万元、农业资源及生态保护补助资金322.81万元、耕地保护与地力提升和化肥减量增效资金26.37万元、产油大县奖励资金704.33万元、财政衔接推进乡村振兴补助资金478.8万元、生猪调出大县奖励资金517万元、2022年中央成品油价格调整对渔业补助和渔业增殖放流资金7.17万元、第三次全国土壤普查招标代理费101.9万元、粮食生产专项资金20.22万元、烟办工作经费70.13万元、粮食生产工作经费30.07万元、现代农业产业技术体系建设资金10万元、执法监管资金1.4万元、农业生态环境监测与保护资金15.07万元、双季稻轮作补助资金267万元、大豆玉米复合种植补助资金129.82万元、中央粮改结构调整试点项目资金150万元、双季稻高质高效示范片补助资金795.16万元、生猪良种补贴100万元、蔬菜优势特色产业集群340万元、中央耕地地力保护补贴资金7.46万元、市级农业产业发展专项资金44万元、优级农产品品牌补助0.68万元、产油大县奖励资金4.66万元、2023年中央成品油价格调整对渔业补助资金（第二批）40万元、新增粮食生产能力田间工程项目资金420万元、粮食生产奖补资金60万元、农业专项资金15.63万元、地理标志农产品保护与农产品绿色有机品牌认证资金7万元、新增粮食生产能力田间工程项目资金444.98万元、农村人居环境整治常态化保洁工作经费9.55万元、棉花目标价格补贴612.82万元、有机肥替代化肥试点项目31万元、产粮大县奖励资金242万元、其他经费17.93万元。</w:t>
      </w:r>
    </w:p>
    <w:p w14:paraId="74934D86">
      <w:pPr>
        <w:spacing w:line="560" w:lineRule="exact"/>
        <w:ind w:left="0" w:firstLine="560" w:firstLineChars="200"/>
        <w:rPr>
          <w:rFonts w:ascii="宋体" w:hAnsi="宋体" w:eastAsia="宋体"/>
          <w:sz w:val="28"/>
        </w:rPr>
      </w:pPr>
      <w:r>
        <w:rPr>
          <w:rFonts w:hint="eastAsia" w:ascii="宋体" w:hAnsi="宋体" w:eastAsia="宋体"/>
          <w:sz w:val="28"/>
        </w:rPr>
        <w:t>2、项目资金管理、组织实施</w:t>
      </w:r>
    </w:p>
    <w:p w14:paraId="63A1D47C">
      <w:pPr>
        <w:spacing w:line="560" w:lineRule="exact"/>
        <w:ind w:left="0" w:firstLine="560" w:firstLineChars="200"/>
        <w:rPr>
          <w:rFonts w:ascii="宋体" w:hAnsi="宋体" w:eastAsia="宋体"/>
          <w:sz w:val="28"/>
        </w:rPr>
      </w:pPr>
      <w:r>
        <w:rPr>
          <w:rFonts w:hint="eastAsia" w:ascii="宋体" w:hAnsi="宋体" w:eastAsia="宋体"/>
          <w:sz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6247D8D9">
      <w:pPr>
        <w:spacing w:line="560" w:lineRule="exact"/>
        <w:ind w:left="0" w:firstLine="562" w:firstLineChars="200"/>
        <w:rPr>
          <w:rFonts w:ascii="宋体" w:hAnsi="宋体" w:eastAsia="宋体"/>
          <w:b/>
          <w:sz w:val="28"/>
        </w:rPr>
      </w:pPr>
      <w:r>
        <w:rPr>
          <w:rFonts w:hint="eastAsia" w:ascii="宋体" w:hAnsi="宋体" w:eastAsia="宋体"/>
          <w:b/>
          <w:sz w:val="28"/>
        </w:rPr>
        <w:t>三、政府性基金预算支出情况</w:t>
      </w:r>
    </w:p>
    <w:p w14:paraId="63888E8B">
      <w:pPr>
        <w:spacing w:line="560" w:lineRule="exact"/>
        <w:ind w:left="0" w:firstLine="560" w:firstLineChars="200"/>
        <w:rPr>
          <w:rFonts w:ascii="宋体" w:hAnsi="宋体" w:eastAsia="宋体"/>
          <w:sz w:val="28"/>
        </w:rPr>
      </w:pPr>
      <w:r>
        <w:rPr>
          <w:rFonts w:hint="eastAsia" w:ascii="宋体" w:hAnsi="宋体" w:eastAsia="宋体"/>
          <w:sz w:val="28"/>
        </w:rPr>
        <w:t>2024政府性基金预算财政拨款收入支出225.41万元，其中：基本支出26.73万元；项目支出198.68万元。</w:t>
      </w:r>
    </w:p>
    <w:p w14:paraId="6B60E940">
      <w:pPr>
        <w:spacing w:line="560" w:lineRule="exact"/>
        <w:ind w:left="0" w:firstLine="562" w:firstLineChars="200"/>
        <w:rPr>
          <w:rFonts w:ascii="宋体" w:hAnsi="宋体" w:eastAsia="宋体"/>
          <w:b/>
          <w:sz w:val="28"/>
        </w:rPr>
      </w:pPr>
      <w:r>
        <w:rPr>
          <w:rFonts w:hint="eastAsia" w:ascii="宋体" w:hAnsi="宋体" w:eastAsia="宋体"/>
          <w:b/>
          <w:sz w:val="28"/>
        </w:rPr>
        <w:t>四、国有资本经营预算支出情况</w:t>
      </w:r>
    </w:p>
    <w:p w14:paraId="7FA31BE2">
      <w:pPr>
        <w:spacing w:line="560" w:lineRule="exact"/>
        <w:ind w:left="0" w:firstLine="560" w:firstLineChars="200"/>
        <w:rPr>
          <w:rFonts w:ascii="宋体" w:hAnsi="宋体" w:eastAsia="宋体"/>
          <w:sz w:val="28"/>
        </w:rPr>
      </w:pPr>
      <w:r>
        <w:rPr>
          <w:rFonts w:hint="eastAsia" w:ascii="宋体" w:hAnsi="宋体" w:eastAsia="宋体"/>
          <w:sz w:val="28"/>
        </w:rPr>
        <w:t>202</w:t>
      </w:r>
      <w:r>
        <w:rPr>
          <w:rFonts w:hint="eastAsia" w:ascii="宋体" w:hAnsi="宋体" w:eastAsia="宋体"/>
          <w:sz w:val="28"/>
          <w:lang w:val="en-US" w:eastAsia="zh-CN"/>
        </w:rPr>
        <w:t>4</w:t>
      </w:r>
      <w:r>
        <w:rPr>
          <w:rFonts w:hint="eastAsia" w:ascii="宋体" w:hAnsi="宋体" w:eastAsia="宋体"/>
          <w:sz w:val="28"/>
        </w:rPr>
        <w:t>年没有国有资本经营预算支出。</w:t>
      </w:r>
    </w:p>
    <w:p w14:paraId="70534221">
      <w:pPr>
        <w:spacing w:line="560" w:lineRule="exact"/>
        <w:ind w:left="0" w:firstLine="562" w:firstLineChars="200"/>
        <w:rPr>
          <w:rFonts w:ascii="宋体" w:hAnsi="宋体" w:eastAsia="宋体"/>
          <w:b/>
          <w:sz w:val="28"/>
        </w:rPr>
      </w:pPr>
      <w:r>
        <w:rPr>
          <w:rFonts w:hint="eastAsia" w:ascii="宋体" w:hAnsi="宋体" w:eastAsia="宋体"/>
          <w:b/>
          <w:sz w:val="28"/>
        </w:rPr>
        <w:t>五、社会保险基金预算支出情况</w:t>
      </w:r>
    </w:p>
    <w:p w14:paraId="11CA1598">
      <w:pPr>
        <w:spacing w:line="560" w:lineRule="exact"/>
        <w:ind w:left="0" w:firstLine="560" w:firstLineChars="200"/>
        <w:rPr>
          <w:rFonts w:ascii="宋体" w:hAnsi="宋体" w:eastAsia="宋体"/>
          <w:sz w:val="28"/>
        </w:rPr>
      </w:pPr>
      <w:r>
        <w:rPr>
          <w:rFonts w:hint="eastAsia" w:ascii="宋体" w:hAnsi="宋体" w:eastAsia="宋体"/>
          <w:sz w:val="28"/>
        </w:rPr>
        <w:t>本年度没有社会保险基金预算支出。</w:t>
      </w:r>
    </w:p>
    <w:p w14:paraId="6C169603">
      <w:pPr>
        <w:spacing w:line="560" w:lineRule="exact"/>
        <w:ind w:left="0" w:firstLine="562" w:firstLineChars="200"/>
        <w:rPr>
          <w:rFonts w:ascii="宋体" w:hAnsi="宋体" w:eastAsia="宋体"/>
          <w:b/>
          <w:sz w:val="28"/>
        </w:rPr>
      </w:pPr>
      <w:r>
        <w:rPr>
          <w:rFonts w:hint="eastAsia" w:ascii="宋体" w:hAnsi="宋体" w:eastAsia="宋体"/>
          <w:b/>
          <w:sz w:val="28"/>
        </w:rPr>
        <w:t>六、部门整体支出绩效情况</w:t>
      </w:r>
    </w:p>
    <w:p w14:paraId="2EF20B21">
      <w:pPr>
        <w:spacing w:line="560" w:lineRule="exact"/>
        <w:ind w:left="0" w:firstLine="560" w:firstLineChars="200"/>
        <w:rPr>
          <w:rFonts w:ascii="宋体" w:hAnsi="宋体" w:eastAsia="宋体"/>
          <w:sz w:val="28"/>
        </w:rPr>
      </w:pPr>
      <w:r>
        <w:rPr>
          <w:rFonts w:hint="eastAsia" w:ascii="宋体" w:hAnsi="宋体" w:eastAsia="宋体"/>
          <w:sz w:val="28"/>
        </w:rPr>
        <w:t>（一）单位总支出情况的绩效</w:t>
      </w:r>
    </w:p>
    <w:p w14:paraId="21320046">
      <w:pPr>
        <w:spacing w:line="560" w:lineRule="exact"/>
        <w:ind w:left="0" w:firstLine="560" w:firstLineChars="200"/>
        <w:rPr>
          <w:rFonts w:ascii="宋体" w:hAnsi="宋体" w:eastAsia="宋体"/>
          <w:sz w:val="28"/>
        </w:rPr>
      </w:pPr>
      <w:r>
        <w:rPr>
          <w:rFonts w:hint="eastAsia" w:ascii="宋体" w:hAnsi="宋体" w:eastAsia="宋体"/>
          <w:sz w:val="28"/>
        </w:rPr>
        <w:t>2024年度支出总额15642.62万元，其中基本支出1692.19万元，基本支出保障了单位正常运转的日常支出，包括基本工资、津贴补贴等人员经费以及办公费、水电费、差旅费等日常公用经费；项目支出金额13950.43万元，项目支出主要用于为完成本级财政和及上级安排特定的工作任务或目标支出。</w:t>
      </w:r>
    </w:p>
    <w:p w14:paraId="3584517A">
      <w:pPr>
        <w:spacing w:line="560" w:lineRule="exact"/>
        <w:ind w:left="0" w:firstLine="560" w:firstLineChars="200"/>
        <w:rPr>
          <w:rFonts w:ascii="宋体" w:hAnsi="宋体" w:eastAsia="宋体"/>
          <w:sz w:val="28"/>
        </w:rPr>
      </w:pPr>
      <w:r>
        <w:rPr>
          <w:rFonts w:hint="eastAsia" w:ascii="宋体" w:hAnsi="宋体" w:eastAsia="宋体"/>
          <w:sz w:val="28"/>
        </w:rPr>
        <w:t>（二）部门整体绩效情况</w:t>
      </w:r>
    </w:p>
    <w:p w14:paraId="2580ED1A">
      <w:pPr>
        <w:spacing w:line="560" w:lineRule="exact"/>
        <w:ind w:left="0" w:firstLine="560" w:firstLineChars="200"/>
        <w:rPr>
          <w:rFonts w:ascii="宋体" w:hAnsi="宋体" w:eastAsia="宋体"/>
          <w:sz w:val="28"/>
        </w:rPr>
      </w:pPr>
      <w:r>
        <w:rPr>
          <w:rFonts w:hint="eastAsia" w:ascii="宋体" w:hAnsi="宋体" w:eastAsia="宋体"/>
          <w:sz w:val="28"/>
        </w:rPr>
        <w:t>2</w:t>
      </w:r>
      <w:r>
        <w:rPr>
          <w:rFonts w:ascii="宋体" w:hAnsi="宋体" w:eastAsia="宋体"/>
          <w:sz w:val="28"/>
        </w:rPr>
        <w:t>024</w:t>
      </w:r>
      <w:r>
        <w:rPr>
          <w:rFonts w:hint="eastAsia" w:ascii="宋体" w:hAnsi="宋体" w:eastAsia="宋体"/>
          <w:sz w:val="28"/>
        </w:rPr>
        <w:t>年度本局把党的领导贯穿于依法履职的全过程，始终保持正确的政治方向,全力推动各项工作落实处、见实效。本局202</w:t>
      </w:r>
      <w:r>
        <w:rPr>
          <w:rFonts w:ascii="宋体" w:hAnsi="宋体" w:eastAsia="宋体"/>
          <w:sz w:val="28"/>
        </w:rPr>
        <w:t>4</w:t>
      </w:r>
      <w:r>
        <w:rPr>
          <w:rFonts w:hint="eastAsia" w:ascii="宋体" w:hAnsi="宋体" w:eastAsia="宋体"/>
          <w:sz w:val="28"/>
        </w:rPr>
        <w:t>年度部门整体支出15642.62万元，其中单位基本支出基本支出1692.19万元，项目支出13950.43万元,整体支出绩效目标完成率100%，其中单位基本支出完成率100%，项目支出完成率100%。全部实行绩效自评，自评覆盖率达到100%。在年度绩效考核中，全体干部职工满意度达100%，社会群众满意度达96%，其产出和效益情况概述如下：</w:t>
      </w:r>
    </w:p>
    <w:p w14:paraId="1262CC63">
      <w:pPr>
        <w:spacing w:line="560" w:lineRule="exact"/>
        <w:ind w:left="0"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Cs/>
          <w:color w:val="000000"/>
          <w:sz w:val="28"/>
          <w:szCs w:val="28"/>
        </w:rPr>
        <w:t>粮食和农业生产有新增长</w:t>
      </w:r>
    </w:p>
    <w:p w14:paraId="66F0F34B">
      <w:pPr>
        <w:spacing w:line="560" w:lineRule="exact"/>
        <w:ind w:left="0" w:firstLine="560" w:firstLineChars="200"/>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color w:val="000000"/>
          <w:sz w:val="28"/>
          <w:szCs w:val="28"/>
        </w:rPr>
        <w:t>持续巩固脱贫成果有新提升</w:t>
      </w:r>
    </w:p>
    <w:p w14:paraId="6CF59EE6">
      <w:pPr>
        <w:spacing w:line="560" w:lineRule="exact"/>
        <w:ind w:left="0" w:firstLine="560" w:firstLineChars="200"/>
        <w:rPr>
          <w:rFonts w:ascii="宋体" w:hAnsi="宋体" w:eastAsia="宋体" w:cs="宋体"/>
          <w:bCs/>
          <w:color w:val="000000"/>
          <w:sz w:val="28"/>
          <w:szCs w:val="28"/>
        </w:rPr>
      </w:pPr>
      <w:r>
        <w:rPr>
          <w:rFonts w:hint="eastAsia" w:ascii="宋体" w:hAnsi="宋体" w:eastAsia="宋体" w:cs="宋体"/>
          <w:sz w:val="28"/>
          <w:szCs w:val="28"/>
        </w:rPr>
        <w:t>3、</w:t>
      </w:r>
      <w:r>
        <w:rPr>
          <w:rFonts w:hint="eastAsia" w:ascii="宋体" w:hAnsi="宋体" w:eastAsia="宋体" w:cs="宋体"/>
          <w:bCs/>
          <w:color w:val="000000"/>
          <w:sz w:val="28"/>
          <w:szCs w:val="28"/>
        </w:rPr>
        <w:t>农业发展基础有新支撑</w:t>
      </w:r>
    </w:p>
    <w:p w14:paraId="68A2D59E">
      <w:pPr>
        <w:spacing w:line="560" w:lineRule="exact"/>
        <w:ind w:left="0" w:firstLine="560" w:firstLineChars="200"/>
        <w:rPr>
          <w:rFonts w:asciiTheme="minorEastAsia" w:hAnsiTheme="minorEastAsia" w:cstheme="minorEastAsia"/>
          <w:bCs/>
          <w:color w:val="000000"/>
          <w:sz w:val="28"/>
          <w:szCs w:val="28"/>
        </w:rPr>
      </w:pPr>
      <w:r>
        <w:rPr>
          <w:rFonts w:hint="eastAsia" w:ascii="宋体" w:hAnsi="宋体" w:eastAsia="宋体" w:cs="宋体"/>
          <w:bCs/>
          <w:color w:val="000000"/>
          <w:sz w:val="28"/>
          <w:szCs w:val="28"/>
        </w:rPr>
        <w:t>4、</w:t>
      </w:r>
      <w:r>
        <w:rPr>
          <w:rFonts w:hint="eastAsia" w:asciiTheme="minorEastAsia" w:hAnsiTheme="minorEastAsia" w:cstheme="minorEastAsia"/>
          <w:bCs/>
          <w:color w:val="000000"/>
          <w:sz w:val="28"/>
          <w:szCs w:val="28"/>
        </w:rPr>
        <w:t>农业资源保护有新进展</w:t>
      </w:r>
    </w:p>
    <w:p w14:paraId="71156CB9">
      <w:pPr>
        <w:spacing w:line="560" w:lineRule="exact"/>
        <w:ind w:left="0" w:firstLine="560" w:firstLineChars="200"/>
        <w:rPr>
          <w:rFonts w:asciiTheme="minorEastAsia" w:hAnsiTheme="minorEastAsia" w:cstheme="minorEastAsia"/>
          <w:bCs/>
          <w:color w:val="000000"/>
          <w:sz w:val="28"/>
          <w:szCs w:val="28"/>
        </w:rPr>
      </w:pPr>
      <w:r>
        <w:rPr>
          <w:rFonts w:hint="eastAsia" w:asciiTheme="minorEastAsia" w:hAnsiTheme="minorEastAsia" w:cstheme="minorEastAsia"/>
          <w:bCs/>
          <w:color w:val="000000"/>
          <w:sz w:val="28"/>
          <w:szCs w:val="28"/>
        </w:rPr>
        <w:t>5、和美乡村建设有新面貌</w:t>
      </w:r>
    </w:p>
    <w:p w14:paraId="73B6FFFD">
      <w:pPr>
        <w:spacing w:line="560" w:lineRule="exact"/>
        <w:ind w:left="0" w:firstLine="560" w:firstLineChars="200"/>
        <w:rPr>
          <w:rFonts w:asciiTheme="minorEastAsia" w:hAnsiTheme="minorEastAsia" w:cstheme="minorEastAsia"/>
          <w:bCs/>
          <w:color w:val="000000"/>
          <w:sz w:val="28"/>
          <w:szCs w:val="28"/>
        </w:rPr>
      </w:pPr>
      <w:r>
        <w:rPr>
          <w:rFonts w:hint="eastAsia" w:asciiTheme="minorEastAsia" w:hAnsiTheme="minorEastAsia" w:cstheme="minorEastAsia"/>
          <w:bCs/>
          <w:color w:val="000000"/>
          <w:sz w:val="28"/>
          <w:szCs w:val="28"/>
        </w:rPr>
        <w:t>6、“三湘护农”行动有新成就</w:t>
      </w:r>
    </w:p>
    <w:p w14:paraId="67C894DF">
      <w:pPr>
        <w:spacing w:line="560" w:lineRule="exact"/>
        <w:ind w:left="0" w:firstLine="560" w:firstLineChars="200"/>
        <w:rPr>
          <w:rFonts w:ascii="宋体" w:hAnsi="宋体" w:eastAsia="宋体"/>
          <w:sz w:val="28"/>
        </w:rPr>
      </w:pPr>
      <w:r>
        <w:rPr>
          <w:rFonts w:hint="eastAsia" w:ascii="宋体" w:hAnsi="宋体" w:eastAsia="宋体"/>
          <w:sz w:val="28"/>
        </w:rPr>
        <w:t>7、综合评价情况及评价结论</w:t>
      </w:r>
    </w:p>
    <w:p w14:paraId="0CC83454">
      <w:pPr>
        <w:spacing w:line="560" w:lineRule="exact"/>
        <w:ind w:left="0" w:firstLine="560" w:firstLineChars="200"/>
        <w:rPr>
          <w:rFonts w:ascii="宋体" w:hAnsi="宋体" w:eastAsia="宋体"/>
          <w:sz w:val="28"/>
        </w:rPr>
      </w:pPr>
      <w:r>
        <w:rPr>
          <w:rFonts w:hint="eastAsia" w:ascii="宋体" w:hAnsi="宋体" w:eastAsia="宋体"/>
          <w:sz w:val="28"/>
        </w:rPr>
        <w:t>祁东县农业农村局2024年度项目资金绩效自评综合得分为96分，具体自评情况见附表。</w:t>
      </w:r>
    </w:p>
    <w:p w14:paraId="32ADFC67">
      <w:pPr>
        <w:spacing w:line="560" w:lineRule="exact"/>
        <w:ind w:left="0" w:firstLine="562" w:firstLineChars="200"/>
        <w:rPr>
          <w:rFonts w:ascii="宋体" w:hAnsi="宋体" w:eastAsia="宋体"/>
          <w:b/>
          <w:sz w:val="28"/>
        </w:rPr>
      </w:pPr>
      <w:r>
        <w:rPr>
          <w:rFonts w:hint="eastAsia" w:ascii="宋体" w:hAnsi="宋体" w:eastAsia="宋体"/>
          <w:b/>
          <w:sz w:val="28"/>
        </w:rPr>
        <w:t>七、存在的问题及原因分析</w:t>
      </w:r>
    </w:p>
    <w:p w14:paraId="72F9703F">
      <w:pPr>
        <w:spacing w:line="560" w:lineRule="exact"/>
        <w:ind w:left="0" w:firstLine="560" w:firstLineChars="200"/>
        <w:rPr>
          <w:rFonts w:ascii="宋体" w:hAnsi="宋体" w:eastAsia="宋体"/>
          <w:sz w:val="28"/>
        </w:rPr>
      </w:pPr>
      <w:r>
        <w:rPr>
          <w:rFonts w:hint="eastAsia" w:ascii="宋体" w:hAnsi="宋体" w:eastAsia="宋体"/>
          <w:sz w:val="28"/>
        </w:rPr>
        <w:t>对于绩效评价工作“谁使用、谁评价”的原则执行还不够到位；再是对项目资金使用成本控制管理还存在不足，有待进一步加强；绩效目标和指标往往根据项目实际完成情况制定，对项目执行过程有效约束不够，存在一定的偏差。</w:t>
      </w:r>
    </w:p>
    <w:p w14:paraId="0041FA93">
      <w:pPr>
        <w:spacing w:line="560" w:lineRule="exact"/>
        <w:ind w:left="0" w:firstLine="560" w:firstLineChars="200"/>
        <w:rPr>
          <w:rFonts w:ascii="宋体" w:hAnsi="宋体" w:eastAsia="宋体"/>
          <w:sz w:val="28"/>
        </w:rPr>
      </w:pPr>
      <w:r>
        <w:rPr>
          <w:rFonts w:hint="eastAsia" w:ascii="宋体" w:hAnsi="宋体" w:eastAsia="宋体"/>
          <w:sz w:val="28"/>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14:paraId="6084566F">
      <w:pPr>
        <w:spacing w:line="560" w:lineRule="exact"/>
        <w:ind w:left="0" w:firstLine="560" w:firstLineChars="200"/>
        <w:rPr>
          <w:rFonts w:ascii="宋体" w:hAnsi="宋体" w:eastAsia="宋体"/>
          <w:sz w:val="28"/>
        </w:rPr>
      </w:pPr>
      <w:r>
        <w:rPr>
          <w:rFonts w:hint="eastAsia" w:ascii="宋体" w:hAnsi="宋体" w:eastAsia="宋体"/>
          <w:sz w:val="28"/>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14:paraId="45EDC9B8">
      <w:pPr>
        <w:spacing w:line="560" w:lineRule="exact"/>
        <w:ind w:left="0" w:firstLine="562" w:firstLineChars="200"/>
        <w:rPr>
          <w:rFonts w:ascii="宋体" w:hAnsi="宋体" w:eastAsia="宋体"/>
          <w:b/>
          <w:sz w:val="28"/>
        </w:rPr>
      </w:pPr>
      <w:r>
        <w:rPr>
          <w:rFonts w:hint="eastAsia" w:ascii="宋体" w:hAnsi="宋体" w:eastAsia="宋体"/>
          <w:b/>
          <w:sz w:val="28"/>
        </w:rPr>
        <w:t>八、下一步改进措施</w:t>
      </w:r>
    </w:p>
    <w:p w14:paraId="75A2564F">
      <w:pPr>
        <w:spacing w:line="560" w:lineRule="exact"/>
        <w:ind w:left="0" w:firstLine="560" w:firstLineChars="200"/>
        <w:rPr>
          <w:rFonts w:ascii="宋体" w:hAnsi="宋体" w:eastAsia="宋体"/>
          <w:sz w:val="28"/>
        </w:rPr>
      </w:pPr>
      <w:r>
        <w:rPr>
          <w:rFonts w:hint="eastAsia" w:ascii="宋体" w:hAnsi="宋体" w:eastAsia="宋体"/>
          <w:sz w:val="28"/>
        </w:rPr>
        <w:t>本着“勤俭节约、保障运转”的原则进行预算的编制，进一步提高预算编制的科学性、合理性、严谨性和可控性，提高财政资金使用效益。</w:t>
      </w:r>
    </w:p>
    <w:p w14:paraId="1A58DCF5">
      <w:pPr>
        <w:spacing w:line="560" w:lineRule="exact"/>
        <w:ind w:left="0" w:firstLine="562" w:firstLineChars="200"/>
        <w:rPr>
          <w:rFonts w:ascii="宋体" w:hAnsi="宋体" w:eastAsia="宋体"/>
          <w:b/>
          <w:sz w:val="28"/>
        </w:rPr>
      </w:pPr>
      <w:r>
        <w:rPr>
          <w:rFonts w:hint="eastAsia" w:ascii="宋体" w:hAnsi="宋体" w:eastAsia="宋体"/>
          <w:b/>
          <w:sz w:val="28"/>
        </w:rPr>
        <w:t>九、部门整体支出绩效自评结果拟应用和公开情况</w:t>
      </w:r>
    </w:p>
    <w:p w14:paraId="36E5E349">
      <w:pPr>
        <w:spacing w:line="560" w:lineRule="exact"/>
        <w:ind w:left="0" w:firstLine="560" w:firstLineChars="200"/>
        <w:rPr>
          <w:rFonts w:ascii="宋体" w:hAnsi="宋体" w:eastAsia="宋体"/>
          <w:sz w:val="28"/>
        </w:rPr>
      </w:pPr>
      <w:r>
        <w:rPr>
          <w:rFonts w:hint="eastAsia" w:ascii="宋体" w:hAnsi="宋体" w:eastAsia="宋体"/>
          <w:sz w:val="28"/>
        </w:rPr>
        <w:t>通过绩效自评，进一步掌握了资金使用情况和取得的效果，发现了工作中存在的问题和不足，为今后加强资金使用管理、完善资金绩效管理、提高资金使用效益工作提供了重要的参考依据。</w:t>
      </w:r>
    </w:p>
    <w:p w14:paraId="09F4A360">
      <w:pPr>
        <w:spacing w:line="560" w:lineRule="exact"/>
        <w:ind w:left="0" w:firstLine="560" w:firstLineChars="200"/>
        <w:rPr>
          <w:rFonts w:ascii="宋体" w:hAnsi="宋体" w:eastAsia="宋体"/>
          <w:sz w:val="28"/>
        </w:rPr>
      </w:pPr>
      <w:r>
        <w:rPr>
          <w:rFonts w:hint="eastAsia" w:ascii="宋体" w:hAnsi="宋体" w:eastAsia="宋体"/>
          <w:sz w:val="28"/>
        </w:rPr>
        <w:t>将此次绩效自评报告在本县党政门户网站上予以公布，向社会公开，广泛接受群众监督。</w:t>
      </w:r>
    </w:p>
    <w:p w14:paraId="04D96857">
      <w:pPr>
        <w:spacing w:line="560" w:lineRule="exact"/>
        <w:ind w:left="0" w:firstLine="562" w:firstLineChars="200"/>
        <w:rPr>
          <w:rFonts w:ascii="宋体" w:hAnsi="宋体" w:eastAsia="宋体"/>
          <w:b/>
          <w:sz w:val="28"/>
        </w:rPr>
      </w:pPr>
      <w:r>
        <w:rPr>
          <w:rFonts w:hint="eastAsia" w:ascii="宋体" w:hAnsi="宋体" w:eastAsia="宋体"/>
          <w:b/>
          <w:sz w:val="28"/>
        </w:rPr>
        <w:t>十、其他需要说明的情况</w:t>
      </w:r>
    </w:p>
    <w:p w14:paraId="58D9B1F0">
      <w:pPr>
        <w:spacing w:line="560" w:lineRule="exact"/>
        <w:ind w:left="0" w:firstLine="560" w:firstLineChars="200"/>
        <w:rPr>
          <w:rFonts w:ascii="宋体" w:hAnsi="宋体" w:eastAsia="宋体"/>
          <w:sz w:val="28"/>
        </w:rPr>
      </w:pPr>
      <w:r>
        <w:rPr>
          <w:rFonts w:hint="eastAsia" w:ascii="宋体" w:hAnsi="宋体" w:eastAsia="宋体"/>
          <w:sz w:val="28"/>
        </w:rPr>
        <w:t>无。</w:t>
      </w:r>
    </w:p>
    <w:p w14:paraId="2753DE7C">
      <w:pPr>
        <w:spacing w:line="560" w:lineRule="exact"/>
        <w:ind w:left="0" w:firstLine="560" w:firstLineChars="200"/>
        <w:rPr>
          <w:rFonts w:ascii="宋体" w:hAnsi="宋体" w:eastAsia="宋体"/>
          <w:sz w:val="28"/>
        </w:rPr>
      </w:pPr>
      <w:r>
        <w:rPr>
          <w:rFonts w:hint="eastAsia" w:ascii="宋体" w:hAnsi="宋体" w:eastAsia="宋体"/>
          <w:sz w:val="28"/>
        </w:rPr>
        <w:t>附表：1、部门整体支出绩效评价指标评分表</w:t>
      </w:r>
    </w:p>
    <w:p w14:paraId="471FB1C7">
      <w:pPr>
        <w:spacing w:line="560" w:lineRule="exact"/>
        <w:ind w:left="0" w:firstLine="560" w:firstLineChars="200"/>
        <w:rPr>
          <w:rFonts w:ascii="宋体" w:hAnsi="宋体" w:eastAsia="宋体"/>
          <w:sz w:val="28"/>
        </w:rPr>
      </w:pPr>
      <w:r>
        <w:rPr>
          <w:rFonts w:hint="eastAsia" w:ascii="宋体" w:hAnsi="宋体" w:eastAsia="宋体"/>
          <w:sz w:val="28"/>
        </w:rPr>
        <w:t xml:space="preserve">      2、部门整体支出绩效评价基础数据表</w:t>
      </w:r>
    </w:p>
    <w:p w14:paraId="10D8443D">
      <w:pPr>
        <w:spacing w:line="560" w:lineRule="exact"/>
        <w:ind w:left="0" w:firstLine="560" w:firstLineChars="200"/>
        <w:rPr>
          <w:rFonts w:ascii="宋体" w:hAnsi="宋体"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80478"/>
    <w:multiLevelType w:val="multilevel"/>
    <w:tmpl w:val="06F80478"/>
    <w:lvl w:ilvl="0" w:tentative="0">
      <w:start w:val="1"/>
      <w:numFmt w:val="lowerLetter"/>
      <w:pStyle w:val="7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6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4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7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8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8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9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7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57"/>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9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9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6361809"/>
    <w:multiLevelType w:val="multilevel"/>
    <w:tmpl w:val="56361809"/>
    <w:lvl w:ilvl="0" w:tentative="0">
      <w:start w:val="1"/>
      <w:numFmt w:val="upperLetter"/>
      <w:pStyle w:val="6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7D67E27"/>
    <w:multiLevelType w:val="multilevel"/>
    <w:tmpl w:val="57D67E27"/>
    <w:lvl w:ilvl="0" w:tentative="0">
      <w:start w:val="1"/>
      <w:numFmt w:val="decimal"/>
      <w:pStyle w:val="45"/>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A181799"/>
    <w:multiLevelType w:val="multilevel"/>
    <w:tmpl w:val="5A181799"/>
    <w:lvl w:ilvl="0" w:tentative="0">
      <w:start w:val="1"/>
      <w:numFmt w:val="lowerLetter"/>
      <w:pStyle w:val="5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FA0565C"/>
    <w:multiLevelType w:val="multilevel"/>
    <w:tmpl w:val="5FA0565C"/>
    <w:lvl w:ilvl="0" w:tentative="0">
      <w:start w:val="1"/>
      <w:numFmt w:val="lowerRoman"/>
      <w:pStyle w:val="5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2D6C19"/>
    <w:multiLevelType w:val="multilevel"/>
    <w:tmpl w:val="602D6C19"/>
    <w:lvl w:ilvl="0" w:tentative="0">
      <w:start w:val="1"/>
      <w:numFmt w:val="upperLetter"/>
      <w:pStyle w:val="4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38B253F"/>
    <w:multiLevelType w:val="multilevel"/>
    <w:tmpl w:val="638B253F"/>
    <w:lvl w:ilvl="0" w:tentative="0">
      <w:start w:val="1"/>
      <w:numFmt w:val="upperRoman"/>
      <w:pStyle w:val="6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F12C63"/>
    <w:multiLevelType w:val="multilevel"/>
    <w:tmpl w:val="64F12C63"/>
    <w:lvl w:ilvl="0" w:tentative="0">
      <w:start w:val="1"/>
      <w:numFmt w:val="chineseCountingThousand"/>
      <w:pStyle w:val="8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7D9330E"/>
    <w:multiLevelType w:val="multilevel"/>
    <w:tmpl w:val="67D9330E"/>
    <w:lvl w:ilvl="0" w:tentative="0">
      <w:start w:val="1"/>
      <w:numFmt w:val="decimal"/>
      <w:pStyle w:val="69"/>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AF34339"/>
    <w:multiLevelType w:val="multilevel"/>
    <w:tmpl w:val="6AF34339"/>
    <w:lvl w:ilvl="0" w:tentative="0">
      <w:start w:val="1"/>
      <w:numFmt w:val="upperRoman"/>
      <w:pStyle w:val="8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7C73237E"/>
    <w:multiLevelType w:val="multilevel"/>
    <w:tmpl w:val="7C73237E"/>
    <w:lvl w:ilvl="0" w:tentative="0">
      <w:start w:val="1"/>
      <w:numFmt w:val="chineseCountingThousand"/>
      <w:pStyle w:val="5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1"/>
  </w:num>
  <w:num w:numId="2">
    <w:abstractNumId w:val="4"/>
  </w:num>
  <w:num w:numId="3">
    <w:abstractNumId w:val="24"/>
  </w:num>
  <w:num w:numId="4">
    <w:abstractNumId w:val="22"/>
  </w:num>
  <w:num w:numId="5">
    <w:abstractNumId w:val="12"/>
  </w:num>
  <w:num w:numId="6">
    <w:abstractNumId w:val="23"/>
  </w:num>
  <w:num w:numId="7">
    <w:abstractNumId w:val="16"/>
  </w:num>
  <w:num w:numId="8">
    <w:abstractNumId w:val="29"/>
  </w:num>
  <w:num w:numId="9">
    <w:abstractNumId w:val="20"/>
  </w:num>
  <w:num w:numId="10">
    <w:abstractNumId w:val="1"/>
  </w:num>
  <w:num w:numId="11">
    <w:abstractNumId w:val="25"/>
  </w:num>
  <w:num w:numId="12">
    <w:abstractNumId w:val="3"/>
  </w:num>
  <w:num w:numId="13">
    <w:abstractNumId w:val="27"/>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6"/>
  </w:num>
  <w:num w:numId="21">
    <w:abstractNumId w:val="8"/>
  </w:num>
  <w:num w:numId="22">
    <w:abstractNumId w:val="9"/>
  </w:num>
  <w:num w:numId="23">
    <w:abstractNumId w:val="28"/>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NDhiNTdjOWVkMTRhYzJhODdjYjFlZTg1YWNlODgifQ=="/>
  </w:docVars>
  <w:rsids>
    <w:rsidRoot w:val="001F61A4"/>
    <w:rsid w:val="000E4584"/>
    <w:rsid w:val="00131748"/>
    <w:rsid w:val="001F61A4"/>
    <w:rsid w:val="002D7E7A"/>
    <w:rsid w:val="003A0158"/>
    <w:rsid w:val="003A21F9"/>
    <w:rsid w:val="00467203"/>
    <w:rsid w:val="0059231A"/>
    <w:rsid w:val="00627CA8"/>
    <w:rsid w:val="00686699"/>
    <w:rsid w:val="00693955"/>
    <w:rsid w:val="006B322D"/>
    <w:rsid w:val="00715FD8"/>
    <w:rsid w:val="00781BF5"/>
    <w:rsid w:val="007C7663"/>
    <w:rsid w:val="00883D5A"/>
    <w:rsid w:val="00986155"/>
    <w:rsid w:val="009C1B14"/>
    <w:rsid w:val="00B531C4"/>
    <w:rsid w:val="00B841D9"/>
    <w:rsid w:val="00CF40E9"/>
    <w:rsid w:val="00D06BB0"/>
    <w:rsid w:val="00D14EC6"/>
    <w:rsid w:val="00D8257E"/>
    <w:rsid w:val="00D859A8"/>
    <w:rsid w:val="00EE4117"/>
    <w:rsid w:val="00F75291"/>
    <w:rsid w:val="47F330AF"/>
    <w:rsid w:val="499A58A3"/>
    <w:rsid w:val="6C794C2B"/>
    <w:rsid w:val="73F8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41" w:hanging="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5" w:lineRule="auto"/>
      <w:ind w:left="284" w:firstLine="0"/>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autoRedefine/>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autoRedefine/>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7"/>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rPr>
      <w:rFonts w:eastAsia="黑体" w:asciiTheme="majorHAnsi" w:hAnsiTheme="majorHAnsi" w:cstheme="majorBidi"/>
      <w:sz w:val="20"/>
      <w:szCs w:val="20"/>
    </w:rPr>
  </w:style>
  <w:style w:type="paragraph" w:styleId="12">
    <w:name w:val="Balloon Text"/>
    <w:basedOn w:val="1"/>
    <w:link w:val="105"/>
    <w:semiHidden/>
    <w:unhideWhenUsed/>
    <w:uiPriority w:val="99"/>
    <w:rPr>
      <w:sz w:val="18"/>
      <w:szCs w:val="18"/>
    </w:rPr>
  </w:style>
  <w:style w:type="paragraph" w:styleId="13">
    <w:name w:val="Subtitle"/>
    <w:basedOn w:val="1"/>
    <w:next w:val="1"/>
    <w:link w:val="2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Title"/>
    <w:basedOn w:val="1"/>
    <w:next w:val="1"/>
    <w:link w:val="28"/>
    <w:autoRedefine/>
    <w:qFormat/>
    <w:uiPriority w:val="10"/>
    <w:pPr>
      <w:spacing w:before="240" w:after="60"/>
      <w:jc w:val="center"/>
      <w:outlineLvl w:val="0"/>
    </w:pPr>
    <w:rPr>
      <w:rFonts w:eastAsia="宋体" w:asciiTheme="majorHAnsi" w:hAnsiTheme="majorHAnsi" w:cstheme="majorBidi"/>
      <w:b/>
      <w:bCs/>
      <w:sz w:val="32"/>
      <w:szCs w:val="32"/>
    </w:rPr>
  </w:style>
  <w:style w:type="character" w:styleId="17">
    <w:name w:val="Strong"/>
    <w:basedOn w:val="16"/>
    <w:autoRedefine/>
    <w:qFormat/>
    <w:uiPriority w:val="22"/>
    <w:rPr>
      <w:b/>
      <w:bCs/>
    </w:rPr>
  </w:style>
  <w:style w:type="character" w:styleId="18">
    <w:name w:val="Emphasis"/>
    <w:basedOn w:val="16"/>
    <w:autoRedefine/>
    <w:qFormat/>
    <w:uiPriority w:val="20"/>
    <w:rPr>
      <w:i/>
      <w:iCs/>
    </w:rPr>
  </w:style>
  <w:style w:type="character" w:customStyle="1" w:styleId="19">
    <w:name w:val="标题 1 Char"/>
    <w:basedOn w:val="16"/>
    <w:link w:val="2"/>
    <w:autoRedefine/>
    <w:qFormat/>
    <w:uiPriority w:val="9"/>
    <w:rPr>
      <w:b/>
      <w:bCs/>
      <w:kern w:val="44"/>
      <w:sz w:val="44"/>
      <w:szCs w:val="44"/>
    </w:rPr>
  </w:style>
  <w:style w:type="character" w:customStyle="1" w:styleId="20">
    <w:name w:val="标题 2 Char"/>
    <w:basedOn w:val="16"/>
    <w:link w:val="3"/>
    <w:autoRedefine/>
    <w:qFormat/>
    <w:uiPriority w:val="9"/>
    <w:rPr>
      <w:rFonts w:asciiTheme="majorHAnsi" w:hAnsiTheme="majorHAnsi" w:eastAsiaTheme="majorEastAsia" w:cstheme="majorBidi"/>
      <w:b/>
      <w:bCs/>
      <w:sz w:val="32"/>
      <w:szCs w:val="32"/>
    </w:rPr>
  </w:style>
  <w:style w:type="character" w:customStyle="1" w:styleId="21">
    <w:name w:val="标题 3 Char"/>
    <w:basedOn w:val="16"/>
    <w:link w:val="4"/>
    <w:autoRedefine/>
    <w:qFormat/>
    <w:uiPriority w:val="9"/>
    <w:rPr>
      <w:b/>
      <w:bCs/>
      <w:sz w:val="32"/>
      <w:szCs w:val="32"/>
    </w:rPr>
  </w:style>
  <w:style w:type="character" w:customStyle="1" w:styleId="22">
    <w:name w:val="标题 4 Char"/>
    <w:basedOn w:val="16"/>
    <w:link w:val="5"/>
    <w:autoRedefine/>
    <w:semiHidden/>
    <w:qFormat/>
    <w:uiPriority w:val="9"/>
    <w:rPr>
      <w:rFonts w:asciiTheme="majorHAnsi" w:hAnsiTheme="majorHAnsi" w:eastAsiaTheme="majorEastAsia" w:cstheme="majorBidi"/>
      <w:b/>
      <w:bCs/>
      <w:sz w:val="28"/>
      <w:szCs w:val="28"/>
    </w:rPr>
  </w:style>
  <w:style w:type="character" w:customStyle="1" w:styleId="23">
    <w:name w:val="标题 5 Char"/>
    <w:basedOn w:val="16"/>
    <w:link w:val="6"/>
    <w:autoRedefine/>
    <w:semiHidden/>
    <w:qFormat/>
    <w:uiPriority w:val="9"/>
    <w:rPr>
      <w:b/>
      <w:bCs/>
      <w:sz w:val="28"/>
      <w:szCs w:val="28"/>
    </w:rPr>
  </w:style>
  <w:style w:type="character" w:customStyle="1" w:styleId="24">
    <w:name w:val="标题 6 Char"/>
    <w:basedOn w:val="16"/>
    <w:link w:val="7"/>
    <w:autoRedefine/>
    <w:semiHidden/>
    <w:qFormat/>
    <w:uiPriority w:val="9"/>
    <w:rPr>
      <w:rFonts w:asciiTheme="majorHAnsi" w:hAnsiTheme="majorHAnsi" w:eastAsiaTheme="majorEastAsia" w:cstheme="majorBidi"/>
      <w:b/>
      <w:bCs/>
      <w:sz w:val="24"/>
      <w:szCs w:val="24"/>
    </w:rPr>
  </w:style>
  <w:style w:type="character" w:customStyle="1" w:styleId="25">
    <w:name w:val="标题 7 Char"/>
    <w:basedOn w:val="16"/>
    <w:link w:val="8"/>
    <w:autoRedefine/>
    <w:semiHidden/>
    <w:qFormat/>
    <w:uiPriority w:val="9"/>
    <w:rPr>
      <w:b/>
      <w:bCs/>
      <w:sz w:val="24"/>
      <w:szCs w:val="24"/>
    </w:rPr>
  </w:style>
  <w:style w:type="character" w:customStyle="1" w:styleId="26">
    <w:name w:val="标题 8 Char"/>
    <w:basedOn w:val="16"/>
    <w:link w:val="9"/>
    <w:autoRedefine/>
    <w:semiHidden/>
    <w:qFormat/>
    <w:uiPriority w:val="9"/>
    <w:rPr>
      <w:rFonts w:asciiTheme="majorHAnsi" w:hAnsiTheme="majorHAnsi" w:eastAsiaTheme="majorEastAsia" w:cstheme="majorBidi"/>
      <w:sz w:val="24"/>
      <w:szCs w:val="24"/>
    </w:rPr>
  </w:style>
  <w:style w:type="character" w:customStyle="1" w:styleId="27">
    <w:name w:val="标题 9 Char"/>
    <w:basedOn w:val="16"/>
    <w:link w:val="10"/>
    <w:autoRedefine/>
    <w:semiHidden/>
    <w:qFormat/>
    <w:uiPriority w:val="9"/>
    <w:rPr>
      <w:rFonts w:asciiTheme="majorHAnsi" w:hAnsiTheme="majorHAnsi" w:eastAsiaTheme="majorEastAsia" w:cstheme="majorBidi"/>
      <w:szCs w:val="21"/>
    </w:rPr>
  </w:style>
  <w:style w:type="character" w:customStyle="1" w:styleId="28">
    <w:name w:val="标题 Char"/>
    <w:basedOn w:val="16"/>
    <w:link w:val="14"/>
    <w:autoRedefine/>
    <w:qFormat/>
    <w:uiPriority w:val="10"/>
    <w:rPr>
      <w:rFonts w:eastAsia="宋体" w:asciiTheme="majorHAnsi" w:hAnsiTheme="majorHAnsi" w:cstheme="majorBidi"/>
      <w:b/>
      <w:bCs/>
      <w:sz w:val="32"/>
      <w:szCs w:val="32"/>
    </w:rPr>
  </w:style>
  <w:style w:type="character" w:customStyle="1" w:styleId="29">
    <w:name w:val="副标题 Char"/>
    <w:basedOn w:val="16"/>
    <w:link w:val="13"/>
    <w:autoRedefine/>
    <w:qFormat/>
    <w:uiPriority w:val="11"/>
    <w:rPr>
      <w:rFonts w:eastAsia="宋体" w:asciiTheme="majorHAnsi" w:hAnsiTheme="majorHAnsi" w:cstheme="majorBidi"/>
      <w:b/>
      <w:bCs/>
      <w:kern w:val="28"/>
      <w:sz w:val="32"/>
      <w:szCs w:val="32"/>
    </w:rPr>
  </w:style>
  <w:style w:type="paragraph" w:styleId="30">
    <w:name w:val="No Spacing"/>
    <w:link w:val="31"/>
    <w:autoRedefine/>
    <w:qFormat/>
    <w:uiPriority w:val="1"/>
    <w:pPr>
      <w:widowControl w:val="0"/>
      <w:ind w:left="641" w:hanging="357"/>
      <w:jc w:val="both"/>
    </w:pPr>
    <w:rPr>
      <w:rFonts w:asciiTheme="minorHAnsi" w:hAnsiTheme="minorHAnsi" w:eastAsiaTheme="minorEastAsia" w:cstheme="minorBidi"/>
      <w:kern w:val="2"/>
      <w:sz w:val="21"/>
      <w:szCs w:val="22"/>
      <w:lang w:val="en-US" w:eastAsia="zh-CN" w:bidi="ar-SA"/>
    </w:rPr>
  </w:style>
  <w:style w:type="character" w:customStyle="1" w:styleId="31">
    <w:name w:val="无间隔 Char"/>
    <w:basedOn w:val="16"/>
    <w:link w:val="30"/>
    <w:autoRedefine/>
    <w:qFormat/>
    <w:uiPriority w:val="1"/>
  </w:style>
  <w:style w:type="paragraph" w:styleId="32">
    <w:name w:val="List Paragraph"/>
    <w:basedOn w:val="1"/>
    <w:autoRedefine/>
    <w:qFormat/>
    <w:uiPriority w:val="34"/>
    <w:pPr>
      <w:ind w:firstLine="420" w:firstLineChars="200"/>
    </w:pPr>
  </w:style>
  <w:style w:type="paragraph" w:styleId="33">
    <w:name w:val="Quote"/>
    <w:basedOn w:val="1"/>
    <w:next w:val="1"/>
    <w:link w:val="34"/>
    <w:autoRedefine/>
    <w:qFormat/>
    <w:uiPriority w:val="29"/>
    <w:rPr>
      <w:i/>
      <w:iCs/>
      <w:color w:val="000000" w:themeColor="text1"/>
      <w14:textFill>
        <w14:solidFill>
          <w14:schemeClr w14:val="tx1"/>
        </w14:solidFill>
      </w14:textFill>
    </w:rPr>
  </w:style>
  <w:style w:type="character" w:customStyle="1" w:styleId="34">
    <w:name w:val="引用 Char"/>
    <w:basedOn w:val="16"/>
    <w:link w:val="33"/>
    <w:autoRedefine/>
    <w:qFormat/>
    <w:uiPriority w:val="29"/>
    <w:rPr>
      <w:i/>
      <w:iCs/>
      <w:color w:val="000000" w:themeColor="text1"/>
      <w14:textFill>
        <w14:solidFill>
          <w14:schemeClr w14:val="tx1"/>
        </w14:solidFill>
      </w14:textFill>
    </w:rPr>
  </w:style>
  <w:style w:type="paragraph" w:styleId="35">
    <w:name w:val="Intense Quote"/>
    <w:basedOn w:val="1"/>
    <w:next w:val="1"/>
    <w:link w:val="36"/>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6">
    <w:name w:val="明显引用 Char"/>
    <w:basedOn w:val="16"/>
    <w:link w:val="35"/>
    <w:autoRedefine/>
    <w:qFormat/>
    <w:uiPriority w:val="30"/>
    <w:rPr>
      <w:b/>
      <w:bCs/>
      <w:i/>
      <w:iCs/>
      <w:color w:val="4F81BD" w:themeColor="accent1"/>
      <w14:textFill>
        <w14:solidFill>
          <w14:schemeClr w14:val="accent1"/>
        </w14:solidFill>
      </w14:textFill>
    </w:rPr>
  </w:style>
  <w:style w:type="character" w:customStyle="1" w:styleId="37">
    <w:name w:val="不明显强调1"/>
    <w:basedOn w:val="16"/>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明显强调1"/>
    <w:basedOn w:val="16"/>
    <w:autoRedefine/>
    <w:qFormat/>
    <w:uiPriority w:val="21"/>
    <w:rPr>
      <w:b/>
      <w:bCs/>
      <w:i/>
      <w:iCs/>
      <w:color w:val="4F81BD" w:themeColor="accent1"/>
      <w14:textFill>
        <w14:solidFill>
          <w14:schemeClr w14:val="accent1"/>
        </w14:solidFill>
      </w14:textFill>
    </w:rPr>
  </w:style>
  <w:style w:type="character" w:customStyle="1" w:styleId="39">
    <w:name w:val="不明显参考1"/>
    <w:basedOn w:val="16"/>
    <w:autoRedefine/>
    <w:qFormat/>
    <w:uiPriority w:val="31"/>
    <w:rPr>
      <w:smallCaps/>
      <w:color w:val="C0504D" w:themeColor="accent2"/>
      <w:u w:val="single"/>
      <w14:textFill>
        <w14:solidFill>
          <w14:schemeClr w14:val="accent2"/>
        </w14:solidFill>
      </w14:textFill>
    </w:rPr>
  </w:style>
  <w:style w:type="character" w:customStyle="1" w:styleId="40">
    <w:name w:val="明显参考1"/>
    <w:basedOn w:val="16"/>
    <w:autoRedefine/>
    <w:qFormat/>
    <w:uiPriority w:val="32"/>
    <w:rPr>
      <w:b/>
      <w:bCs/>
      <w:smallCaps/>
      <w:color w:val="C0504D" w:themeColor="accent2"/>
      <w:spacing w:val="5"/>
      <w:u w:val="single"/>
      <w14:textFill>
        <w14:solidFill>
          <w14:schemeClr w14:val="accent2"/>
        </w14:solidFill>
      </w14:textFill>
    </w:rPr>
  </w:style>
  <w:style w:type="character" w:customStyle="1" w:styleId="41">
    <w:name w:val="书籍标题1"/>
    <w:basedOn w:val="16"/>
    <w:autoRedefine/>
    <w:qFormat/>
    <w:uiPriority w:val="33"/>
    <w:rPr>
      <w:b/>
      <w:bCs/>
      <w:smallCaps/>
      <w:spacing w:val="5"/>
    </w:rPr>
  </w:style>
  <w:style w:type="paragraph" w:customStyle="1" w:styleId="42">
    <w:name w:val="TOC 标题1"/>
    <w:basedOn w:val="2"/>
    <w:next w:val="1"/>
    <w:autoRedefine/>
    <w:semiHidden/>
    <w:unhideWhenUsed/>
    <w:qFormat/>
    <w:uiPriority w:val="39"/>
    <w:pPr>
      <w:outlineLvl w:val="9"/>
    </w:pPr>
  </w:style>
  <w:style w:type="paragraph" w:customStyle="1" w:styleId="43">
    <w:name w:val="样式1"/>
    <w:basedOn w:val="1"/>
    <w:link w:val="44"/>
    <w:autoRedefine/>
    <w:qFormat/>
    <w:uiPriority w:val="0"/>
  </w:style>
  <w:style w:type="character" w:customStyle="1" w:styleId="44">
    <w:name w:val="样式1 Char"/>
    <w:basedOn w:val="16"/>
    <w:link w:val="43"/>
    <w:autoRedefine/>
    <w:qFormat/>
    <w:uiPriority w:val="0"/>
  </w:style>
  <w:style w:type="paragraph" w:customStyle="1" w:styleId="45">
    <w:name w:val="样式2"/>
    <w:basedOn w:val="2"/>
    <w:link w:val="46"/>
    <w:autoRedefine/>
    <w:qFormat/>
    <w:uiPriority w:val="0"/>
    <w:pPr>
      <w:numPr>
        <w:ilvl w:val="0"/>
        <w:numId w:val="1"/>
      </w:numPr>
    </w:pPr>
  </w:style>
  <w:style w:type="character" w:customStyle="1" w:styleId="46">
    <w:name w:val="样式2 Char"/>
    <w:basedOn w:val="19"/>
    <w:link w:val="45"/>
    <w:autoRedefine/>
    <w:qFormat/>
    <w:uiPriority w:val="0"/>
    <w:rPr>
      <w:kern w:val="44"/>
      <w:sz w:val="44"/>
      <w:szCs w:val="44"/>
    </w:rPr>
  </w:style>
  <w:style w:type="paragraph" w:customStyle="1" w:styleId="47">
    <w:name w:val="样式3"/>
    <w:basedOn w:val="2"/>
    <w:link w:val="48"/>
    <w:autoRedefine/>
    <w:qFormat/>
    <w:uiPriority w:val="0"/>
    <w:pPr>
      <w:numPr>
        <w:ilvl w:val="0"/>
        <w:numId w:val="2"/>
      </w:numPr>
    </w:pPr>
  </w:style>
  <w:style w:type="character" w:customStyle="1" w:styleId="48">
    <w:name w:val="样式3 Char"/>
    <w:basedOn w:val="19"/>
    <w:link w:val="47"/>
    <w:autoRedefine/>
    <w:qFormat/>
    <w:uiPriority w:val="0"/>
    <w:rPr>
      <w:kern w:val="44"/>
      <w:sz w:val="44"/>
      <w:szCs w:val="44"/>
    </w:rPr>
  </w:style>
  <w:style w:type="paragraph" w:customStyle="1" w:styleId="49">
    <w:name w:val="样式4"/>
    <w:basedOn w:val="2"/>
    <w:link w:val="50"/>
    <w:autoRedefine/>
    <w:qFormat/>
    <w:uiPriority w:val="0"/>
    <w:pPr>
      <w:numPr>
        <w:ilvl w:val="0"/>
        <w:numId w:val="3"/>
      </w:numPr>
    </w:pPr>
  </w:style>
  <w:style w:type="character" w:customStyle="1" w:styleId="50">
    <w:name w:val="样式4 Char"/>
    <w:basedOn w:val="19"/>
    <w:link w:val="49"/>
    <w:autoRedefine/>
    <w:qFormat/>
    <w:uiPriority w:val="0"/>
    <w:rPr>
      <w:kern w:val="44"/>
      <w:sz w:val="44"/>
      <w:szCs w:val="44"/>
    </w:rPr>
  </w:style>
  <w:style w:type="paragraph" w:customStyle="1" w:styleId="51">
    <w:name w:val="样式5"/>
    <w:basedOn w:val="2"/>
    <w:link w:val="52"/>
    <w:autoRedefine/>
    <w:qFormat/>
    <w:uiPriority w:val="0"/>
    <w:pPr>
      <w:numPr>
        <w:ilvl w:val="0"/>
        <w:numId w:val="4"/>
      </w:numPr>
    </w:pPr>
  </w:style>
  <w:style w:type="character" w:customStyle="1" w:styleId="52">
    <w:name w:val="样式5 Char"/>
    <w:basedOn w:val="19"/>
    <w:link w:val="51"/>
    <w:autoRedefine/>
    <w:qFormat/>
    <w:uiPriority w:val="0"/>
    <w:rPr>
      <w:kern w:val="44"/>
      <w:sz w:val="44"/>
      <w:szCs w:val="44"/>
    </w:rPr>
  </w:style>
  <w:style w:type="paragraph" w:customStyle="1" w:styleId="53">
    <w:name w:val="样式6"/>
    <w:basedOn w:val="2"/>
    <w:link w:val="54"/>
    <w:autoRedefine/>
    <w:qFormat/>
    <w:uiPriority w:val="0"/>
    <w:pPr>
      <w:numPr>
        <w:ilvl w:val="0"/>
        <w:numId w:val="5"/>
      </w:numPr>
    </w:pPr>
  </w:style>
  <w:style w:type="character" w:customStyle="1" w:styleId="54">
    <w:name w:val="样式6 Char"/>
    <w:basedOn w:val="19"/>
    <w:link w:val="53"/>
    <w:autoRedefine/>
    <w:qFormat/>
    <w:uiPriority w:val="0"/>
    <w:rPr>
      <w:kern w:val="44"/>
      <w:sz w:val="44"/>
      <w:szCs w:val="44"/>
    </w:rPr>
  </w:style>
  <w:style w:type="paragraph" w:customStyle="1" w:styleId="55">
    <w:name w:val="样式7"/>
    <w:basedOn w:val="2"/>
    <w:link w:val="56"/>
    <w:autoRedefine/>
    <w:qFormat/>
    <w:uiPriority w:val="0"/>
    <w:pPr>
      <w:numPr>
        <w:ilvl w:val="0"/>
        <w:numId w:val="6"/>
      </w:numPr>
    </w:pPr>
  </w:style>
  <w:style w:type="character" w:customStyle="1" w:styleId="56">
    <w:name w:val="样式7 Char"/>
    <w:basedOn w:val="19"/>
    <w:link w:val="55"/>
    <w:autoRedefine/>
    <w:qFormat/>
    <w:uiPriority w:val="0"/>
    <w:rPr>
      <w:kern w:val="44"/>
      <w:sz w:val="44"/>
      <w:szCs w:val="44"/>
    </w:rPr>
  </w:style>
  <w:style w:type="paragraph" w:customStyle="1" w:styleId="57">
    <w:name w:val="样式8"/>
    <w:basedOn w:val="3"/>
    <w:link w:val="58"/>
    <w:autoRedefine/>
    <w:qFormat/>
    <w:uiPriority w:val="0"/>
    <w:pPr>
      <w:numPr>
        <w:ilvl w:val="0"/>
        <w:numId w:val="7"/>
      </w:numPr>
    </w:pPr>
  </w:style>
  <w:style w:type="character" w:customStyle="1" w:styleId="58">
    <w:name w:val="样式8 Char"/>
    <w:basedOn w:val="20"/>
    <w:link w:val="57"/>
    <w:autoRedefine/>
    <w:qFormat/>
    <w:uiPriority w:val="0"/>
    <w:rPr>
      <w:rFonts w:asciiTheme="majorHAnsi" w:hAnsiTheme="majorHAnsi" w:eastAsiaTheme="majorEastAsia" w:cstheme="majorBidi"/>
      <w:sz w:val="32"/>
      <w:szCs w:val="32"/>
    </w:rPr>
  </w:style>
  <w:style w:type="paragraph" w:customStyle="1" w:styleId="59">
    <w:name w:val="样式9"/>
    <w:basedOn w:val="3"/>
    <w:link w:val="60"/>
    <w:autoRedefine/>
    <w:qFormat/>
    <w:uiPriority w:val="0"/>
    <w:pPr>
      <w:numPr>
        <w:ilvl w:val="0"/>
        <w:numId w:val="8"/>
      </w:numPr>
    </w:pPr>
  </w:style>
  <w:style w:type="character" w:customStyle="1" w:styleId="60">
    <w:name w:val="样式9 Char"/>
    <w:basedOn w:val="20"/>
    <w:link w:val="59"/>
    <w:autoRedefine/>
    <w:qFormat/>
    <w:uiPriority w:val="0"/>
    <w:rPr>
      <w:rFonts w:asciiTheme="majorHAnsi" w:hAnsiTheme="majorHAnsi" w:eastAsiaTheme="majorEastAsia" w:cstheme="majorBidi"/>
      <w:sz w:val="32"/>
      <w:szCs w:val="32"/>
    </w:rPr>
  </w:style>
  <w:style w:type="paragraph" w:customStyle="1" w:styleId="61">
    <w:name w:val="样式10"/>
    <w:basedOn w:val="3"/>
    <w:link w:val="62"/>
    <w:autoRedefine/>
    <w:qFormat/>
    <w:uiPriority w:val="0"/>
    <w:pPr>
      <w:numPr>
        <w:ilvl w:val="0"/>
        <w:numId w:val="9"/>
      </w:numPr>
    </w:pPr>
  </w:style>
  <w:style w:type="character" w:customStyle="1" w:styleId="62">
    <w:name w:val="样式10 Char"/>
    <w:basedOn w:val="20"/>
    <w:link w:val="61"/>
    <w:autoRedefine/>
    <w:qFormat/>
    <w:uiPriority w:val="0"/>
    <w:rPr>
      <w:rFonts w:asciiTheme="majorHAnsi" w:hAnsiTheme="majorHAnsi" w:eastAsiaTheme="majorEastAsia" w:cstheme="majorBidi"/>
      <w:sz w:val="32"/>
      <w:szCs w:val="32"/>
    </w:rPr>
  </w:style>
  <w:style w:type="paragraph" w:customStyle="1" w:styleId="63">
    <w:name w:val="样式11"/>
    <w:basedOn w:val="3"/>
    <w:link w:val="64"/>
    <w:autoRedefine/>
    <w:qFormat/>
    <w:uiPriority w:val="0"/>
    <w:pPr>
      <w:numPr>
        <w:ilvl w:val="0"/>
        <w:numId w:val="10"/>
      </w:numPr>
    </w:pPr>
  </w:style>
  <w:style w:type="character" w:customStyle="1" w:styleId="64">
    <w:name w:val="样式11 Char"/>
    <w:basedOn w:val="20"/>
    <w:link w:val="63"/>
    <w:autoRedefine/>
    <w:qFormat/>
    <w:uiPriority w:val="0"/>
    <w:rPr>
      <w:rFonts w:asciiTheme="majorHAnsi" w:hAnsiTheme="majorHAnsi" w:eastAsiaTheme="majorEastAsia" w:cstheme="majorBidi"/>
      <w:sz w:val="32"/>
      <w:szCs w:val="32"/>
    </w:rPr>
  </w:style>
  <w:style w:type="paragraph" w:customStyle="1" w:styleId="65">
    <w:name w:val="样式12"/>
    <w:basedOn w:val="3"/>
    <w:link w:val="66"/>
    <w:autoRedefine/>
    <w:qFormat/>
    <w:uiPriority w:val="0"/>
    <w:pPr>
      <w:numPr>
        <w:ilvl w:val="0"/>
        <w:numId w:val="11"/>
      </w:numPr>
    </w:pPr>
  </w:style>
  <w:style w:type="character" w:customStyle="1" w:styleId="66">
    <w:name w:val="样式12 Char"/>
    <w:basedOn w:val="20"/>
    <w:link w:val="65"/>
    <w:autoRedefine/>
    <w:qFormat/>
    <w:uiPriority w:val="0"/>
    <w:rPr>
      <w:rFonts w:asciiTheme="majorHAnsi" w:hAnsiTheme="majorHAnsi" w:eastAsiaTheme="majorEastAsia" w:cstheme="majorBidi"/>
      <w:sz w:val="32"/>
      <w:szCs w:val="32"/>
    </w:rPr>
  </w:style>
  <w:style w:type="paragraph" w:customStyle="1" w:styleId="67">
    <w:name w:val="样式13"/>
    <w:basedOn w:val="3"/>
    <w:link w:val="68"/>
    <w:autoRedefine/>
    <w:qFormat/>
    <w:uiPriority w:val="0"/>
    <w:pPr>
      <w:numPr>
        <w:ilvl w:val="0"/>
        <w:numId w:val="12"/>
      </w:numPr>
    </w:pPr>
  </w:style>
  <w:style w:type="character" w:customStyle="1" w:styleId="68">
    <w:name w:val="样式13 Char"/>
    <w:basedOn w:val="20"/>
    <w:link w:val="67"/>
    <w:autoRedefine/>
    <w:qFormat/>
    <w:uiPriority w:val="0"/>
    <w:rPr>
      <w:rFonts w:asciiTheme="majorHAnsi" w:hAnsiTheme="majorHAnsi" w:eastAsiaTheme="majorEastAsia" w:cstheme="majorBidi"/>
      <w:sz w:val="32"/>
      <w:szCs w:val="32"/>
    </w:rPr>
  </w:style>
  <w:style w:type="paragraph" w:customStyle="1" w:styleId="69">
    <w:name w:val="样式14"/>
    <w:basedOn w:val="4"/>
    <w:link w:val="70"/>
    <w:autoRedefine/>
    <w:qFormat/>
    <w:uiPriority w:val="0"/>
    <w:pPr>
      <w:numPr>
        <w:ilvl w:val="0"/>
        <w:numId w:val="13"/>
      </w:numPr>
    </w:pPr>
  </w:style>
  <w:style w:type="character" w:customStyle="1" w:styleId="70">
    <w:name w:val="样式14 Char"/>
    <w:basedOn w:val="21"/>
    <w:link w:val="69"/>
    <w:autoRedefine/>
    <w:qFormat/>
    <w:uiPriority w:val="0"/>
    <w:rPr>
      <w:sz w:val="32"/>
      <w:szCs w:val="32"/>
    </w:rPr>
  </w:style>
  <w:style w:type="paragraph" w:customStyle="1" w:styleId="71">
    <w:name w:val="样式15"/>
    <w:basedOn w:val="4"/>
    <w:link w:val="72"/>
    <w:autoRedefine/>
    <w:qFormat/>
    <w:uiPriority w:val="0"/>
    <w:pPr>
      <w:numPr>
        <w:ilvl w:val="0"/>
        <w:numId w:val="14"/>
      </w:numPr>
    </w:pPr>
  </w:style>
  <w:style w:type="character" w:customStyle="1" w:styleId="72">
    <w:name w:val="样式15 Char"/>
    <w:basedOn w:val="21"/>
    <w:link w:val="71"/>
    <w:autoRedefine/>
    <w:qFormat/>
    <w:uiPriority w:val="0"/>
    <w:rPr>
      <w:sz w:val="32"/>
      <w:szCs w:val="32"/>
    </w:rPr>
  </w:style>
  <w:style w:type="paragraph" w:customStyle="1" w:styleId="73">
    <w:name w:val="样式16"/>
    <w:basedOn w:val="4"/>
    <w:link w:val="74"/>
    <w:autoRedefine/>
    <w:qFormat/>
    <w:uiPriority w:val="0"/>
    <w:pPr>
      <w:numPr>
        <w:ilvl w:val="0"/>
        <w:numId w:val="15"/>
      </w:numPr>
    </w:pPr>
  </w:style>
  <w:style w:type="character" w:customStyle="1" w:styleId="74">
    <w:name w:val="样式16 Char"/>
    <w:basedOn w:val="21"/>
    <w:link w:val="73"/>
    <w:autoRedefine/>
    <w:qFormat/>
    <w:uiPriority w:val="0"/>
    <w:rPr>
      <w:sz w:val="32"/>
      <w:szCs w:val="32"/>
    </w:rPr>
  </w:style>
  <w:style w:type="paragraph" w:customStyle="1" w:styleId="75">
    <w:name w:val="样式17"/>
    <w:basedOn w:val="4"/>
    <w:link w:val="76"/>
    <w:autoRedefine/>
    <w:qFormat/>
    <w:uiPriority w:val="0"/>
    <w:pPr>
      <w:numPr>
        <w:ilvl w:val="0"/>
        <w:numId w:val="16"/>
      </w:numPr>
    </w:pPr>
  </w:style>
  <w:style w:type="character" w:customStyle="1" w:styleId="76">
    <w:name w:val="样式17 Char"/>
    <w:basedOn w:val="21"/>
    <w:link w:val="75"/>
    <w:autoRedefine/>
    <w:qFormat/>
    <w:uiPriority w:val="0"/>
    <w:rPr>
      <w:sz w:val="32"/>
      <w:szCs w:val="32"/>
    </w:rPr>
  </w:style>
  <w:style w:type="paragraph" w:customStyle="1" w:styleId="77">
    <w:name w:val="样式18"/>
    <w:basedOn w:val="4"/>
    <w:link w:val="78"/>
    <w:autoRedefine/>
    <w:qFormat/>
    <w:uiPriority w:val="0"/>
    <w:pPr>
      <w:numPr>
        <w:ilvl w:val="0"/>
        <w:numId w:val="17"/>
      </w:numPr>
    </w:pPr>
  </w:style>
  <w:style w:type="character" w:customStyle="1" w:styleId="78">
    <w:name w:val="样式18 Char"/>
    <w:basedOn w:val="21"/>
    <w:link w:val="77"/>
    <w:autoRedefine/>
    <w:qFormat/>
    <w:uiPriority w:val="0"/>
    <w:rPr>
      <w:sz w:val="32"/>
      <w:szCs w:val="32"/>
    </w:rPr>
  </w:style>
  <w:style w:type="paragraph" w:customStyle="1" w:styleId="79">
    <w:name w:val="样式19"/>
    <w:basedOn w:val="4"/>
    <w:link w:val="80"/>
    <w:autoRedefine/>
    <w:qFormat/>
    <w:uiPriority w:val="0"/>
    <w:pPr>
      <w:numPr>
        <w:ilvl w:val="0"/>
        <w:numId w:val="18"/>
      </w:numPr>
    </w:pPr>
  </w:style>
  <w:style w:type="character" w:customStyle="1" w:styleId="80">
    <w:name w:val="样式19 Char"/>
    <w:basedOn w:val="21"/>
    <w:link w:val="79"/>
    <w:autoRedefine/>
    <w:qFormat/>
    <w:uiPriority w:val="0"/>
    <w:rPr>
      <w:sz w:val="32"/>
      <w:szCs w:val="32"/>
    </w:rPr>
  </w:style>
  <w:style w:type="paragraph" w:customStyle="1" w:styleId="81">
    <w:name w:val="样式20"/>
    <w:basedOn w:val="5"/>
    <w:link w:val="82"/>
    <w:autoRedefine/>
    <w:qFormat/>
    <w:uiPriority w:val="0"/>
    <w:pPr>
      <w:numPr>
        <w:ilvl w:val="0"/>
        <w:numId w:val="19"/>
      </w:numPr>
    </w:pPr>
  </w:style>
  <w:style w:type="character" w:customStyle="1" w:styleId="82">
    <w:name w:val="样式20 Char"/>
    <w:basedOn w:val="22"/>
    <w:link w:val="81"/>
    <w:autoRedefine/>
    <w:qFormat/>
    <w:uiPriority w:val="0"/>
    <w:rPr>
      <w:rFonts w:asciiTheme="majorHAnsi" w:hAnsiTheme="majorHAnsi" w:eastAsiaTheme="majorEastAsia" w:cstheme="majorBidi"/>
      <w:sz w:val="28"/>
      <w:szCs w:val="28"/>
    </w:rPr>
  </w:style>
  <w:style w:type="paragraph" w:customStyle="1" w:styleId="83">
    <w:name w:val="样式21"/>
    <w:basedOn w:val="5"/>
    <w:link w:val="84"/>
    <w:autoRedefine/>
    <w:qFormat/>
    <w:uiPriority w:val="0"/>
    <w:pPr>
      <w:numPr>
        <w:ilvl w:val="0"/>
        <w:numId w:val="20"/>
      </w:numPr>
    </w:pPr>
  </w:style>
  <w:style w:type="character" w:customStyle="1" w:styleId="84">
    <w:name w:val="样式21 Char"/>
    <w:basedOn w:val="22"/>
    <w:link w:val="83"/>
    <w:autoRedefine/>
    <w:qFormat/>
    <w:uiPriority w:val="0"/>
    <w:rPr>
      <w:rFonts w:asciiTheme="majorHAnsi" w:hAnsiTheme="majorHAnsi" w:eastAsiaTheme="majorEastAsia" w:cstheme="majorBidi"/>
      <w:sz w:val="28"/>
      <w:szCs w:val="28"/>
    </w:rPr>
  </w:style>
  <w:style w:type="paragraph" w:customStyle="1" w:styleId="85">
    <w:name w:val="样式22"/>
    <w:basedOn w:val="5"/>
    <w:link w:val="86"/>
    <w:autoRedefine/>
    <w:qFormat/>
    <w:uiPriority w:val="0"/>
    <w:pPr>
      <w:numPr>
        <w:ilvl w:val="0"/>
        <w:numId w:val="21"/>
      </w:numPr>
    </w:pPr>
  </w:style>
  <w:style w:type="character" w:customStyle="1" w:styleId="86">
    <w:name w:val="样式22 Char"/>
    <w:basedOn w:val="22"/>
    <w:link w:val="85"/>
    <w:autoRedefine/>
    <w:qFormat/>
    <w:uiPriority w:val="0"/>
    <w:rPr>
      <w:rFonts w:asciiTheme="majorHAnsi" w:hAnsiTheme="majorHAnsi" w:eastAsiaTheme="majorEastAsia" w:cstheme="majorBidi"/>
      <w:sz w:val="28"/>
      <w:szCs w:val="28"/>
    </w:rPr>
  </w:style>
  <w:style w:type="paragraph" w:customStyle="1" w:styleId="87">
    <w:name w:val="样式23"/>
    <w:basedOn w:val="5"/>
    <w:link w:val="88"/>
    <w:autoRedefine/>
    <w:qFormat/>
    <w:uiPriority w:val="0"/>
    <w:pPr>
      <w:numPr>
        <w:ilvl w:val="0"/>
        <w:numId w:val="22"/>
      </w:numPr>
    </w:pPr>
  </w:style>
  <w:style w:type="character" w:customStyle="1" w:styleId="88">
    <w:name w:val="样式23 Char"/>
    <w:basedOn w:val="22"/>
    <w:link w:val="87"/>
    <w:autoRedefine/>
    <w:qFormat/>
    <w:uiPriority w:val="0"/>
    <w:rPr>
      <w:rFonts w:asciiTheme="majorHAnsi" w:hAnsiTheme="majorHAnsi" w:eastAsiaTheme="majorEastAsia" w:cstheme="majorBidi"/>
      <w:sz w:val="28"/>
      <w:szCs w:val="28"/>
    </w:rPr>
  </w:style>
  <w:style w:type="paragraph" w:customStyle="1" w:styleId="89">
    <w:name w:val="样式24"/>
    <w:basedOn w:val="5"/>
    <w:link w:val="90"/>
    <w:autoRedefine/>
    <w:qFormat/>
    <w:uiPriority w:val="0"/>
    <w:pPr>
      <w:numPr>
        <w:ilvl w:val="0"/>
        <w:numId w:val="23"/>
      </w:numPr>
    </w:pPr>
  </w:style>
  <w:style w:type="character" w:customStyle="1" w:styleId="90">
    <w:name w:val="样式24 Char"/>
    <w:basedOn w:val="22"/>
    <w:link w:val="89"/>
    <w:autoRedefine/>
    <w:qFormat/>
    <w:uiPriority w:val="0"/>
    <w:rPr>
      <w:rFonts w:asciiTheme="majorHAnsi" w:hAnsiTheme="majorHAnsi" w:eastAsiaTheme="majorEastAsia" w:cstheme="majorBidi"/>
      <w:sz w:val="28"/>
      <w:szCs w:val="28"/>
    </w:rPr>
  </w:style>
  <w:style w:type="paragraph" w:customStyle="1" w:styleId="91">
    <w:name w:val="样式25"/>
    <w:basedOn w:val="5"/>
    <w:link w:val="92"/>
    <w:autoRedefine/>
    <w:qFormat/>
    <w:uiPriority w:val="0"/>
    <w:pPr>
      <w:numPr>
        <w:ilvl w:val="0"/>
        <w:numId w:val="24"/>
      </w:numPr>
    </w:pPr>
  </w:style>
  <w:style w:type="character" w:customStyle="1" w:styleId="92">
    <w:name w:val="样式25 Char"/>
    <w:basedOn w:val="22"/>
    <w:link w:val="91"/>
    <w:autoRedefine/>
    <w:qFormat/>
    <w:uiPriority w:val="0"/>
    <w:rPr>
      <w:rFonts w:asciiTheme="majorHAnsi" w:hAnsiTheme="majorHAnsi" w:eastAsiaTheme="majorEastAsia" w:cstheme="majorBidi"/>
      <w:sz w:val="28"/>
      <w:szCs w:val="28"/>
    </w:rPr>
  </w:style>
  <w:style w:type="paragraph" w:customStyle="1" w:styleId="93">
    <w:name w:val="样式26"/>
    <w:basedOn w:val="6"/>
    <w:link w:val="94"/>
    <w:autoRedefine/>
    <w:qFormat/>
    <w:uiPriority w:val="0"/>
    <w:pPr>
      <w:numPr>
        <w:ilvl w:val="0"/>
        <w:numId w:val="25"/>
      </w:numPr>
    </w:pPr>
  </w:style>
  <w:style w:type="character" w:customStyle="1" w:styleId="94">
    <w:name w:val="样式26 Char"/>
    <w:basedOn w:val="23"/>
    <w:link w:val="93"/>
    <w:autoRedefine/>
    <w:qFormat/>
    <w:uiPriority w:val="0"/>
    <w:rPr>
      <w:sz w:val="28"/>
      <w:szCs w:val="28"/>
    </w:rPr>
  </w:style>
  <w:style w:type="paragraph" w:customStyle="1" w:styleId="95">
    <w:name w:val="样式27"/>
    <w:basedOn w:val="6"/>
    <w:link w:val="96"/>
    <w:autoRedefine/>
    <w:qFormat/>
    <w:uiPriority w:val="0"/>
    <w:pPr>
      <w:numPr>
        <w:ilvl w:val="0"/>
        <w:numId w:val="26"/>
      </w:numPr>
    </w:pPr>
  </w:style>
  <w:style w:type="character" w:customStyle="1" w:styleId="96">
    <w:name w:val="样式27 Char"/>
    <w:basedOn w:val="23"/>
    <w:link w:val="95"/>
    <w:autoRedefine/>
    <w:qFormat/>
    <w:uiPriority w:val="0"/>
    <w:rPr>
      <w:sz w:val="28"/>
      <w:szCs w:val="28"/>
    </w:rPr>
  </w:style>
  <w:style w:type="paragraph" w:customStyle="1" w:styleId="97">
    <w:name w:val="样式28"/>
    <w:basedOn w:val="6"/>
    <w:link w:val="98"/>
    <w:autoRedefine/>
    <w:qFormat/>
    <w:uiPriority w:val="0"/>
    <w:pPr>
      <w:numPr>
        <w:ilvl w:val="0"/>
        <w:numId w:val="27"/>
      </w:numPr>
    </w:pPr>
  </w:style>
  <w:style w:type="character" w:customStyle="1" w:styleId="98">
    <w:name w:val="样式28 Char"/>
    <w:basedOn w:val="23"/>
    <w:link w:val="97"/>
    <w:autoRedefine/>
    <w:qFormat/>
    <w:uiPriority w:val="0"/>
    <w:rPr>
      <w:sz w:val="28"/>
      <w:szCs w:val="28"/>
    </w:rPr>
  </w:style>
  <w:style w:type="paragraph" w:customStyle="1" w:styleId="99">
    <w:name w:val="样式29"/>
    <w:basedOn w:val="6"/>
    <w:link w:val="100"/>
    <w:autoRedefine/>
    <w:qFormat/>
    <w:uiPriority w:val="0"/>
    <w:pPr>
      <w:numPr>
        <w:ilvl w:val="0"/>
        <w:numId w:val="28"/>
      </w:numPr>
    </w:pPr>
  </w:style>
  <w:style w:type="character" w:customStyle="1" w:styleId="100">
    <w:name w:val="样式29 Char"/>
    <w:basedOn w:val="23"/>
    <w:link w:val="99"/>
    <w:autoRedefine/>
    <w:qFormat/>
    <w:uiPriority w:val="0"/>
    <w:rPr>
      <w:sz w:val="28"/>
      <w:szCs w:val="28"/>
    </w:rPr>
  </w:style>
  <w:style w:type="paragraph" w:customStyle="1" w:styleId="101">
    <w:name w:val="样式30"/>
    <w:basedOn w:val="6"/>
    <w:link w:val="102"/>
    <w:autoRedefine/>
    <w:qFormat/>
    <w:uiPriority w:val="0"/>
    <w:pPr>
      <w:numPr>
        <w:ilvl w:val="0"/>
        <w:numId w:val="29"/>
      </w:numPr>
    </w:pPr>
  </w:style>
  <w:style w:type="character" w:customStyle="1" w:styleId="102">
    <w:name w:val="样式30 Char"/>
    <w:basedOn w:val="23"/>
    <w:link w:val="101"/>
    <w:autoRedefine/>
    <w:qFormat/>
    <w:uiPriority w:val="0"/>
    <w:rPr>
      <w:sz w:val="28"/>
      <w:szCs w:val="28"/>
    </w:rPr>
  </w:style>
  <w:style w:type="paragraph" w:customStyle="1" w:styleId="103">
    <w:name w:val="样式31"/>
    <w:basedOn w:val="6"/>
    <w:link w:val="104"/>
    <w:autoRedefine/>
    <w:qFormat/>
    <w:uiPriority w:val="0"/>
    <w:pPr>
      <w:numPr>
        <w:ilvl w:val="0"/>
        <w:numId w:val="30"/>
      </w:numPr>
    </w:pPr>
  </w:style>
  <w:style w:type="character" w:customStyle="1" w:styleId="104">
    <w:name w:val="样式31 Char"/>
    <w:basedOn w:val="23"/>
    <w:link w:val="103"/>
    <w:qFormat/>
    <w:uiPriority w:val="0"/>
    <w:rPr>
      <w:sz w:val="28"/>
      <w:szCs w:val="28"/>
    </w:rPr>
  </w:style>
  <w:style w:type="character" w:customStyle="1" w:styleId="105">
    <w:name w:val="批注框文本 Char"/>
    <w:basedOn w:val="16"/>
    <w:link w:val="1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9AB96B-6A45-4145-8875-A06A9A2CC3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7775</Words>
  <Characters>8176</Characters>
  <Lines>58</Lines>
  <Paragraphs>16</Paragraphs>
  <TotalTime>93</TotalTime>
  <ScaleCrop>false</ScaleCrop>
  <LinksUpToDate>false</LinksUpToDate>
  <CharactersWithSpaces>8196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2025-04-25T02:21:00Z</dcterms:created>
  <dc:creator>User</dc:creator>
  <cp:lastModifiedBy>懵-</cp:lastModifiedBy>
  <cp:lastPrinted>2025-04-25T02:00:00Z</cp:lastPrinted>
  <dcterms:modified xsi:type="dcterms:W3CDTF">2025-04-29T00:59:25Z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4AA06E9E4D454AAC91DA78CB01FDC17A_12</vt:lpwstr>
  </property>
  <property fmtid="{D5CDD505-2E9C-101B-9397-08002B2CF9AE}" pid="4" name="KSOTemplateDocerSaveRecord">
    <vt:lpwstr>eyJoZGlkIjoiZDA4ZGZjZTljYjU4NWQ1YWEwNTM4ZDM5NzVlYzc4OWUiLCJ1c2VySWQiOiIxMTU5NTAzOTg4In0=</vt:lpwstr>
  </property>
</Properties>
</file>