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947" w:rsidRDefault="003A5947" w:rsidP="003A5947">
      <w:pPr>
        <w:spacing w:line="480" w:lineRule="auto"/>
        <w:ind w:firstLineChars="200" w:firstLine="560"/>
        <w:jc w:val="center"/>
        <w:rPr>
          <w:rFonts w:ascii="宋体" w:eastAsia="宋体" w:hAnsi="宋体"/>
          <w:sz w:val="28"/>
        </w:rPr>
      </w:pPr>
      <w:r w:rsidRPr="003A5947">
        <w:rPr>
          <w:rFonts w:ascii="宋体" w:eastAsia="宋体" w:hAnsi="宋体" w:hint="eastAsia"/>
          <w:sz w:val="28"/>
        </w:rPr>
        <w:t>2024年度</w:t>
      </w:r>
    </w:p>
    <w:p w:rsidR="003A5947" w:rsidRPr="003A5947" w:rsidRDefault="003A5947" w:rsidP="003A5947">
      <w:pPr>
        <w:spacing w:line="480" w:lineRule="auto"/>
        <w:ind w:firstLineChars="200" w:firstLine="683"/>
        <w:jc w:val="center"/>
        <w:rPr>
          <w:rFonts w:ascii="宋体" w:eastAsia="宋体" w:hAnsi="宋体"/>
          <w:b/>
          <w:sz w:val="34"/>
        </w:rPr>
      </w:pPr>
      <w:r w:rsidRPr="003A5947">
        <w:rPr>
          <w:rFonts w:ascii="宋体" w:eastAsia="宋体" w:hAnsi="宋体" w:hint="eastAsia"/>
          <w:b/>
          <w:sz w:val="34"/>
        </w:rPr>
        <w:t>祁东县种业事务中心部门决算</w:t>
      </w:r>
    </w:p>
    <w:p w:rsidR="003A5947" w:rsidRDefault="003A5947" w:rsidP="003A5947">
      <w:pPr>
        <w:spacing w:line="480" w:lineRule="auto"/>
        <w:ind w:firstLineChars="200" w:firstLine="560"/>
        <w:jc w:val="center"/>
        <w:rPr>
          <w:rFonts w:ascii="宋体" w:eastAsia="宋体" w:hAnsi="宋体"/>
          <w:sz w:val="28"/>
        </w:rPr>
      </w:pPr>
    </w:p>
    <w:p w:rsidR="003A5947" w:rsidRDefault="003A5947" w:rsidP="003A5947">
      <w:pPr>
        <w:spacing w:line="480" w:lineRule="auto"/>
        <w:ind w:firstLineChars="200" w:firstLine="560"/>
        <w:jc w:val="center"/>
        <w:rPr>
          <w:rFonts w:ascii="宋体" w:eastAsia="宋体" w:hAnsi="宋体"/>
          <w:sz w:val="28"/>
        </w:rPr>
      </w:pPr>
      <w:r>
        <w:rPr>
          <w:rFonts w:ascii="宋体" w:eastAsia="宋体" w:hAnsi="宋体" w:hint="eastAsia"/>
          <w:sz w:val="28"/>
        </w:rPr>
        <w:t>目</w:t>
      </w:r>
      <w:r>
        <w:rPr>
          <w:rFonts w:ascii="宋体" w:eastAsia="宋体" w:hAnsi="宋体"/>
          <w:sz w:val="28"/>
        </w:rPr>
        <w:t xml:space="preserve"> 录</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第一部分祁东县种业事务中心概况</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一、部门职责</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二、机构设置</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第二部分部门决算表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一、收入支出决算总表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二、收入决算表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三、支出决算表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四、财政拨款收入支出决算总表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五、一般公共预算财政拨款支出决算表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六、一般公共预算财政拨款基本支出决算明细表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七、政府性基金预算财政拨款收入支出决算表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八、国有资本经营预算财政拨款支出决算表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九、财政拨款“三公”经费支出决算表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第三部分部门决算情况说明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一、收入支出决算总体情况说明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二、收入决算情况说明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三、支出决算情况说明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四、财政拨款收入支出决算总体情况说明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lastRenderedPageBreak/>
        <w:t>五、一般公共预算财政拨款支出决算情况说明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六、一般公共预算财政拨款基本支出决算情况说明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七、财政拨款“三公”经费支出决算情况说明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八、政府性基金预算收入支出决算情况</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九、关于机关运行经费支出说明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十、一般性支出情况</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十一、关于政府采购支出说明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十二、关于国有资产占用情况说明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十三、关于</w:t>
      </w:r>
      <w:r>
        <w:rPr>
          <w:rFonts w:ascii="宋体" w:eastAsia="宋体" w:hAnsi="宋体"/>
          <w:sz w:val="28"/>
        </w:rPr>
        <w:t>2024年度预算绩效情况的说明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第四部分名词解释</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第五部分附件</w:t>
      </w:r>
    </w:p>
    <w:p w:rsidR="003A5947" w:rsidRDefault="003A5947" w:rsidP="003A5947">
      <w:pPr>
        <w:spacing w:line="480" w:lineRule="auto"/>
        <w:ind w:firstLineChars="200" w:firstLine="560"/>
        <w:rPr>
          <w:rFonts w:ascii="宋体" w:eastAsia="宋体" w:hAnsi="宋体"/>
          <w:sz w:val="28"/>
        </w:rPr>
      </w:pPr>
    </w:p>
    <w:p w:rsidR="003A5947" w:rsidRDefault="003A5947" w:rsidP="003A5947">
      <w:pPr>
        <w:spacing w:line="480" w:lineRule="auto"/>
        <w:ind w:firstLineChars="200" w:firstLine="560"/>
        <w:rPr>
          <w:rFonts w:ascii="宋体" w:eastAsia="宋体" w:hAnsi="宋体"/>
          <w:sz w:val="28"/>
        </w:rPr>
      </w:pPr>
    </w:p>
    <w:p w:rsidR="003A5947" w:rsidRPr="003A5947" w:rsidRDefault="003A5947" w:rsidP="003A5947">
      <w:pPr>
        <w:spacing w:line="480" w:lineRule="auto"/>
        <w:ind w:firstLineChars="200" w:firstLine="560"/>
        <w:rPr>
          <w:rFonts w:ascii="黑体" w:eastAsia="黑体" w:hAnsi="宋体"/>
          <w:sz w:val="28"/>
        </w:rPr>
      </w:pPr>
      <w:r w:rsidRPr="003A5947">
        <w:rPr>
          <w:rFonts w:ascii="黑体" w:eastAsia="黑体" w:hAnsi="宋体" w:hint="eastAsia"/>
          <w:sz w:val="28"/>
        </w:rPr>
        <w:t>第一部分</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祁东县种业事务中心概况</w:t>
      </w:r>
    </w:p>
    <w:p w:rsidR="003A5947" w:rsidRDefault="003A5947" w:rsidP="003A5947">
      <w:pPr>
        <w:spacing w:line="480" w:lineRule="auto"/>
        <w:ind w:firstLineChars="200" w:firstLine="560"/>
        <w:rPr>
          <w:rFonts w:ascii="宋体" w:eastAsia="宋体" w:hAnsi="宋体"/>
          <w:sz w:val="28"/>
        </w:rPr>
      </w:pPr>
    </w:p>
    <w:p w:rsidR="003A5947" w:rsidRDefault="003A5947" w:rsidP="003A5947">
      <w:pPr>
        <w:spacing w:line="480" w:lineRule="auto"/>
        <w:ind w:firstLineChars="200" w:firstLine="560"/>
        <w:rPr>
          <w:rFonts w:ascii="宋体" w:eastAsia="宋体" w:hAnsi="宋体"/>
          <w:sz w:val="28"/>
        </w:rPr>
      </w:pP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一、部门职责</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1、负责农作物新品种引进、展示、示范和推广。</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2、负责对农作物品种进行安全跟踪评价，收集种业基础信息。</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3、负责农作物种子质量检验检测工作。</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4、负责农作物种质资源和植物新品种保护工作。</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lastRenderedPageBreak/>
        <w:t>5、负责组织落实救灾备荒种子储备工作。</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6、参与农作物种子种苗质量监管服务工作。</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7、完成县农业农村局交办的其他任务。</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二、机构设置及决算单位构成</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祁东县种业事务中心是正股级全额拨款事业单位，内设综合股、财务股、种业服务股、检验检测股、储备展示股，下属单位：祁东县种子技术推广服务中心。</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人员编制情况。祁东县种业事务中心编制</w:t>
      </w:r>
      <w:r>
        <w:rPr>
          <w:rFonts w:ascii="宋体" w:eastAsia="宋体" w:hAnsi="宋体"/>
          <w:sz w:val="28"/>
        </w:rPr>
        <w:t>26名，下属单位祁东县种子技术推广服务中心差额编制64名。</w:t>
      </w:r>
    </w:p>
    <w:p w:rsidR="003A5947" w:rsidRDefault="003A5947" w:rsidP="003A5947">
      <w:pPr>
        <w:spacing w:line="480" w:lineRule="auto"/>
        <w:ind w:firstLineChars="200" w:firstLine="560"/>
        <w:rPr>
          <w:rFonts w:ascii="宋体" w:eastAsia="宋体" w:hAnsi="宋体"/>
          <w:sz w:val="28"/>
        </w:rPr>
      </w:pP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决算单位构成</w:t>
      </w:r>
      <w:r>
        <w:rPr>
          <w:rFonts w:ascii="宋体" w:eastAsia="宋体" w:hAnsi="宋体"/>
          <w:sz w:val="28"/>
        </w:rPr>
        <w:t>,祁东县种业事务中心2024年部门决算汇总公开单位构成包括：单位本级。</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第二部分</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部门决算表（见附件）</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一、收入支出决算总表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二、收入决算表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三、支出决算表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四、财政拨款收入支出决算总表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五、一般公共预算财政拨款支出决算表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六、一般公共预算财政拨款基本支出决算表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七、政府性基金预算财政拨款收入支出决算表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八、国有资本经营预算财政拨款支出决算表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lastRenderedPageBreak/>
        <w:t>九、财政拨款“三公”经费支出决算表</w:t>
      </w:r>
    </w:p>
    <w:p w:rsidR="003A5947" w:rsidRDefault="003A5947" w:rsidP="003A5947">
      <w:pPr>
        <w:spacing w:line="480" w:lineRule="auto"/>
        <w:ind w:firstLineChars="200" w:firstLine="560"/>
        <w:rPr>
          <w:rFonts w:ascii="宋体" w:eastAsia="宋体" w:hAnsi="宋体"/>
          <w:sz w:val="28"/>
        </w:rPr>
      </w:pPr>
    </w:p>
    <w:p w:rsidR="003A5947" w:rsidRDefault="003A5947" w:rsidP="003A5947">
      <w:pPr>
        <w:spacing w:line="480" w:lineRule="auto"/>
        <w:ind w:firstLineChars="200" w:firstLine="560"/>
        <w:rPr>
          <w:rFonts w:ascii="宋体" w:eastAsia="宋体" w:hAnsi="宋体"/>
          <w:sz w:val="28"/>
        </w:rPr>
      </w:pPr>
    </w:p>
    <w:p w:rsidR="003A5947" w:rsidRPr="003A5947" w:rsidRDefault="003A5947" w:rsidP="003A5947">
      <w:pPr>
        <w:spacing w:line="480" w:lineRule="auto"/>
        <w:ind w:firstLineChars="200" w:firstLine="560"/>
        <w:rPr>
          <w:rFonts w:ascii="黑体" w:eastAsia="黑体" w:hAnsi="宋体"/>
          <w:sz w:val="28"/>
        </w:rPr>
      </w:pPr>
      <w:r w:rsidRPr="003A5947">
        <w:rPr>
          <w:rFonts w:ascii="黑体" w:eastAsia="黑体" w:hAnsi="宋体" w:hint="eastAsia"/>
          <w:sz w:val="28"/>
        </w:rPr>
        <w:t>第三部分</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 部门决算情况说明</w:t>
      </w:r>
    </w:p>
    <w:p w:rsidR="003A5947" w:rsidRDefault="003A5947" w:rsidP="003A5947">
      <w:pPr>
        <w:spacing w:line="480" w:lineRule="auto"/>
        <w:ind w:firstLineChars="200" w:firstLine="560"/>
        <w:rPr>
          <w:rFonts w:ascii="宋体" w:eastAsia="宋体" w:hAnsi="宋体"/>
          <w:sz w:val="28"/>
        </w:rPr>
      </w:pP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一、收入支出决算总体情况说明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2024年收、支总计452.63万元。与上年相比减少75.43万元，下降14.28%，主要是因为：退休、异动等人员经费、专项资金减少。</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二、收入决算情况说明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收入合计452.63万元，其中：一般公共预算财政拨款收入452.63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三、支出决算情况说明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2024年支出合计452.63万元，其中：基本支出452.63万元，占100.00%；项目支出0.00万元，占0.00%；上缴上级支出0.00万元，占0.00%；经营支出0.00万元，占0.00%；对附属单位补助支出0.00万元，占0.00%。</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四、财政拨款收入支出决算总体情况说明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lastRenderedPageBreak/>
        <w:t>2024年财政拨款收、支总计452.63万元。与上年相比减少75.43万元，下降14.28%，主要是因为：退休、异动等人员经费、专项资金减少。</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五、一般公共预算财政拨款支出决算情况说明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（一）一般公共预算财政拨款支出决算总体情况</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2024年财政拨款支出452.63万元，占本年支出合计的100.00%，与上年相比减少75.43万元，下降16.66%，主要是因为：退休、异动等人员经费、专项资金减少。</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（二）一般公共预算财政拨款支出决算结构情况</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一般公共预算财政拨款支出452.63万元，主要用于以下方面：社会保障和就业支出（类）26.92万元，占5.95%；卫生健康支出（类）10.96万元，占2.42%；农林水支出（类）394.57万元，占87.17%；住房保障支出（类）20.19万元，占4.46%；</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（三）一般公共预算财政拨款支出决算具体情况</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2024年一般公共预算财政拨款支出年初预算数为389.3893万元，支出决算数为452.63万元，完成年初预算的116.24%，其中：</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1、社会保障和就业支出（类）行政事业单位养老支出机关事业单位基本养老保险缴费支出（款）机关事业单位基本养老保险缴费支出（项）。年初预算为26.92万元，支出决算为26.92万元，完成年初预算的100.02%，决算数大于年初预算数的主要原因是：人员经费预算、专项资金增</w:t>
      </w:r>
      <w:r>
        <w:rPr>
          <w:rFonts w:ascii="宋体" w:eastAsia="宋体" w:hAnsi="宋体" w:hint="eastAsia"/>
          <w:sz w:val="28"/>
        </w:rPr>
        <w:t>加及预算追加。</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2、卫生健康支出（类）行政</w:t>
      </w:r>
      <w:proofErr w:type="gramStart"/>
      <w:r>
        <w:rPr>
          <w:rFonts w:ascii="宋体" w:eastAsia="宋体" w:hAnsi="宋体"/>
          <w:sz w:val="28"/>
        </w:rPr>
        <w:t>事业单位医疗事业单位医疗</w:t>
      </w:r>
      <w:proofErr w:type="gramEnd"/>
      <w:r>
        <w:rPr>
          <w:rFonts w:ascii="宋体" w:eastAsia="宋体" w:hAnsi="宋体"/>
          <w:sz w:val="28"/>
        </w:rPr>
        <w:t>（款）</w:t>
      </w:r>
      <w:r>
        <w:rPr>
          <w:rFonts w:ascii="宋体" w:eastAsia="宋体" w:hAnsi="宋体"/>
          <w:sz w:val="28"/>
        </w:rPr>
        <w:lastRenderedPageBreak/>
        <w:t>事业单位医疗（项）。年初预算为10.96万元，支出决算为10.96万元，完成年初预算的99.98%，决算数小于年初预算数的主要原因是：退休、异动等人员经费、专项资金减少。</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3、农林水支出（类）农业农村行政运行（款）行政运行（项）。年初预算为331.33万元，支出决算为382.22万元，完成年初预算的115.36%，决算数大于年初预算数的主要原因是：人员经费预算、专项资金增加及预算追加。</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4、农林水支出（类）农业农村农产品质量安全（款）</w:t>
      </w:r>
      <w:r>
        <w:rPr>
          <w:rFonts w:ascii="宋体" w:eastAsia="宋体" w:hAnsi="宋体" w:hint="eastAsia"/>
          <w:sz w:val="28"/>
        </w:rPr>
        <w:t>农产品质量安全（项）。年初预算为</w:t>
      </w:r>
      <w:r>
        <w:rPr>
          <w:rFonts w:ascii="宋体" w:eastAsia="宋体" w:hAnsi="宋体"/>
          <w:sz w:val="28"/>
        </w:rPr>
        <w:t>0.00万元，支出决算为5.00万元，决算数大于年初预算数的主要原因是：人员经费预算、专项资金增加及预算追加。</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5、农林水支出（类）其他农林水支出其他农林水支出（款）其他农林水支出（项）。年初预算为0.00万元，支出决算为7.35万元，决算数大于年初预算数的主要原因是：人员经费预算、专项资金增加及预算追加。</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6、住房保障支出（类）住房改革支出住房公积金（款）住房公积金（项）。年初预算为20.19万元，支出决算为20.19万元，完成年初预算的100.02%，决算数大于年初预算</w:t>
      </w:r>
      <w:r>
        <w:rPr>
          <w:rFonts w:ascii="宋体" w:eastAsia="宋体" w:hAnsi="宋体" w:hint="eastAsia"/>
          <w:sz w:val="28"/>
        </w:rPr>
        <w:t>数的主要原因是：人员经费预算、专项资金增加及预算追加。</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六、一般公共预算财政拨款基本支出决算情况说明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2024年一般公共预算财政拨款基本支出452.63万元，其中：人员经费393.56万元，</w:t>
      </w:r>
      <w:proofErr w:type="gramStart"/>
      <w:r>
        <w:rPr>
          <w:rFonts w:ascii="宋体" w:eastAsia="宋体" w:hAnsi="宋体"/>
          <w:sz w:val="28"/>
        </w:rPr>
        <w:t>占基本</w:t>
      </w:r>
      <w:proofErr w:type="gramEnd"/>
      <w:r>
        <w:rPr>
          <w:rFonts w:ascii="宋体" w:eastAsia="宋体" w:hAnsi="宋体"/>
          <w:sz w:val="28"/>
        </w:rPr>
        <w:t>支出的86.95%,主要包括本工资、津贴</w:t>
      </w:r>
      <w:r>
        <w:rPr>
          <w:rFonts w:ascii="宋体" w:eastAsia="宋体" w:hAnsi="宋体"/>
          <w:sz w:val="28"/>
        </w:rPr>
        <w:lastRenderedPageBreak/>
        <w:t>补贴、奖金、伙食补助费、绩效工资、机关事业单位基本养老保险缴费、职工基本医疗保险缴费、其他社会保障缴费、住房公积金、其他工资福利支出、生活补助、奖励金、其他对个人和家庭的补助；公用经费59.07万元，</w:t>
      </w:r>
      <w:proofErr w:type="gramStart"/>
      <w:r>
        <w:rPr>
          <w:rFonts w:ascii="宋体" w:eastAsia="宋体" w:hAnsi="宋体"/>
          <w:sz w:val="28"/>
        </w:rPr>
        <w:t>占基本</w:t>
      </w:r>
      <w:proofErr w:type="gramEnd"/>
      <w:r>
        <w:rPr>
          <w:rFonts w:ascii="宋体" w:eastAsia="宋体" w:hAnsi="宋体"/>
          <w:sz w:val="28"/>
        </w:rPr>
        <w:t>支出的13.05%,主要包括办公费、印刷费、邮电费、差旅费、培训费、公务接待费、劳务费、委托业务费、工会经费、福利费、其他</w:t>
      </w:r>
      <w:r>
        <w:rPr>
          <w:rFonts w:ascii="宋体" w:eastAsia="宋体" w:hAnsi="宋体" w:hint="eastAsia"/>
          <w:sz w:val="28"/>
        </w:rPr>
        <w:t>交通费用、其他商品和服务支出、办公设备购置。</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七、一般公共预算财政拨款三</w:t>
      </w:r>
      <w:proofErr w:type="gramStart"/>
      <w:r w:rsidRPr="003A5947">
        <w:rPr>
          <w:rFonts w:ascii="宋体" w:eastAsia="宋体" w:hAnsi="宋体" w:hint="eastAsia"/>
          <w:b/>
          <w:sz w:val="28"/>
        </w:rPr>
        <w:t>公经费</w:t>
      </w:r>
      <w:proofErr w:type="gramEnd"/>
      <w:r w:rsidRPr="003A5947">
        <w:rPr>
          <w:rFonts w:ascii="宋体" w:eastAsia="宋体" w:hAnsi="宋体" w:hint="eastAsia"/>
          <w:b/>
          <w:sz w:val="28"/>
        </w:rPr>
        <w:t>支出决算情况说明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（一）“三公”经费财政拨款支出决算总体情况说明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“三公”经费财政拨款支出预算为</w:t>
      </w:r>
      <w:r>
        <w:rPr>
          <w:rFonts w:ascii="宋体" w:eastAsia="宋体" w:hAnsi="宋体"/>
          <w:sz w:val="28"/>
        </w:rPr>
        <w:t>0.42万元，支出决算为0.42万元，完成预算的100.00%，，决算数等于预算数。与上年相比减少0.01万元，减少2.33%，减少的主要原因是节约开支。其中：</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因公出国支出预算为</w:t>
      </w:r>
      <w:r>
        <w:rPr>
          <w:rFonts w:ascii="宋体" w:eastAsia="宋体" w:hAnsi="宋体"/>
          <w:sz w:val="28"/>
        </w:rPr>
        <w:t>0.00万元，支出决算为0.00万元 ，完成预算的100%，决算数与预算数持平。与上年相比增减0.00万元，增减0.00%。</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公务用车购置费支出预算为</w:t>
      </w:r>
      <w:r>
        <w:rPr>
          <w:rFonts w:ascii="宋体" w:eastAsia="宋体" w:hAnsi="宋体"/>
          <w:sz w:val="28"/>
        </w:rPr>
        <w:t>0.00万元，支出决算为0.00万元 ，完成预算的100%，决算数与预算数持平。与上年相比增减0.00万元，增减0.00%。</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公务用车运行维护费支出预算为</w:t>
      </w:r>
      <w:r>
        <w:rPr>
          <w:rFonts w:ascii="宋体" w:eastAsia="宋体" w:hAnsi="宋体"/>
          <w:sz w:val="28"/>
        </w:rPr>
        <w:t>0.00万元，支出决算为0.00万元 ，完成预算的100%，决算数与预算数持平。与上年相比增减0.00万元，增减0.00%。</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公务接待费支出预算为</w:t>
      </w:r>
      <w:r>
        <w:rPr>
          <w:rFonts w:ascii="宋体" w:eastAsia="宋体" w:hAnsi="宋体"/>
          <w:sz w:val="28"/>
        </w:rPr>
        <w:t>0.42万元，支出决算为0.42万元 ，完成预算的100%，决算数与预算数持平。与上年相比减少0.01万元，</w:t>
      </w:r>
      <w:r>
        <w:rPr>
          <w:rFonts w:ascii="宋体" w:eastAsia="宋体" w:hAnsi="宋体"/>
          <w:sz w:val="28"/>
        </w:rPr>
        <w:lastRenderedPageBreak/>
        <w:t>减少2.33%，减少的主要原因是：认真贯彻落实中央“八项规定”精神和厉行节约要求。</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（二）“三公”经费财政拨款支出决算具体情况说明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2024年“三公”经</w:t>
      </w:r>
      <w:r>
        <w:rPr>
          <w:rFonts w:ascii="宋体" w:eastAsia="宋体" w:hAnsi="宋体" w:hint="eastAsia"/>
          <w:sz w:val="28"/>
        </w:rPr>
        <w:t>费财政拨款支出决算中，公务接待费支出决算</w:t>
      </w:r>
      <w:r>
        <w:rPr>
          <w:rFonts w:ascii="宋体" w:eastAsia="宋体" w:hAnsi="宋体"/>
          <w:sz w:val="28"/>
        </w:rPr>
        <w:t>0.42万元，占100.00%,因公出国（境）费支出决算0万元，占0.00%,公务用车购置费及运行维护费支出决算0.00万元，占0.00%。其中：</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1、因公出国（境）费支出决算为0万元，全年安排因公出国（境）团组0个，累计0人次。</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2、公务接待费支出决算为0.42万元，全年共接待来访团组22个、来宾106人次，主要是公务活动发生的接待支出。</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3、公务用车购置费及运行维护费支出决算为0.00万元，其中：公务用车购置费0.00万元，更新公务用车0辆；公务用车运行维护费0.00万元，主要是燃油费、过路过桥费、保险费、维修费支出。截止2024年12月31日，我单位开支财政拨款的公务用车保有量为0辆。</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八、政府性基金预算收入支出决算情况</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2024年政府性基金预算财政拨款收入0万元；年初结转和结余0万元；支出0万元，其中基本支出0万元，项目支出0万元；年末结转和结余0万元。</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九、机关运行经费支出说明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2024年本部门机关运行经费支出0万元。本部门为财政补助事业单位。</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lastRenderedPageBreak/>
        <w:t>十、一般性支出情况</w:t>
      </w:r>
    </w:p>
    <w:p w:rsid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2024年本部门开支会议费0.00万元。2024年开支培训费0.17万元。用于开展</w:t>
      </w:r>
      <w:r w:rsidR="0006391F">
        <w:rPr>
          <w:rFonts w:ascii="宋体" w:eastAsia="宋体" w:hAnsi="宋体" w:hint="eastAsia"/>
          <w:sz w:val="28"/>
        </w:rPr>
        <w:t>职工年度</w:t>
      </w:r>
      <w:r>
        <w:rPr>
          <w:rFonts w:ascii="宋体" w:eastAsia="宋体" w:hAnsi="宋体"/>
          <w:sz w:val="28"/>
        </w:rPr>
        <w:t>培训，人数</w:t>
      </w:r>
      <w:r w:rsidR="0006391F">
        <w:rPr>
          <w:rFonts w:ascii="宋体" w:eastAsia="宋体" w:hAnsi="宋体" w:hint="eastAsia"/>
          <w:sz w:val="28"/>
        </w:rPr>
        <w:t>20</w:t>
      </w:r>
      <w:r>
        <w:rPr>
          <w:rFonts w:ascii="宋体" w:eastAsia="宋体" w:hAnsi="宋体"/>
          <w:sz w:val="28"/>
        </w:rPr>
        <w:t>人，内容为</w:t>
      </w:r>
      <w:r w:rsidR="0006391F">
        <w:rPr>
          <w:rFonts w:ascii="宋体" w:eastAsia="宋体" w:hAnsi="宋体" w:hint="eastAsia"/>
          <w:sz w:val="28"/>
        </w:rPr>
        <w:t>业务和专业知识</w:t>
      </w:r>
      <w:r>
        <w:rPr>
          <w:rFonts w:ascii="宋体" w:eastAsia="宋体" w:hAnsi="宋体"/>
          <w:sz w:val="28"/>
        </w:rPr>
        <w:t>。</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十一、政府采购支出说明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本部门</w:t>
      </w:r>
      <w:r>
        <w:rPr>
          <w:rFonts w:ascii="宋体" w:eastAsia="宋体" w:hAnsi="宋体"/>
          <w:sz w:val="28"/>
        </w:rPr>
        <w:t>2024年政府采购支出总额15万元，占政府采购支出总额的88.24%其中：政府采购货物支出15万元、政府采购工程支出0万元、政府采购服务支出0 万元。授予中小企业合同金额2万元，占政府采购支出总额的11.76%,其中：授予小</w:t>
      </w:r>
      <w:proofErr w:type="gramStart"/>
      <w:r>
        <w:rPr>
          <w:rFonts w:ascii="宋体" w:eastAsia="宋体" w:hAnsi="宋体"/>
          <w:sz w:val="28"/>
        </w:rPr>
        <w:t>微企业</w:t>
      </w:r>
      <w:proofErr w:type="gramEnd"/>
      <w:r>
        <w:rPr>
          <w:rFonts w:ascii="宋体" w:eastAsia="宋体" w:hAnsi="宋体"/>
          <w:sz w:val="28"/>
        </w:rPr>
        <w:t>合同金额2 万元。</w:t>
      </w:r>
    </w:p>
    <w:p w:rsidR="003A5947" w:rsidRPr="003A5947" w:rsidRDefault="003A5947" w:rsidP="003A5947">
      <w:pPr>
        <w:spacing w:line="480" w:lineRule="auto"/>
        <w:ind w:firstLineChars="200" w:firstLine="562"/>
        <w:rPr>
          <w:rFonts w:ascii="宋体" w:eastAsia="宋体" w:hAnsi="宋体"/>
          <w:b/>
          <w:sz w:val="28"/>
        </w:rPr>
      </w:pPr>
      <w:r w:rsidRPr="003A5947">
        <w:rPr>
          <w:rFonts w:ascii="宋体" w:eastAsia="宋体" w:hAnsi="宋体" w:hint="eastAsia"/>
          <w:b/>
          <w:sz w:val="28"/>
        </w:rPr>
        <w:t>十二、国有资产占用情况说明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截至</w:t>
      </w:r>
      <w:r>
        <w:rPr>
          <w:rFonts w:ascii="宋体" w:eastAsia="宋体" w:hAnsi="宋体"/>
          <w:sz w:val="28"/>
        </w:rPr>
        <w:t>2024年12月31日止，祁东县种业事务中心共有车辆</w:t>
      </w:r>
      <w:proofErr w:type="gramStart"/>
      <w:r>
        <w:rPr>
          <w:rFonts w:ascii="宋体" w:eastAsia="宋体" w:hAnsi="宋体"/>
          <w:sz w:val="28"/>
        </w:rPr>
        <w:t>辆</w:t>
      </w:r>
      <w:proofErr w:type="gramEnd"/>
      <w:r>
        <w:rPr>
          <w:rFonts w:ascii="宋体" w:eastAsia="宋体" w:hAnsi="宋体"/>
          <w:sz w:val="28"/>
        </w:rPr>
        <w:t>，其中：副部（省）级及以上领导用车0辆、主要负责人用车0辆、机要通信用车0辆、应急保障用车0辆、执法执勤用车0辆、特种专业技术用车0辆、离退休干部服务用车0辆、其他用车0辆；单价100万元（含）以上设备（不含车辆）0台（套）。</w:t>
      </w:r>
    </w:p>
    <w:p w:rsidR="003A5947" w:rsidRPr="003A5947" w:rsidRDefault="003A5947" w:rsidP="003A5947">
      <w:pPr>
        <w:spacing w:line="480" w:lineRule="auto"/>
        <w:ind w:firstLineChars="200" w:firstLine="562"/>
        <w:rPr>
          <w:rFonts w:ascii="宋体" w:eastAsia="宋体" w:hAnsi="宋体"/>
          <w:b/>
          <w:color w:val="FF0000"/>
          <w:sz w:val="28"/>
        </w:rPr>
      </w:pPr>
      <w:r w:rsidRPr="003A5947">
        <w:rPr>
          <w:rFonts w:ascii="宋体" w:eastAsia="宋体" w:hAnsi="宋体" w:hint="eastAsia"/>
          <w:b/>
          <w:color w:val="FF0000"/>
          <w:sz w:val="28"/>
        </w:rPr>
        <w:t>十三、</w:t>
      </w:r>
      <w:r w:rsidRPr="003A5947">
        <w:rPr>
          <w:rFonts w:ascii="宋体" w:eastAsia="宋体" w:hAnsi="宋体"/>
          <w:b/>
          <w:color w:val="FF0000"/>
          <w:sz w:val="28"/>
        </w:rPr>
        <w:t>2024年预算绩效情况的说明</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（一）绩效管理评价工作开展情况。</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根据预算绩效管理要求，本部门组织对</w:t>
      </w:r>
      <w:r>
        <w:rPr>
          <w:rFonts w:ascii="宋体" w:eastAsia="宋体" w:hAnsi="宋体"/>
          <w:sz w:val="28"/>
        </w:rPr>
        <w:t>2024年纳入部门预算的项目支出全面开展了绩效自评，共2个项目，涉及资金35万元，占项目预算总额的100%。从评价情况看，项目总体执行情况良好，绩效情况较为理想，达到了项目申请时设定的绩效目标。</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部门（单位）整体支出绩效情况</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新品种示范推广项目绩效自评综述：根据年初设定的绩效目标，</w:t>
      </w:r>
      <w:r>
        <w:rPr>
          <w:rFonts w:ascii="宋体" w:eastAsia="宋体" w:hAnsi="宋体" w:hint="eastAsia"/>
          <w:sz w:val="28"/>
        </w:rPr>
        <w:lastRenderedPageBreak/>
        <w:t>项目绩效自评得分为</w:t>
      </w:r>
      <w:r>
        <w:rPr>
          <w:rFonts w:ascii="宋体" w:eastAsia="宋体" w:hAnsi="宋体"/>
          <w:sz w:val="28"/>
        </w:rPr>
        <w:t>95分。项目全年预算数为18万元，执行数为18万元，完成预算的100%。项目绩效目标完成情况：维持日常工</w:t>
      </w:r>
      <w:r>
        <w:rPr>
          <w:rFonts w:ascii="宋体" w:eastAsia="宋体" w:hAnsi="宋体" w:hint="eastAsia"/>
          <w:sz w:val="28"/>
        </w:rPr>
        <w:t>作运转</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种子储备项目绩效自评综述：根据年初设定的绩效目标，项目绩效自评得分为</w:t>
      </w:r>
      <w:r>
        <w:rPr>
          <w:rFonts w:ascii="宋体" w:eastAsia="宋体" w:hAnsi="宋体"/>
          <w:sz w:val="28"/>
        </w:rPr>
        <w:t>95分。项目全年预算数为17万元，执行数为17万元，完成预算的100%。项目绩效目标完成情况：维持日常工作运转</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（三）存在的问题及原因分析</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积极做好部门整体支出绩效自评的，以结果应用作为全过程预算绩效管理的落脚点，将本年度绩效自评结果与下年度预算资金安排挂钩，进一步提升财政资金使用质效。</w:t>
      </w:r>
    </w:p>
    <w:p w:rsidR="003A5947" w:rsidRPr="003A5947" w:rsidRDefault="003A5947" w:rsidP="003A5947">
      <w:pPr>
        <w:spacing w:line="480" w:lineRule="auto"/>
        <w:ind w:firstLineChars="200" w:firstLine="560"/>
        <w:rPr>
          <w:rFonts w:ascii="黑体" w:eastAsia="黑体" w:hAnsi="宋体"/>
          <w:sz w:val="28"/>
        </w:rPr>
      </w:pPr>
      <w:r w:rsidRPr="003A5947">
        <w:rPr>
          <w:rFonts w:ascii="黑体" w:eastAsia="黑体" w:hAnsi="宋体" w:hint="eastAsia"/>
          <w:sz w:val="28"/>
        </w:rPr>
        <w:t>第四部分</w:t>
      </w:r>
      <w:r w:rsidRPr="003A5947">
        <w:rPr>
          <w:rFonts w:ascii="黑体" w:eastAsia="黑体" w:hAnsi="宋体"/>
          <w:sz w:val="28"/>
        </w:rPr>
        <w:t xml:space="preserve"> 名词解释</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（一）一般公共决算拨款收入：指县财政当年拨付的资金。</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（二）基本支出：指为保障机构正常运转、完成日常工作任务而发生的人员支出和公用支出。</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（三）项目支出：指在基本支出之外为完成特定行政任务和事业发展目标所发生的支出。</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四）机关运行经费：是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A5947" w:rsidRDefault="003A5947" w:rsidP="003A5947">
      <w:pPr>
        <w:spacing w:line="480" w:lineRule="auto"/>
        <w:ind w:firstLineChars="200" w:firstLine="560"/>
        <w:rPr>
          <w:rFonts w:ascii="宋体" w:eastAsia="宋体" w:hAnsi="宋体"/>
          <w:sz w:val="28"/>
        </w:rPr>
      </w:pPr>
      <w:r>
        <w:rPr>
          <w:rFonts w:ascii="宋体" w:eastAsia="宋体" w:hAnsi="宋体" w:hint="eastAsia"/>
          <w:sz w:val="28"/>
        </w:rPr>
        <w:t>（五）“三公”经费：是指用财政拨款安排的因公出国（境）费、</w:t>
      </w:r>
      <w:r>
        <w:rPr>
          <w:rFonts w:ascii="宋体" w:eastAsia="宋体" w:hAnsi="宋体" w:hint="eastAsia"/>
          <w:sz w:val="28"/>
        </w:rPr>
        <w:lastRenderedPageBreak/>
        <w:t>公务用车购置及运行费和公务接待费。其中，因公出国（境）</w:t>
      </w:r>
      <w:proofErr w:type="gramStart"/>
      <w:r>
        <w:rPr>
          <w:rFonts w:ascii="宋体" w:eastAsia="宋体" w:hAnsi="宋体" w:hint="eastAsia"/>
          <w:sz w:val="28"/>
        </w:rPr>
        <w:t>费反映</w:t>
      </w:r>
      <w:proofErr w:type="gramEnd"/>
      <w:r>
        <w:rPr>
          <w:rFonts w:ascii="宋体" w:eastAsia="宋体" w:hAnsi="宋体" w:hint="eastAsia"/>
          <w:sz w:val="28"/>
        </w:rPr>
        <w:t>单位公务出国（境）的国际旅费、国外城市间交通费、住宿费、伙食费、培训费、公杂费等支出；公务用车购置及运行</w:t>
      </w:r>
      <w:proofErr w:type="gramStart"/>
      <w:r>
        <w:rPr>
          <w:rFonts w:ascii="宋体" w:eastAsia="宋体" w:hAnsi="宋体" w:hint="eastAsia"/>
          <w:sz w:val="28"/>
        </w:rPr>
        <w:t>费反映</w:t>
      </w:r>
      <w:proofErr w:type="gramEnd"/>
      <w:r>
        <w:rPr>
          <w:rFonts w:ascii="宋体" w:eastAsia="宋体" w:hAnsi="宋体" w:hint="eastAsia"/>
          <w:sz w:val="28"/>
        </w:rPr>
        <w:t>单位公务用车车辆购置支出（</w:t>
      </w:r>
      <w:proofErr w:type="gramStart"/>
      <w:r>
        <w:rPr>
          <w:rFonts w:ascii="宋体" w:eastAsia="宋体" w:hAnsi="宋体" w:hint="eastAsia"/>
          <w:sz w:val="28"/>
        </w:rPr>
        <w:t>含车辆</w:t>
      </w:r>
      <w:proofErr w:type="gramEnd"/>
      <w:r>
        <w:rPr>
          <w:rFonts w:ascii="宋体" w:eastAsia="宋体" w:hAnsi="宋体" w:hint="eastAsia"/>
          <w:sz w:val="28"/>
        </w:rPr>
        <w:t>购置税）及租用费、燃料费、维修费、过路过桥费、保险费、安全奖励费用等支出；公务接待</w:t>
      </w:r>
      <w:proofErr w:type="gramStart"/>
      <w:r>
        <w:rPr>
          <w:rFonts w:ascii="宋体" w:eastAsia="宋体" w:hAnsi="宋体" w:hint="eastAsia"/>
          <w:sz w:val="28"/>
        </w:rPr>
        <w:t>费反映</w:t>
      </w:r>
      <w:proofErr w:type="gramEnd"/>
      <w:r>
        <w:rPr>
          <w:rFonts w:ascii="宋体" w:eastAsia="宋体" w:hAnsi="宋体" w:hint="eastAsia"/>
          <w:sz w:val="28"/>
        </w:rPr>
        <w:t>单位按规定开支的各类公务接待（含外宾接待）支出。</w:t>
      </w:r>
    </w:p>
    <w:p w:rsidR="003A5947" w:rsidRPr="003A5947" w:rsidRDefault="003A5947" w:rsidP="003A5947">
      <w:pPr>
        <w:spacing w:line="480" w:lineRule="auto"/>
        <w:ind w:firstLineChars="200" w:firstLine="720"/>
        <w:rPr>
          <w:rFonts w:ascii="黑体" w:eastAsia="黑体" w:hAnsi="宋体"/>
          <w:sz w:val="36"/>
        </w:rPr>
      </w:pPr>
      <w:r w:rsidRPr="003A5947">
        <w:rPr>
          <w:rFonts w:ascii="黑体" w:eastAsia="黑体" w:hAnsi="宋体" w:hint="eastAsia"/>
          <w:sz w:val="36"/>
        </w:rPr>
        <w:t>第五部分</w:t>
      </w:r>
      <w:r w:rsidRPr="003A5947">
        <w:rPr>
          <w:rFonts w:ascii="黑体" w:eastAsia="黑体" w:hAnsi="宋体"/>
          <w:sz w:val="36"/>
        </w:rPr>
        <w:t xml:space="preserve"> 附件</w:t>
      </w:r>
    </w:p>
    <w:p w:rsidR="00584963" w:rsidRPr="003A5947" w:rsidRDefault="003A5947" w:rsidP="003A5947">
      <w:pPr>
        <w:spacing w:line="480" w:lineRule="auto"/>
        <w:ind w:firstLineChars="200" w:firstLine="560"/>
        <w:rPr>
          <w:rFonts w:ascii="宋体" w:eastAsia="宋体" w:hAnsi="宋体"/>
          <w:sz w:val="28"/>
        </w:rPr>
      </w:pPr>
      <w:r>
        <w:rPr>
          <w:rFonts w:ascii="宋体" w:eastAsia="宋体" w:hAnsi="宋体"/>
          <w:sz w:val="28"/>
        </w:rPr>
        <w:t>2024年度部门整体支出绩效评价报告</w:t>
      </w:r>
    </w:p>
    <w:sectPr w:rsidR="00584963" w:rsidRPr="003A5947" w:rsidSect="000709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5947"/>
    <w:rsid w:val="0006391F"/>
    <w:rsid w:val="000709E5"/>
    <w:rsid w:val="003A5947"/>
    <w:rsid w:val="003F54C3"/>
    <w:rsid w:val="00F645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759</Words>
  <Characters>4331</Characters>
  <Application>Microsoft Office Word</Application>
  <DocSecurity>0</DocSecurity>
  <Lines>36</Lines>
  <Paragraphs>10</Paragraphs>
  <ScaleCrop>false</ScaleCrop>
  <Company>China</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2025-10-11T00:31:00Z</dcterms:created>
  <dcterms:modified xsi:type="dcterms:W3CDTF">2025-10-11T00:32:00Z</dcterms:modified>
</cp:coreProperties>
</file>