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bookmarkStart w:id="0" w:name="_GoBack"/>
      <w:bookmarkEnd w:id="0"/>
    </w:p>
    <w:p>
      <w:pPr>
        <w:jc w:val="center"/>
        <w:rPr>
          <w:rFonts w:ascii="方正小标宋_GBK" w:eastAsia="方正小标宋_GBK"/>
          <w:sz w:val="48"/>
          <w:szCs w:val="48"/>
        </w:rPr>
      </w:pPr>
      <w:r>
        <w:rPr>
          <w:rFonts w:hint="eastAsia" w:ascii="方正小标宋_GBK" w:eastAsia="方正小标宋_GBK"/>
          <w:sz w:val="48"/>
          <w:szCs w:val="48"/>
        </w:rPr>
        <w:t>2024年度部门整体支出绩效自评报告</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r>
        <w:rPr>
          <w:rFonts w:hint="eastAsia" w:ascii="黑体" w:eastAsia="黑体"/>
          <w:sz w:val="44"/>
          <w:szCs w:val="44"/>
        </w:rPr>
        <w:t>祁东县人民政府玉合街道办事处</w:t>
      </w:r>
    </w:p>
    <w:p>
      <w:pPr>
        <w:jc w:val="center"/>
        <w:rPr>
          <w:rFonts w:ascii="黑体" w:eastAsia="黑体"/>
          <w:sz w:val="32"/>
          <w:szCs w:val="32"/>
        </w:rPr>
      </w:pPr>
    </w:p>
    <w:p>
      <w:pPr>
        <w:rPr>
          <w:rFonts w:ascii="黑体" w:eastAsia="黑体"/>
          <w:sz w:val="32"/>
          <w:szCs w:val="32"/>
        </w:rPr>
      </w:pPr>
    </w:p>
    <w:p>
      <w:pPr>
        <w:pStyle w:val="10"/>
        <w:widowControl/>
        <w:spacing w:line="600" w:lineRule="exact"/>
        <w:ind w:firstLine="640"/>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pStyle w:val="10"/>
        <w:widowControl/>
        <w:spacing w:line="600" w:lineRule="exact"/>
        <w:ind w:firstLine="0" w:firstLineChars="0"/>
        <w:rPr>
          <w:rFonts w:hint="eastAsia" w:ascii="仿宋" w:hAnsi="仿宋" w:eastAsia="仿宋" w:cs="仿宋"/>
          <w:sz w:val="32"/>
          <w:szCs w:val="32"/>
        </w:rPr>
      </w:pPr>
      <w:r>
        <w:rPr>
          <w:rFonts w:hint="eastAsia" w:ascii="仿宋" w:hAnsi="仿宋" w:eastAsia="仿宋" w:cs="仿宋"/>
          <w:b/>
          <w:bCs/>
          <w:sz w:val="32"/>
          <w:szCs w:val="32"/>
        </w:rPr>
        <w:t>一、部门、单位基本情况</w:t>
      </w:r>
    </w:p>
    <w:p>
      <w:pPr>
        <w:pStyle w:val="4"/>
        <w:spacing w:before="0" w:beforeAutospacing="0" w:after="0" w:afterAutospacing="0" w:line="600" w:lineRule="atLeast"/>
        <w:jc w:val="both"/>
        <w:rPr>
          <w:rFonts w:hint="eastAsia" w:ascii="仿宋" w:hAnsi="仿宋" w:eastAsia="仿宋" w:cs="仿宋"/>
          <w:b/>
          <w:bCs/>
          <w:sz w:val="28"/>
          <w:szCs w:val="28"/>
        </w:rPr>
      </w:pPr>
      <w:r>
        <w:rPr>
          <w:rFonts w:hint="eastAsia" w:ascii="仿宋" w:hAnsi="仿宋" w:eastAsia="仿宋" w:cs="仿宋"/>
          <w:b/>
          <w:bCs/>
          <w:color w:val="000000"/>
          <w:sz w:val="28"/>
          <w:szCs w:val="28"/>
        </w:rPr>
        <w:t>（一）部门职能职责</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2、制定并组织实施村乡建设规划，部署重点工程建设，地方道路建设及公共设施，水利设施的管理，负责土地、林木、水等自然资源和生态环境的保护，做好护林防火工作。</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4、按计划组织本级财政收入和地方税的征收，完成国家财政计划，不断培植税源，管好财政资金，增强财政实力。</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5、抓好精神文明建设，丰富群众文化生活，提倡移风易俗，反对封建迷信，破除陈规陋习，树立社会主义新风尚。</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6、完成上级政府交办的其它事项。</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b/>
          <w:bCs/>
          <w:color w:val="000000"/>
          <w:sz w:val="28"/>
          <w:szCs w:val="28"/>
        </w:rPr>
        <w:t>（二）机构设置情况</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根据主要职责玉合街道办机关设6个内设机构：党政办公室（法制办公室）、党建办公室、经济发展办公室（项目办）、社会事务管理办公室、自然资源和生态环境办公室、社会治安和应急管理办公室（信访维稳办公室）。根据工作职责，设下列事业单位：社会事务综合服务中心、农业综合服务中心、政务服务中心、综合行政执法大队。</w:t>
      </w:r>
    </w:p>
    <w:p>
      <w:pPr>
        <w:pStyle w:val="4"/>
        <w:spacing w:before="0" w:beforeAutospacing="0" w:after="0" w:afterAutospacing="0" w:line="600" w:lineRule="atLeast"/>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（三）人员编制情况</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玉合街道办是正科级别全额拨款单位。至2024年，共有编制135名，实有人数168人，其中在职135人、离退休33人。</w:t>
      </w:r>
    </w:p>
    <w:p>
      <w:pPr>
        <w:pStyle w:val="4"/>
        <w:spacing w:before="0" w:beforeAutospacing="0" w:after="0" w:afterAutospacing="0" w:line="600" w:lineRule="atLeast"/>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（四）2024年单位工作任务或年度计划</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“十四五”时期，玉合街道办2024年重点抓好以下五个方面工作：</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1、聚焦“三农”优先发展，全面推进乡村振兴</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坚持以实现农业农村现代化为目标，着力推进乡村振兴走深走实，加快补齐短板，努力打造乡村振兴玉合亮点。</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2、聚焦保障改善民生，提高群众幸福指数</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坚持以人民为中心，量力而行、尽力而为，不断增强人民群众获得感、幸福感、安全感。</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3、聚焦提升城镇品质，统筹城乡协调发展</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坚持谋篇布局，着眼规划引领，配合上级部门完成国土空间规划编制报批。</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4、聚焦防风险补短板，守住可持续发展底线</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坚持底线思维，增强忧患意识，着力提高驾驭风险、迎接挑战的能力，妥善处理各种复杂矛盾，有效防范化解各类风险。</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5、聚焦政府自身建设，提升政府工作效能</w:t>
      </w:r>
    </w:p>
    <w:p>
      <w:pPr>
        <w:pStyle w:val="4"/>
        <w:spacing w:before="0" w:beforeAutospacing="0" w:after="0" w:afterAutospacing="0" w:line="600" w:lineRule="atLeast"/>
        <w:jc w:val="both"/>
        <w:rPr>
          <w:rFonts w:hint="eastAsia" w:ascii="仿宋" w:hAnsi="仿宋" w:eastAsia="仿宋" w:cs="仿宋"/>
          <w:sz w:val="28"/>
          <w:szCs w:val="28"/>
        </w:rPr>
      </w:pPr>
      <w:r>
        <w:rPr>
          <w:rFonts w:hint="eastAsia" w:ascii="仿宋" w:hAnsi="仿宋" w:eastAsia="仿宋" w:cs="仿宋"/>
          <w:color w:val="000000"/>
          <w:sz w:val="28"/>
          <w:szCs w:val="28"/>
        </w:rPr>
        <w:t>深学笃用习近平新时代中国特色社会主义思想，坚持依法行政、廉洁从政，不断推进政府治理体系和治理能力现代化。</w:t>
      </w:r>
    </w:p>
    <w:p>
      <w:pPr>
        <w:pStyle w:val="10"/>
        <w:widowControl/>
        <w:spacing w:line="60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二、基本支出情况</w:t>
      </w:r>
    </w:p>
    <w:p>
      <w:pPr>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2024年度财政拨款基本支出1816.28万元，</w:t>
      </w:r>
      <w:r>
        <w:rPr>
          <w:rFonts w:hint="eastAsia" w:ascii="仿宋" w:hAnsi="仿宋" w:eastAsia="仿宋" w:cs="仿宋"/>
          <w:color w:val="000000"/>
          <w:sz w:val="28"/>
          <w:szCs w:val="28"/>
        </w:rPr>
        <w:t>占财政拨款支出总额的</w:t>
      </w:r>
      <w:r>
        <w:rPr>
          <w:rFonts w:hint="eastAsia" w:ascii="仿宋" w:hAnsi="仿宋" w:eastAsia="仿宋" w:cs="仿宋"/>
          <w:color w:val="000000" w:themeColor="text1"/>
          <w:sz w:val="28"/>
          <w:szCs w:val="28"/>
          <w14:textFill>
            <w14:solidFill>
              <w14:schemeClr w14:val="tx1"/>
            </w14:solidFill>
          </w14:textFill>
        </w:rPr>
        <w:t>71.94%</w:t>
      </w:r>
      <w:r>
        <w:rPr>
          <w:rFonts w:hint="eastAsia" w:ascii="仿宋" w:hAnsi="仿宋" w:eastAsia="仿宋" w:cs="仿宋"/>
          <w:color w:val="000000"/>
          <w:sz w:val="28"/>
          <w:szCs w:val="28"/>
        </w:rPr>
        <w:t>，</w:t>
      </w:r>
      <w:r>
        <w:rPr>
          <w:rFonts w:hint="eastAsia" w:ascii="仿宋" w:hAnsi="仿宋" w:eastAsia="仿宋" w:cs="仿宋"/>
          <w:sz w:val="28"/>
          <w:szCs w:val="28"/>
        </w:rPr>
        <w:t>其中：人员经费1663.22万元，占基本支出的91.57%,主要包括本工资、津贴补贴、奖金、伙食补助费、绩效工资、机关事业单位基本养老保险缴费、职工基本医疗保险缴费、其他社会保障缴费、住房公积金、抚恤金、生活补助、代缴社会保险费、其他对个人和家庭的补助；公用经费153.06万元，占基本支出的8.43%,主要包括办公费、印刷费、咨询费、电费、差旅费、维修（护）费、培训费、公务接待费、劳务费、委托业务费、工会经费、福利费、公务用车运行维护费、其他交通费用、其他商品和服务支出。</w:t>
      </w:r>
    </w:p>
    <w:p>
      <w:pPr>
        <w:snapToGrid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2024年度财政拨款项目支出708.2万元，其中：城市公共设施10万元，对村级公益事业建设的补助30万元，对村民委员会和村党支部的补助85.28万元，农村基础设施建设13.98万元，其他城乡社区公共设施支出5万元，其他城乡社区支出59万元，其他公路水路运输支出0.9万元，其他</w:t>
      </w:r>
      <w:r>
        <w:rPr>
          <w:rFonts w:hint="eastAsia" w:ascii="仿宋" w:hAnsi="仿宋" w:eastAsia="仿宋" w:cs="仿宋"/>
          <w:sz w:val="28"/>
          <w:szCs w:val="28"/>
          <w:lang w:eastAsia="zh-CN"/>
        </w:rPr>
        <w:t>巩固拓展脱贫攻坚成果</w:t>
      </w:r>
      <w:r>
        <w:rPr>
          <w:rFonts w:hint="eastAsia" w:ascii="仿宋" w:hAnsi="仿宋" w:eastAsia="仿宋" w:cs="仿宋"/>
          <w:sz w:val="28"/>
          <w:szCs w:val="28"/>
        </w:rPr>
        <w:t>衔接乡村振兴支出97.8万元，其他国有土地使用权出让收入安排的支出197.33万元，其他就业补助支出1万元，其他农林水支出30万元，其他文化旅游体育与传媒支出3万元，其他文化和旅游支出3万元，其他一般公共服务支出0.6万元，社会保险经办机构17.03万元，,人大信访工作3万元，信访业务2万元，用于社会福利的彩票公益金支出18万元，用于体育事业的彩票公益金支出4万元，安全监管8.86万元，病虫害控制1.8万元，森林资源培育51万元，死亡补恤2.03万元，公路养护11.72万元，林业草原防灾减灾11.87万元，其他环境保护管理事务支出20万元，其他社会福利支出5万元，其他应急管理支出10万元，其他支出5万元。</w:t>
      </w:r>
    </w:p>
    <w:p>
      <w:pPr>
        <w:snapToGrid w:val="0"/>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、部门整体支出绩效情况</w:t>
      </w:r>
    </w:p>
    <w:p>
      <w:pPr>
        <w:spacing w:line="6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玉合街道办2024年度部门整体支出2524.48万元，其中单位基本支出1816.28万元、项目支出708.2万元；整体支出绩效目标完成率100%，其中单位基本支出完成率100%，项目支出完成率100%。</w:t>
      </w:r>
    </w:p>
    <w:p>
      <w:pPr>
        <w:adjustRightInd w:val="0"/>
        <w:snapToGrid w:val="0"/>
        <w:spacing w:line="6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其产出和效益情况概述如下：</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（一）保证了工资及津补贴的正常发放，提高了职工的福利待遇，充分发挥了所有职工的工作积极性。</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（二）保证了单位公用经费的正常支出，极大地提高了机构各项职能的运转效率。</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（三）加快了道路交通、生态治理、水资源保护、美丽乡村等方面的城乡基本公共设施工程建设。</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（四）做好新冠肺炎疫情防控工作，着力提升公共卫生服务能力，全面加强和完善公共卫生领域软硬件建设，全面提升应急管理能力，完善应急医疗救助机制，确保应急物资保障有序有力，解除群众的后顾之忧。</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（五）改善了多数居民的生产生活条件，努力提升人民群众的幸福指数。</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（六）推动了行政区域内的民政、卫生、体育、计划生育、文化教育等社会公益事业的综合性工作，提升精神文明建设质量。</w:t>
      </w:r>
    </w:p>
    <w:p>
      <w:pPr>
        <w:widowControl/>
        <w:spacing w:line="600" w:lineRule="exact"/>
        <w:jc w:val="left"/>
        <w:rPr>
          <w:rFonts w:hint="eastAsia" w:ascii="仿宋" w:hAnsi="仿宋" w:eastAsia="仿宋" w:cs="仿宋"/>
          <w:b/>
          <w:bCs/>
          <w:sz w:val="28"/>
          <w:szCs w:val="28"/>
        </w:rPr>
      </w:pP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w:t>
      </w:r>
      <w:r>
        <w:rPr>
          <w:rFonts w:hint="eastAsia" w:ascii="仿宋" w:hAnsi="仿宋" w:eastAsia="仿宋" w:cs="仿宋"/>
          <w:b/>
          <w:bCs/>
          <w:sz w:val="28"/>
          <w:szCs w:val="28"/>
        </w:rPr>
        <w:t>存在的主要问题及下一步改进措施</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（一）细化预算编制，精益求精做好预算编制工作。同时进一步加强内设机构的预算管理意识，严格按照预算编制的相关制度和指标要求进行操作。</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三）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（四）对相关人员加强培训，特别是针对《预算法》、《行政事业单位会计制度》等学习培训，规范部门预算收支核算，切实提高部门预算收支管理水平。</w:t>
      </w:r>
    </w:p>
    <w:p>
      <w:pPr>
        <w:pStyle w:val="4"/>
        <w:spacing w:before="0" w:beforeAutospacing="0" w:after="0" w:afterAutospacing="0" w:line="600" w:lineRule="atLeast"/>
        <w:jc w:val="both"/>
        <w:rPr>
          <w:rFonts w:hint="eastAsia" w:ascii="仿宋" w:hAnsi="仿宋" w:eastAsia="仿宋" w:cs="仿宋"/>
          <w:b/>
          <w:bCs/>
          <w:sz w:val="28"/>
          <w:szCs w:val="28"/>
          <w:lang w:eastAsia="zh-CN"/>
        </w:rPr>
      </w:pPr>
    </w:p>
    <w:p>
      <w:pPr>
        <w:pStyle w:val="4"/>
        <w:spacing w:before="0" w:beforeAutospacing="0" w:after="0" w:afterAutospacing="0" w:line="600" w:lineRule="atLeast"/>
        <w:jc w:val="both"/>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、绩效自评结果拟应用和公开情况</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1、我单位根据整体支出绩效评定指标对各项量化评价，自评指标得分98.5分。</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2、将部门整体支出绩效自评客观、准确、全面、完整纳入机构年底绩效考核的依据之一。</w:t>
      </w:r>
    </w:p>
    <w:p>
      <w:pPr>
        <w:pStyle w:val="4"/>
        <w:spacing w:before="0" w:beforeAutospacing="0" w:after="0" w:afterAutospacing="0" w:line="600" w:lineRule="atLeast"/>
        <w:jc w:val="both"/>
        <w:rPr>
          <w:rFonts w:hint="eastAsia" w:ascii="仿宋" w:hAnsi="仿宋" w:eastAsia="仿宋" w:cs="仿宋"/>
          <w:color w:val="000000"/>
          <w:sz w:val="28"/>
          <w:szCs w:val="28"/>
        </w:rPr>
      </w:pPr>
      <w:r>
        <w:rPr>
          <w:rFonts w:hint="eastAsia" w:ascii="仿宋" w:hAnsi="仿宋" w:eastAsia="仿宋" w:cs="仿宋"/>
          <w:color w:val="000000"/>
          <w:sz w:val="28"/>
          <w:szCs w:val="28"/>
        </w:rPr>
        <w:t>3、按规定于4月30日前进行公开。</w:t>
      </w:r>
    </w:p>
    <w:p>
      <w:pPr>
        <w:widowControl/>
        <w:spacing w:line="600" w:lineRule="exact"/>
        <w:ind w:firstLine="645"/>
        <w:jc w:val="left"/>
        <w:rPr>
          <w:rFonts w:hint="eastAsia" w:ascii="仿宋" w:hAnsi="仿宋" w:eastAsia="仿宋" w:cs="仿宋"/>
          <w:sz w:val="28"/>
          <w:szCs w:val="28"/>
        </w:rPr>
      </w:pPr>
    </w:p>
    <w:p>
      <w:pPr>
        <w:widowControl/>
        <w:numPr>
          <w:ilvl w:val="0"/>
          <w:numId w:val="0"/>
        </w:numPr>
        <w:spacing w:line="600" w:lineRule="exact"/>
        <w:ind w:leftChars="0"/>
        <w:jc w:val="left"/>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其他需要说明的情况</w:t>
      </w:r>
    </w:p>
    <w:p>
      <w:pPr>
        <w:pStyle w:val="9"/>
        <w:ind w:firstLine="840" w:firstLineChars="300"/>
        <w:rPr>
          <w:rFonts w:hint="eastAsia" w:ascii="仿宋" w:hAnsi="仿宋" w:eastAsia="仿宋" w:cs="仿宋"/>
          <w:sz w:val="28"/>
          <w:szCs w:val="28"/>
        </w:rPr>
      </w:pPr>
      <w:r>
        <w:rPr>
          <w:rFonts w:hint="eastAsia" w:ascii="仿宋" w:hAnsi="仿宋" w:eastAsia="仿宋" w:cs="仿宋"/>
          <w:sz w:val="28"/>
          <w:szCs w:val="28"/>
        </w:rPr>
        <w:t>无。</w:t>
      </w:r>
    </w:p>
    <w:p>
      <w:pPr>
        <w:widowControl/>
        <w:spacing w:line="600" w:lineRule="exact"/>
        <w:ind w:firstLine="645"/>
        <w:jc w:val="left"/>
        <w:rPr>
          <w:rFonts w:hint="eastAsia" w:ascii="仿宋" w:hAnsi="仿宋" w:eastAsia="仿宋" w:cs="仿宋"/>
          <w:sz w:val="28"/>
          <w:szCs w:val="28"/>
        </w:rPr>
      </w:pPr>
    </w:p>
    <w:p>
      <w:pPr>
        <w:widowControl/>
        <w:spacing w:line="560" w:lineRule="exact"/>
        <w:ind w:firstLine="645"/>
        <w:jc w:val="left"/>
        <w:rPr>
          <w:rFonts w:hint="eastAsia" w:ascii="仿宋" w:hAnsi="仿宋" w:eastAsia="仿宋" w:cs="仿宋"/>
          <w:sz w:val="28"/>
          <w:szCs w:val="28"/>
        </w:rPr>
      </w:pPr>
      <w:r>
        <w:rPr>
          <w:rFonts w:hint="eastAsia" w:ascii="仿宋" w:hAnsi="仿宋" w:eastAsia="仿宋" w:cs="仿宋"/>
          <w:sz w:val="28"/>
          <w:szCs w:val="28"/>
        </w:rPr>
        <w:t>附表：1、部门整体支出绩效评价指标评分表</w:t>
      </w:r>
    </w:p>
    <w:p>
      <w:pPr>
        <w:widowControl/>
        <w:spacing w:line="560" w:lineRule="exact"/>
        <w:ind w:firstLine="1260" w:firstLineChars="450"/>
        <w:jc w:val="left"/>
        <w:rPr>
          <w:rFonts w:hint="eastAsia" w:ascii="仿宋" w:hAnsi="仿宋" w:eastAsia="仿宋" w:cs="仿宋"/>
          <w:sz w:val="28"/>
          <w:szCs w:val="28"/>
        </w:rPr>
      </w:pPr>
      <w:r>
        <w:rPr>
          <w:rFonts w:hint="eastAsia" w:ascii="仿宋" w:hAnsi="仿宋" w:eastAsia="仿宋" w:cs="仿宋"/>
          <w:sz w:val="28"/>
          <w:szCs w:val="28"/>
        </w:rPr>
        <w:t>2、部门整体支出绩效评价基础数据表</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pStyle w:val="9"/>
        <w:ind w:firstLine="720"/>
        <w:rPr>
          <w:rFonts w:hint="eastAsia" w:ascii="仿宋" w:hAnsi="仿宋" w:eastAsia="仿宋" w:cs="仿宋"/>
          <w:sz w:val="28"/>
          <w:szCs w:val="28"/>
        </w:rPr>
      </w:pPr>
    </w:p>
    <w:p>
      <w:pPr>
        <w:ind w:firstLine="2249" w:firstLineChars="800"/>
        <w:jc w:val="both"/>
        <w:rPr>
          <w:rFonts w:hint="eastAsia" w:ascii="仿宋" w:hAnsi="仿宋" w:eastAsia="仿宋" w:cs="仿宋"/>
          <w:b/>
          <w:bCs/>
          <w:kern w:val="0"/>
          <w:sz w:val="28"/>
          <w:szCs w:val="28"/>
        </w:rPr>
      </w:pPr>
      <w:r>
        <w:rPr>
          <w:rFonts w:hint="eastAsia" w:ascii="仿宋" w:hAnsi="仿宋" w:eastAsia="仿宋" w:cs="仿宋"/>
          <w:b/>
          <w:bCs/>
          <w:kern w:val="0"/>
          <w:sz w:val="28"/>
          <w:szCs w:val="28"/>
        </w:rPr>
        <w:t>部门整体支出绩效评价指标评分表</w:t>
      </w:r>
    </w:p>
    <w:p>
      <w:pPr>
        <w:rPr>
          <w:rFonts w:hint="eastAsia" w:ascii="仿宋" w:hAnsi="仿宋" w:eastAsia="仿宋" w:cs="仿宋"/>
          <w:kern w:val="0"/>
          <w:sz w:val="28"/>
          <w:szCs w:val="28"/>
        </w:rPr>
      </w:pPr>
      <w:r>
        <w:rPr>
          <w:rFonts w:hint="eastAsia" w:ascii="仿宋" w:hAnsi="仿宋" w:eastAsia="仿宋" w:cs="仿宋"/>
          <w:kern w:val="0"/>
          <w:sz w:val="28"/>
          <w:szCs w:val="28"/>
        </w:rPr>
        <w:t>填报单位：玉合街道办事处   填报人：周志刚   电话：13975478931</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51"/>
        <w:gridCol w:w="848"/>
        <w:gridCol w:w="489"/>
        <w:gridCol w:w="2880"/>
        <w:gridCol w:w="333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763"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一级指标</w:t>
            </w:r>
          </w:p>
        </w:tc>
        <w:tc>
          <w:tcPr>
            <w:tcW w:w="751"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二级指标</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三级</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指标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tc>
        <w:tc>
          <w:tcPr>
            <w:tcW w:w="2880"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评价标准</w:t>
            </w:r>
          </w:p>
        </w:tc>
        <w:tc>
          <w:tcPr>
            <w:tcW w:w="3337"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指标说明</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63"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投入</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751"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预算配置</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在职人员控制率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以100%为标准。在职人员控制率≦100%，计5分；每超过一个百分点扣0.5分，扣完为止。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在职人员控制率=（在职人员数/编制数）×100%，在职人员数：部门（单位）实际在职人数，以财政局确定的部门决算编制口径为准。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编制数：机构编制部门核定批复的部门（单位）的人员编制数。</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“三公经费”变动率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“三公经费”变动率≦0,计</w:t>
            </w:r>
            <w:r>
              <w:rPr>
                <w:rFonts w:hint="eastAsia" w:ascii="仿宋" w:hAnsi="仿宋" w:eastAsia="仿宋" w:cs="仿宋"/>
                <w:color w:val="0000FF"/>
                <w:kern w:val="0"/>
                <w:sz w:val="24"/>
                <w:szCs w:val="24"/>
              </w:rPr>
              <w:t>5</w:t>
            </w:r>
            <w:r>
              <w:rPr>
                <w:rFonts w:hint="eastAsia" w:ascii="仿宋" w:hAnsi="仿宋" w:eastAsia="仿宋" w:cs="仿宋"/>
                <w:kern w:val="0"/>
                <w:sz w:val="24"/>
                <w:szCs w:val="24"/>
              </w:rPr>
              <w:t>分；“三公经费”＞0，每超过一个百分点扣0.8分，扣完为止。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“三公经费”变动率=[（本年度“三公经费”预算数-上年度“三公经费”预算数）/上年度“三公经费”预算数]×100%</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过程</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（60分）</w:t>
            </w:r>
          </w:p>
          <w:p>
            <w:pPr>
              <w:spacing w:line="280" w:lineRule="exact"/>
              <w:jc w:val="left"/>
              <w:rPr>
                <w:rFonts w:hint="eastAsia" w:ascii="仿宋" w:hAnsi="仿宋" w:eastAsia="仿宋" w:cs="仿宋"/>
                <w:kern w:val="0"/>
                <w:sz w:val="24"/>
                <w:szCs w:val="24"/>
              </w:rPr>
            </w:pPr>
          </w:p>
          <w:p>
            <w:pPr>
              <w:spacing w:line="280" w:lineRule="exact"/>
              <w:jc w:val="left"/>
              <w:rPr>
                <w:rFonts w:hint="eastAsia" w:ascii="仿宋" w:hAnsi="仿宋" w:eastAsia="仿宋" w:cs="仿宋"/>
                <w:kern w:val="0"/>
                <w:sz w:val="24"/>
                <w:szCs w:val="24"/>
              </w:rPr>
            </w:pPr>
          </w:p>
        </w:tc>
        <w:tc>
          <w:tcPr>
            <w:tcW w:w="751"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预算执行</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（20分）</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预算完成率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100%计满分，每低于5%扣2分，扣完为止。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预算完成率=（上年结转+年初预算+本年追加预算-年末结余）/（上年结转+年初预算+本年追加预算）×100%。</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预算控制率=0，计5分；0-10%（含），计4分；10-20%（含），计3分；20-30%（含），计2分；大于30%不得分。</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预算控制率=（本年追加预算/年初预算）×100%。</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新建楼堂馆所面积控制率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100%以下（含）计满分，每超出5%扣2分，扣完为止。没有楼堂馆所项目的部门按满分计算。</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楼堂馆所面积控制率=实际建设面积/批准建设面积×100% 。</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该指标以2022年完工的新建楼堂馆所为评价内容。</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新建楼堂馆所投资概算控制率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100%以下（含）计满分，每超出5%扣2分，扣完为止。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楼堂馆所投资预算控制率=实际投资金额/批准投资金额×100% 。</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该指标以2022年完工的新建楼堂馆所为评价内容。</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预算管理</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（40分）</w:t>
            </w:r>
          </w:p>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公用经费控制率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100%以下（含）计满分，每超出1%扣1分，扣完为止。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公用经费控制率=（实际支出公用经费总额/预算安排公用经费总额）×100%。</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公用经费支出是指部门基本支出中的一般商品和服务支出。</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“三公经费”控制率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100%以下（含）计满分，每超出1%扣1分，扣完为止。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“三公经费”控制率-（“三公经费”实际支出数/“三公经费”预算安排数）×100%。</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政府采购执行率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100%计满分，每超过（降低）5%扣2分。扣完为止。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政府采购执行率=（实际政府采购金额/政府采购预算数）×100%</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ign w:val="center"/>
          </w:tcPr>
          <w:p>
            <w:pPr>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管理制度健全性</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①有内部财务管理制度、会计核算制度等管理制度，2分；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②有本部门厉行节约制度,2分；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③相关管理制度合法、合规、完整，2分；④相关管理制度得到有效执行，2分。</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63" w:type="dxa"/>
            <w:vMerge w:val="restart"/>
            <w:noWrap/>
            <w:vAlign w:val="center"/>
          </w:tcPr>
          <w:p>
            <w:pPr>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过程</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（60分）</w:t>
            </w:r>
          </w:p>
        </w:tc>
        <w:tc>
          <w:tcPr>
            <w:tcW w:w="751" w:type="dxa"/>
            <w:vMerge w:val="restart"/>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预算管理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（40分）</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资金使用合规性</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以上情况每出现一例不符合要求的扣1分，扣完为止。</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预决算信息公开性</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预决算信息是指与部门预算、执行、决算、监督、绩效等管理相关的信息。</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产出及效率</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（30分）</w:t>
            </w:r>
          </w:p>
        </w:tc>
        <w:tc>
          <w:tcPr>
            <w:tcW w:w="751"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职责履行</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（8分）</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重点工作实际完成率</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根据县绩效办2022年对各部门为民办实事和部门重点工程与重点工作考核分数折算。</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该项得分=（绩效办对应部分考核得分/该部分总分）×8。</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履职 效益</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（22分）</w:t>
            </w: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经济</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效益</w:t>
            </w:r>
          </w:p>
        </w:tc>
        <w:tc>
          <w:tcPr>
            <w:tcW w:w="489" w:type="dxa"/>
            <w:vMerge w:val="restart"/>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6217" w:type="dxa"/>
            <w:gridSpan w:val="2"/>
            <w:vMerge w:val="restart"/>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此两项指标为设置部门整体支出绩效评价指标时必须考虑的共性要素，可根据部门实际情况有选择的进行设置，并将其细化为相应的个性化指标。</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社会</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效益</w:t>
            </w:r>
          </w:p>
        </w:tc>
        <w:tc>
          <w:tcPr>
            <w:tcW w:w="489"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6217" w:type="dxa"/>
            <w:gridSpan w:val="2"/>
            <w:vMerge w:val="continue"/>
            <w:noWrap/>
            <w:vAlign w:val="center"/>
          </w:tcPr>
          <w:p>
            <w:pPr>
              <w:widowControl/>
              <w:spacing w:line="280" w:lineRule="exact"/>
              <w:jc w:val="left"/>
              <w:rPr>
                <w:rFonts w:hint="eastAsia" w:ascii="仿宋" w:hAnsi="仿宋" w:eastAsia="仿宋" w:cs="仿宋"/>
                <w:kern w:val="0"/>
                <w:sz w:val="24"/>
                <w:szCs w:val="24"/>
              </w:rPr>
            </w:pP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行政</w:t>
            </w:r>
          </w:p>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效能</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促进部门改进文风会风，加强经费及资产管理，推动网上办事，提高行政效率，降低行政成本效果较好的计6分；一般3分；无效果或者效果不明显0分。</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根据部门自评材料评定。</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751" w:type="dxa"/>
            <w:vMerge w:val="continue"/>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社会公众或服务对象满意度</w:t>
            </w:r>
          </w:p>
        </w:tc>
        <w:tc>
          <w:tcPr>
            <w:tcW w:w="489" w:type="dxa"/>
            <w:noWrap/>
            <w:vAlign w:val="center"/>
          </w:tcPr>
          <w:p>
            <w:pPr>
              <w:widowControl/>
              <w:spacing w:line="28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2880"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90%（含）以上计6分；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80%（含）-90%，计4分；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70%（含）-80%，计2分；</w:t>
            </w:r>
          </w:p>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低于70%计0分。</w:t>
            </w:r>
          </w:p>
        </w:tc>
        <w:tc>
          <w:tcPr>
            <w:tcW w:w="3337"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社会公众或服务对象是指部门（单位）履行职责而影响到的部门、群体或个人，一般采取社会调查的方式。</w:t>
            </w: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3"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751" w:type="dxa"/>
            <w:noWrap/>
            <w:vAlign w:val="center"/>
          </w:tcPr>
          <w:p>
            <w:pPr>
              <w:widowControl/>
              <w:spacing w:line="280" w:lineRule="exact"/>
              <w:jc w:val="left"/>
              <w:rPr>
                <w:rFonts w:hint="eastAsia" w:ascii="仿宋" w:hAnsi="仿宋" w:eastAsia="仿宋" w:cs="仿宋"/>
                <w:kern w:val="0"/>
                <w:sz w:val="24"/>
                <w:szCs w:val="24"/>
              </w:rPr>
            </w:pPr>
          </w:p>
        </w:tc>
        <w:tc>
          <w:tcPr>
            <w:tcW w:w="848" w:type="dxa"/>
            <w:noWrap/>
            <w:vAlign w:val="center"/>
          </w:tcPr>
          <w:p>
            <w:pPr>
              <w:widowControl/>
              <w:spacing w:line="280" w:lineRule="exact"/>
              <w:jc w:val="center"/>
              <w:rPr>
                <w:rFonts w:hint="eastAsia" w:ascii="仿宋" w:hAnsi="仿宋" w:eastAsia="仿宋" w:cs="仿宋"/>
                <w:kern w:val="0"/>
                <w:sz w:val="24"/>
                <w:szCs w:val="24"/>
              </w:rPr>
            </w:pPr>
          </w:p>
        </w:tc>
        <w:tc>
          <w:tcPr>
            <w:tcW w:w="489" w:type="dxa"/>
            <w:noWrap/>
            <w:vAlign w:val="center"/>
          </w:tcPr>
          <w:p>
            <w:pPr>
              <w:widowControl/>
              <w:spacing w:line="280" w:lineRule="exact"/>
              <w:jc w:val="center"/>
              <w:rPr>
                <w:rFonts w:hint="eastAsia" w:ascii="仿宋" w:hAnsi="仿宋" w:eastAsia="仿宋" w:cs="仿宋"/>
                <w:kern w:val="0"/>
                <w:sz w:val="24"/>
                <w:szCs w:val="24"/>
              </w:rPr>
            </w:pPr>
          </w:p>
        </w:tc>
        <w:tc>
          <w:tcPr>
            <w:tcW w:w="2880" w:type="dxa"/>
            <w:noWrap/>
            <w:vAlign w:val="center"/>
          </w:tcPr>
          <w:p>
            <w:pPr>
              <w:widowControl/>
              <w:spacing w:line="280" w:lineRule="exact"/>
              <w:jc w:val="left"/>
              <w:rPr>
                <w:rFonts w:hint="eastAsia" w:ascii="仿宋" w:hAnsi="仿宋" w:eastAsia="仿宋" w:cs="仿宋"/>
                <w:kern w:val="0"/>
                <w:sz w:val="24"/>
                <w:szCs w:val="24"/>
              </w:rPr>
            </w:pPr>
          </w:p>
        </w:tc>
        <w:tc>
          <w:tcPr>
            <w:tcW w:w="3337" w:type="dxa"/>
            <w:noWrap/>
            <w:vAlign w:val="center"/>
          </w:tcPr>
          <w:p>
            <w:pPr>
              <w:widowControl/>
              <w:spacing w:line="280" w:lineRule="exact"/>
              <w:jc w:val="left"/>
              <w:rPr>
                <w:rFonts w:hint="eastAsia" w:ascii="仿宋" w:hAnsi="仿宋" w:eastAsia="仿宋" w:cs="仿宋"/>
                <w:kern w:val="0"/>
                <w:sz w:val="24"/>
                <w:szCs w:val="24"/>
              </w:rPr>
            </w:pPr>
          </w:p>
        </w:tc>
        <w:tc>
          <w:tcPr>
            <w:tcW w:w="489" w:type="dxa"/>
            <w:noWrap/>
            <w:vAlign w:val="center"/>
          </w:tcPr>
          <w:p>
            <w:pPr>
              <w:widowControl/>
              <w:spacing w:line="28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98.5</w:t>
            </w:r>
          </w:p>
        </w:tc>
      </w:tr>
    </w:tbl>
    <w:p>
      <w:pPr>
        <w:jc w:val="left"/>
        <w:rPr>
          <w:rFonts w:hint="eastAsia" w:ascii="仿宋" w:hAnsi="仿宋" w:eastAsia="仿宋" w:cs="仿宋"/>
          <w:sz w:val="28"/>
          <w:szCs w:val="28"/>
        </w:rPr>
      </w:pPr>
      <w:r>
        <w:rPr>
          <w:rFonts w:hint="eastAsia" w:ascii="仿宋" w:hAnsi="仿宋" w:eastAsia="仿宋" w:cs="仿宋"/>
          <w:sz w:val="24"/>
          <w:szCs w:val="24"/>
        </w:rPr>
        <w:br w:type="page"/>
      </w:r>
      <w:r>
        <w:rPr>
          <w:rFonts w:hint="eastAsia" w:ascii="仿宋" w:hAnsi="仿宋" w:eastAsia="仿宋" w:cs="仿宋"/>
          <w:sz w:val="28"/>
          <w:szCs w:val="28"/>
        </w:rPr>
        <w:t>附表2：</w:t>
      </w:r>
    </w:p>
    <w:p>
      <w:pPr>
        <w:spacing w:line="36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部门整体支出绩效评价基础数据表</w:t>
      </w:r>
    </w:p>
    <w:p>
      <w:pPr>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填报单位：玉合街道办事处    填报人：周志刚   电话：13975478931</w:t>
      </w:r>
      <w:r>
        <w:rPr>
          <w:rFonts w:hint="eastAsia" w:ascii="仿宋" w:hAnsi="仿宋" w:eastAsia="仿宋" w:cs="仿宋"/>
          <w:kern w:val="0"/>
          <w:sz w:val="28"/>
          <w:szCs w:val="28"/>
        </w:rPr>
        <w:tab/>
      </w:r>
    </w:p>
    <w:tbl>
      <w:tblPr>
        <w:tblStyle w:val="5"/>
        <w:tblpPr w:leftFromText="180" w:rightFromText="180" w:vertAnchor="text" w:tblpXSpec="center" w:tblpY="1"/>
        <w:tblOverlap w:val="never"/>
        <w:tblW w:w="9464" w:type="dxa"/>
        <w:jc w:val="center"/>
        <w:tblLayout w:type="fixed"/>
        <w:tblCellMar>
          <w:top w:w="0" w:type="dxa"/>
          <w:left w:w="108" w:type="dxa"/>
          <w:bottom w:w="0" w:type="dxa"/>
          <w:right w:w="108" w:type="dxa"/>
        </w:tblCellMar>
      </w:tblPr>
      <w:tblGrid>
        <w:gridCol w:w="3354"/>
        <w:gridCol w:w="1189"/>
        <w:gridCol w:w="849"/>
        <w:gridCol w:w="885"/>
        <w:gridCol w:w="1350"/>
        <w:gridCol w:w="974"/>
        <w:gridCol w:w="863"/>
      </w:tblGrid>
      <w:tr>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财政供养人员情况</w:t>
            </w: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编制数</w:t>
            </w:r>
          </w:p>
        </w:tc>
        <w:tc>
          <w:tcPr>
            <w:tcW w:w="2235"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2024年实际在职人数</w:t>
            </w:r>
          </w:p>
        </w:tc>
        <w:tc>
          <w:tcPr>
            <w:tcW w:w="1837"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控制率</w:t>
            </w:r>
          </w:p>
        </w:tc>
      </w:tr>
      <w:tr>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135</w:t>
            </w:r>
          </w:p>
        </w:tc>
        <w:tc>
          <w:tcPr>
            <w:tcW w:w="2235"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135</w:t>
            </w:r>
          </w:p>
        </w:tc>
        <w:tc>
          <w:tcPr>
            <w:tcW w:w="1837"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100%</w:t>
            </w:r>
          </w:p>
        </w:tc>
      </w:tr>
      <w:tr>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经费控制情况</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2023年决算数</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2024年预算数</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2024年决算数</w:t>
            </w:r>
          </w:p>
        </w:tc>
      </w:tr>
      <w:tr>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2.5万元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0.3万元</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r>
      <w:tr>
        <w:tblPrEx>
          <w:tblCellMar>
            <w:top w:w="0" w:type="dxa"/>
            <w:left w:w="108" w:type="dxa"/>
            <w:bottom w:w="0" w:type="dxa"/>
            <w:right w:w="108" w:type="dxa"/>
          </w:tblCellMar>
        </w:tblPrEx>
        <w:trPr>
          <w:trHeight w:val="36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2.5</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0.3万元</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0万元</w:t>
            </w:r>
          </w:p>
        </w:tc>
      </w:tr>
      <w:tr>
        <w:tblPrEx>
          <w:tblCellMar>
            <w:top w:w="0" w:type="dxa"/>
            <w:left w:w="108" w:type="dxa"/>
            <w:bottom w:w="0" w:type="dxa"/>
            <w:right w:w="108" w:type="dxa"/>
          </w:tblCellMar>
        </w:tblPrEx>
        <w:trPr>
          <w:trHeight w:val="32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708.2万元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1、业务工作专项(一个项目一行)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120" w:firstLineChars="400"/>
              <w:jc w:val="left"/>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2、运行维护专项(一个项目一行)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260" w:firstLineChars="450"/>
              <w:jc w:val="left"/>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3、县级专项资金（一个专项一行）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708.2万元　</w:t>
            </w:r>
          </w:p>
        </w:tc>
      </w:tr>
      <w:tr>
        <w:tblPrEx>
          <w:tblCellMar>
            <w:top w:w="0" w:type="dxa"/>
            <w:left w:w="108" w:type="dxa"/>
            <w:bottom w:w="0" w:type="dxa"/>
            <w:right w:w="108" w:type="dxa"/>
          </w:tblCellMar>
        </w:tblPrEx>
        <w:trPr>
          <w:trHeight w:val="103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城市公共设施</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对村级公益事业建设的补助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30万元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对村民委员会和村党支部的补助</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85.28万元</w:t>
            </w:r>
          </w:p>
        </w:tc>
      </w:tr>
      <w:tr>
        <w:tblPrEx>
          <w:tblCellMar>
            <w:top w:w="0" w:type="dxa"/>
            <w:left w:w="108" w:type="dxa"/>
            <w:bottom w:w="0" w:type="dxa"/>
            <w:right w:w="108" w:type="dxa"/>
          </w:tblCellMar>
        </w:tblPrEx>
        <w:trPr>
          <w:trHeight w:val="1205"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农村基础设施建设</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13.98万元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其他城乡社区公共设施支出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其他城乡社区支出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59万元</w:t>
            </w:r>
          </w:p>
        </w:tc>
      </w:tr>
      <w:tr>
        <w:tblPrEx>
          <w:tblCellMar>
            <w:top w:w="0" w:type="dxa"/>
            <w:left w:w="108" w:type="dxa"/>
            <w:bottom w:w="0" w:type="dxa"/>
            <w:right w:w="108" w:type="dxa"/>
          </w:tblCellMar>
        </w:tblPrEx>
        <w:trPr>
          <w:trHeight w:val="1786"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其他公路水路运输支出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0.9万元</w:t>
            </w:r>
          </w:p>
        </w:tc>
      </w:tr>
      <w:tr>
        <w:tblPrEx>
          <w:tblCellMar>
            <w:top w:w="0" w:type="dxa"/>
            <w:left w:w="108" w:type="dxa"/>
            <w:bottom w:w="0" w:type="dxa"/>
            <w:right w:w="108" w:type="dxa"/>
          </w:tblCellMar>
        </w:tblPrEx>
        <w:trPr>
          <w:trHeight w:val="1561"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其他公路水路运输支出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1.49万元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w:t>
            </w:r>
            <w:r>
              <w:rPr>
                <w:rFonts w:hint="eastAsia" w:ascii="仿宋" w:hAnsi="仿宋" w:eastAsia="仿宋" w:cs="仿宋"/>
                <w:sz w:val="28"/>
                <w:szCs w:val="28"/>
                <w:lang w:eastAsia="zh-CN"/>
              </w:rPr>
              <w:t>巩固拓展脱贫攻坚成果</w:t>
            </w:r>
            <w:r>
              <w:rPr>
                <w:rFonts w:hint="eastAsia" w:ascii="仿宋" w:hAnsi="仿宋" w:eastAsia="仿宋" w:cs="仿宋"/>
                <w:sz w:val="28"/>
                <w:szCs w:val="28"/>
              </w:rPr>
              <w:t>衔接乡村振兴支出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97.8万元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其他国有土地使用权出让收入安排的支出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197.33万元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其他就业补助支出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其他农林水支出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30万元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其他文化旅游体育与传媒支出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其他文化和旅游支出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其他一般公共服务支出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0.6万元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社会保险经办机构</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17.03万元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人大信访工作</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信访业务</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用于社会福利的彩票公益金支出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18万元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用于体育事业的彩票公益金支出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4万元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安全监管</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8.86万元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病虫害控制</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1.8万元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森林资源培育</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51万元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死亡补恤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sz w:val="28"/>
                <w:szCs w:val="28"/>
              </w:rPr>
            </w:pPr>
            <w:r>
              <w:rPr>
                <w:rFonts w:hint="eastAsia" w:ascii="仿宋" w:hAnsi="仿宋" w:eastAsia="仿宋" w:cs="仿宋"/>
                <w:sz w:val="28"/>
                <w:szCs w:val="28"/>
              </w:rPr>
              <w:t>2.03万元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公路养护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11.72万元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林业草原防灾减灾</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11.87万元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其他环境保护管理事务支出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20万元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其他社会福利支出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其他应急管理支出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10万元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其他支出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sz w:val="28"/>
                <w:szCs w:val="28"/>
              </w:rPr>
              <w:t>5万元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149.36万元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153.06万元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34万元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35万元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水费、电费、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26万元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r>
              <w:rPr>
                <w:rFonts w:hint="eastAsia" w:ascii="仿宋" w:hAnsi="仿宋" w:eastAsia="仿宋" w:cs="仿宋"/>
                <w:color w:val="FF0000"/>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7万元</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       差旅费、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16万元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15万元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印刷费、咨询费、手续费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福利费、取暖费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21.7万元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公务接待费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b/>
                <w:bCs/>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邮电、物业管理费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维修（护）费、租赁费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840" w:firstLineChars="30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劳务费、委托业务费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工会费、其他交通费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24.82万元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18万元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jc w:val="left"/>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其他商品和服务支出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16.04万元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50.7万元</w:t>
            </w:r>
          </w:p>
        </w:tc>
      </w:tr>
      <w:tr>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ind w:firstLine="1540" w:firstLineChars="55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专用材料费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0万元</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color w:val="FF0000"/>
                <w:kern w:val="0"/>
                <w:sz w:val="28"/>
                <w:szCs w:val="28"/>
              </w:rPr>
            </w:pP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2235"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837" w:type="dxa"/>
            <w:gridSpan w:val="2"/>
            <w:tcBorders>
              <w:top w:val="single" w:color="auto" w:sz="4" w:space="0"/>
              <w:left w:val="nil"/>
              <w:bottom w:val="single" w:color="auto" w:sz="4" w:space="0"/>
              <w:right w:val="single" w:color="000000"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1053" w:hRule="atLeast"/>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楼堂馆所控制情况</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（2024年完工项目）</w:t>
            </w:r>
          </w:p>
        </w:tc>
        <w:tc>
          <w:tcPr>
            <w:tcW w:w="118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批复规模</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84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实际规模（㎡）</w:t>
            </w:r>
          </w:p>
        </w:tc>
        <w:tc>
          <w:tcPr>
            <w:tcW w:w="885"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规模控制率</w:t>
            </w:r>
          </w:p>
        </w:tc>
        <w:tc>
          <w:tcPr>
            <w:tcW w:w="1350"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预算投资（万元）</w:t>
            </w:r>
          </w:p>
        </w:tc>
        <w:tc>
          <w:tcPr>
            <w:tcW w:w="974"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实际投资（万元）</w:t>
            </w:r>
          </w:p>
        </w:tc>
        <w:tc>
          <w:tcPr>
            <w:tcW w:w="863"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投资概算控制率</w:t>
            </w:r>
          </w:p>
        </w:tc>
      </w:tr>
      <w:tr>
        <w:tblPrEx>
          <w:tblCellMar>
            <w:top w:w="0" w:type="dxa"/>
            <w:left w:w="108" w:type="dxa"/>
            <w:bottom w:w="0" w:type="dxa"/>
            <w:right w:w="108" w:type="dxa"/>
          </w:tblCellMar>
        </w:tblPrEx>
        <w:trPr>
          <w:trHeight w:val="264" w:hRule="atLeast"/>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p>
        </w:tc>
        <w:tc>
          <w:tcPr>
            <w:tcW w:w="1189" w:type="dxa"/>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849"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885"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1350"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974"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w:t>
            </w:r>
          </w:p>
        </w:tc>
        <w:tc>
          <w:tcPr>
            <w:tcW w:w="863" w:type="dxa"/>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　</w:t>
            </w:r>
          </w:p>
        </w:tc>
      </w:tr>
      <w:tr>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厉行节约保障措施</w:t>
            </w:r>
          </w:p>
        </w:tc>
        <w:tc>
          <w:tcPr>
            <w:tcW w:w="6110" w:type="dxa"/>
            <w:gridSpan w:val="6"/>
            <w:tcBorders>
              <w:top w:val="single" w:color="auto" w:sz="4" w:space="0"/>
              <w:left w:val="nil"/>
              <w:bottom w:val="single" w:color="auto" w:sz="4" w:space="0"/>
              <w:right w:val="single" w:color="000000" w:sz="4" w:space="0"/>
            </w:tcBorders>
            <w:noWrap/>
            <w:vAlign w:val="center"/>
          </w:tcPr>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1、5万元以上非工资性开支须经党政班子成员集体研究决定；</w:t>
            </w:r>
          </w:p>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2、30万无以上开支项目须出具可行性报告，及上呈县财政评审；</w:t>
            </w:r>
          </w:p>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3、严禁向各类检查、督查人员发送红包、整包整条香烟等物资；</w:t>
            </w:r>
          </w:p>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3、统一采购办公用品，严格管理各类资产，及时处理闲置资产；</w:t>
            </w:r>
          </w:p>
          <w:p>
            <w:pPr>
              <w:widowControl/>
              <w:jc w:val="left"/>
              <w:rPr>
                <w:rFonts w:hint="eastAsia" w:ascii="仿宋" w:hAnsi="仿宋" w:eastAsia="仿宋" w:cs="仿宋"/>
                <w:kern w:val="0"/>
                <w:sz w:val="28"/>
                <w:szCs w:val="28"/>
              </w:rPr>
            </w:pPr>
            <w:r>
              <w:rPr>
                <w:rFonts w:hint="eastAsia" w:ascii="仿宋" w:hAnsi="仿宋" w:eastAsia="仿宋" w:cs="仿宋"/>
                <w:kern w:val="0"/>
                <w:sz w:val="28"/>
                <w:szCs w:val="28"/>
              </w:rPr>
              <w:t>4、公务用车、接待用餐须事先向分管领导报告，并按低标准执行；</w:t>
            </w:r>
          </w:p>
          <w:p>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5、绝不以任何名义向单位职工违规提高标准或发放津补贴、奖金。　</w:t>
            </w:r>
          </w:p>
        </w:tc>
      </w:tr>
    </w:tbl>
    <w:p>
      <w:pPr>
        <w:jc w:val="left"/>
        <w:rPr>
          <w:rFonts w:hint="eastAsia" w:ascii="仿宋" w:hAnsi="仿宋" w:eastAsia="仿宋" w:cs="仿宋"/>
          <w:sz w:val="28"/>
          <w:szCs w:val="28"/>
        </w:rPr>
      </w:pPr>
      <w:r>
        <w:rPr>
          <w:rFonts w:hint="eastAsia" w:ascii="仿宋" w:hAnsi="仿宋" w:eastAsia="仿宋" w:cs="仿宋"/>
          <w:kern w:val="0"/>
          <w:sz w:val="28"/>
          <w:szCs w:val="28"/>
        </w:rPr>
        <w:t>说明：1、“项目支出”需要填报基本支出以外的所有项目支出情况，包括业务工作项目、运行维护项目和县级专项资金等；2、“公用经费”填报基本支出中的一般商品和服务支出；3、202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年决算数填列县级初定上报数，如批复的决算数有变动，以决算批复数为准。</w:t>
      </w:r>
      <w:r>
        <w:rPr>
          <w:rFonts w:hint="eastAsia" w:ascii="仿宋" w:hAnsi="仿宋" w:eastAsia="仿宋" w:cs="仿宋"/>
          <w:kern w:val="0"/>
          <w:sz w:val="28"/>
          <w:szCs w:val="28"/>
        </w:rPr>
        <w:br w:type="page"/>
      </w:r>
    </w:p>
    <w:p>
      <w:pPr>
        <w:rPr>
          <w:rFonts w:hint="eastAsia" w:ascii="仿宋" w:hAnsi="仿宋" w:eastAsia="仿宋" w:cs="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s>
  <w:rsids>
    <w:rsidRoot w:val="007D18B0"/>
    <w:rsid w:val="002F1344"/>
    <w:rsid w:val="003956C8"/>
    <w:rsid w:val="005B28AB"/>
    <w:rsid w:val="00642344"/>
    <w:rsid w:val="0077460D"/>
    <w:rsid w:val="00774AEB"/>
    <w:rsid w:val="007D18B0"/>
    <w:rsid w:val="0087464F"/>
    <w:rsid w:val="008A33FF"/>
    <w:rsid w:val="00A73EFE"/>
    <w:rsid w:val="00AF12F1"/>
    <w:rsid w:val="00B05D18"/>
    <w:rsid w:val="00B21171"/>
    <w:rsid w:val="00B67AA3"/>
    <w:rsid w:val="00BE6E0F"/>
    <w:rsid w:val="00E2544E"/>
    <w:rsid w:val="00EB27AF"/>
    <w:rsid w:val="0A924BF4"/>
    <w:rsid w:val="7933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正文格式"/>
    <w:basedOn w:val="1"/>
    <w:qFormat/>
    <w:uiPriority w:val="0"/>
    <w:pPr>
      <w:widowControl/>
      <w:spacing w:line="360" w:lineRule="auto"/>
      <w:ind w:firstLine="200" w:firstLineChars="200"/>
    </w:pPr>
    <w:rPr>
      <w:rFonts w:ascii="Times New Roman" w:hAnsi="Times New Roman" w:eastAsia="宋体" w:cs="Times New Roman"/>
      <w:sz w:val="28"/>
      <w:szCs w:val="28"/>
    </w:rPr>
  </w:style>
  <w:style w:type="paragraph" w:styleId="10">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5436</Words>
  <Characters>5846</Characters>
  <Lines>46</Lines>
  <Paragraphs>13</Paragraphs>
  <TotalTime>38</TotalTime>
  <ScaleCrop>false</ScaleCrop>
  <LinksUpToDate>false</LinksUpToDate>
  <CharactersWithSpaces>5988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2025-04-21T08:32:00Z</dcterms:created>
  <dc:creator>胡艳芳</dc:creator>
  <cp:lastModifiedBy>蒋阔</cp:lastModifiedBy>
  <dcterms:modified xsi:type="dcterms:W3CDTF">2025-10-14T00:55:12Z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eyJoZGlkIjoiNzAwOTk1NDFjMjcxOWViMWFjZmRkM2U2MjI5M2M5ZjEiLCJ1c2VySWQiOiI0NTI4OTM3MTgifQ==</vt:lpwstr>
  </property>
  <property fmtid="{D5CDD505-2E9C-101B-9397-08002B2CF9AE}" pid="3" name="KSOProductBuildVer">
    <vt:lpwstr>2052-11.1.0.12598</vt:lpwstr>
  </property>
  <property fmtid="{D5CDD505-2E9C-101B-9397-08002B2CF9AE}" pid="4" name="ICV">
    <vt:lpwstr>C9C6A0B85A164819A5846768E01D1DFD_13</vt:lpwstr>
  </property>
</Properties>
</file>