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39207">
      <w:pPr>
        <w:jc w:val="center"/>
        <w:rPr>
          <w:rFonts w:ascii="方正小标宋_GBK" w:eastAsia="方正小标宋_GBK"/>
          <w:sz w:val="48"/>
          <w:szCs w:val="48"/>
        </w:rPr>
      </w:pPr>
      <w:bookmarkStart w:id="0" w:name="_GoBack"/>
      <w:bookmarkEnd w:id="0"/>
      <w:r>
        <w:rPr>
          <w:rFonts w:hint="eastAsia" w:ascii="方正小标宋_GBK" w:eastAsia="方正小标宋_GBK"/>
          <w:sz w:val="48"/>
          <w:szCs w:val="48"/>
        </w:rPr>
        <w:t>202</w:t>
      </w:r>
      <w:r>
        <w:rPr>
          <w:rFonts w:hint="eastAsia" w:ascii="方正小标宋_GBK" w:eastAsia="方正小标宋_GBK"/>
          <w:sz w:val="48"/>
          <w:szCs w:val="48"/>
          <w:lang w:val="en-US" w:eastAsia="zh-CN"/>
        </w:rPr>
        <w:t>4</w:t>
      </w:r>
      <w:r>
        <w:rPr>
          <w:rFonts w:hint="eastAsia" w:ascii="方正小标宋_GBK" w:eastAsia="方正小标宋_GBK"/>
          <w:sz w:val="48"/>
          <w:szCs w:val="48"/>
        </w:rPr>
        <w:t>年度部门整体支出绩效自评报告</w:t>
      </w:r>
    </w:p>
    <w:p w14:paraId="2DB77CED">
      <w:pPr>
        <w:jc w:val="center"/>
        <w:rPr>
          <w:rFonts w:ascii="黑体" w:eastAsia="黑体"/>
          <w:sz w:val="32"/>
          <w:szCs w:val="32"/>
        </w:rPr>
      </w:pPr>
    </w:p>
    <w:p w14:paraId="7CFFBC6A">
      <w:pPr>
        <w:jc w:val="center"/>
        <w:rPr>
          <w:rFonts w:ascii="黑体" w:eastAsia="黑体"/>
          <w:sz w:val="32"/>
          <w:szCs w:val="32"/>
        </w:rPr>
      </w:pPr>
    </w:p>
    <w:p w14:paraId="1C32A136">
      <w:pPr>
        <w:jc w:val="center"/>
        <w:rPr>
          <w:rFonts w:ascii="黑体" w:eastAsia="黑体"/>
          <w:sz w:val="32"/>
          <w:szCs w:val="32"/>
        </w:rPr>
      </w:pPr>
    </w:p>
    <w:p w14:paraId="6D5D64C5">
      <w:pPr>
        <w:jc w:val="center"/>
        <w:rPr>
          <w:rFonts w:ascii="黑体" w:eastAsia="黑体"/>
          <w:sz w:val="32"/>
          <w:szCs w:val="32"/>
        </w:rPr>
      </w:pPr>
    </w:p>
    <w:p w14:paraId="2C47E7F4">
      <w:pPr>
        <w:jc w:val="center"/>
        <w:rPr>
          <w:rFonts w:ascii="黑体" w:eastAsia="黑体"/>
          <w:sz w:val="32"/>
          <w:szCs w:val="32"/>
        </w:rPr>
      </w:pPr>
    </w:p>
    <w:p w14:paraId="40C5F88E">
      <w:pPr>
        <w:jc w:val="center"/>
        <w:rPr>
          <w:rFonts w:ascii="黑体" w:eastAsia="黑体"/>
          <w:sz w:val="32"/>
          <w:szCs w:val="32"/>
        </w:rPr>
      </w:pPr>
    </w:p>
    <w:p w14:paraId="122929DB">
      <w:pPr>
        <w:jc w:val="center"/>
        <w:rPr>
          <w:rFonts w:ascii="黑体" w:eastAsia="黑体"/>
          <w:sz w:val="32"/>
          <w:szCs w:val="32"/>
        </w:rPr>
      </w:pPr>
    </w:p>
    <w:p w14:paraId="47539D4B">
      <w:pPr>
        <w:rPr>
          <w:rFonts w:ascii="黑体" w:eastAsia="黑体"/>
          <w:sz w:val="32"/>
          <w:szCs w:val="32"/>
        </w:rPr>
      </w:pPr>
    </w:p>
    <w:p w14:paraId="7334D52F">
      <w:pPr>
        <w:rPr>
          <w:rFonts w:ascii="黑体" w:eastAsia="黑体"/>
          <w:sz w:val="44"/>
          <w:szCs w:val="44"/>
        </w:rPr>
      </w:pPr>
    </w:p>
    <w:p w14:paraId="7B059AEE">
      <w:pPr>
        <w:rPr>
          <w:rFonts w:ascii="黑体" w:eastAsia="黑体"/>
          <w:sz w:val="44"/>
          <w:szCs w:val="44"/>
        </w:rPr>
      </w:pPr>
    </w:p>
    <w:p w14:paraId="6864D7C1">
      <w:pPr>
        <w:rPr>
          <w:rFonts w:ascii="黑体" w:eastAsia="黑体"/>
          <w:w w:val="90"/>
          <w:sz w:val="44"/>
          <w:szCs w:val="44"/>
        </w:rPr>
      </w:pPr>
    </w:p>
    <w:p w14:paraId="5DCA960D">
      <w:pPr>
        <w:rPr>
          <w:rFonts w:ascii="黑体" w:eastAsia="黑体"/>
          <w:w w:val="90"/>
          <w:sz w:val="44"/>
          <w:szCs w:val="44"/>
        </w:rPr>
      </w:pPr>
    </w:p>
    <w:p w14:paraId="7207113F">
      <w:pPr>
        <w:jc w:val="center"/>
        <w:rPr>
          <w:rFonts w:ascii="方正小标宋_GBK" w:eastAsia="方正小标宋_GBK"/>
          <w:sz w:val="36"/>
          <w:szCs w:val="36"/>
        </w:rPr>
      </w:pPr>
      <w:r>
        <w:rPr>
          <w:rFonts w:hint="eastAsia" w:ascii="方正小标宋_GBK" w:eastAsia="方正小标宋_GBK"/>
          <w:sz w:val="36"/>
          <w:szCs w:val="36"/>
        </w:rPr>
        <w:t>单位名称（盖章）:祁东县住房保障服务中心</w:t>
      </w:r>
    </w:p>
    <w:p w14:paraId="22D860E2">
      <w:pPr>
        <w:jc w:val="center"/>
        <w:rPr>
          <w:rFonts w:ascii="黑体" w:eastAsia="黑体"/>
          <w:sz w:val="32"/>
          <w:szCs w:val="32"/>
        </w:rPr>
      </w:pPr>
    </w:p>
    <w:p w14:paraId="6053D51B">
      <w:pPr>
        <w:jc w:val="center"/>
        <w:rPr>
          <w:rFonts w:ascii="黑体" w:eastAsia="黑体"/>
          <w:sz w:val="32"/>
          <w:szCs w:val="32"/>
        </w:rPr>
      </w:pPr>
    </w:p>
    <w:p w14:paraId="2866159E">
      <w:pPr>
        <w:rPr>
          <w:rFonts w:ascii="黑体" w:eastAsia="黑体"/>
          <w:sz w:val="32"/>
          <w:szCs w:val="32"/>
        </w:rPr>
      </w:pPr>
    </w:p>
    <w:p w14:paraId="4593E071">
      <w:pPr>
        <w:jc w:val="center"/>
        <w:rPr>
          <w:rFonts w:ascii="黑体" w:eastAsia="黑体"/>
          <w:sz w:val="32"/>
          <w:szCs w:val="32"/>
        </w:rPr>
      </w:pPr>
    </w:p>
    <w:p w14:paraId="7E7A5582">
      <w:pPr>
        <w:pStyle w:val="5"/>
        <w:widowControl/>
        <w:spacing w:line="600" w:lineRule="exact"/>
        <w:ind w:firstLine="640"/>
        <w:rPr>
          <w:rFonts w:ascii="黑体" w:hAnsi="黑体" w:eastAsia="黑体"/>
          <w:sz w:val="32"/>
          <w:szCs w:val="32"/>
        </w:rPr>
      </w:pPr>
    </w:p>
    <w:p w14:paraId="47DE44FC">
      <w:pPr>
        <w:pStyle w:val="5"/>
        <w:widowControl/>
        <w:spacing w:line="600" w:lineRule="exact"/>
        <w:ind w:firstLine="640"/>
        <w:rPr>
          <w:rFonts w:ascii="黑体" w:hAnsi="黑体" w:eastAsia="黑体"/>
          <w:sz w:val="32"/>
          <w:szCs w:val="32"/>
        </w:rPr>
        <w:sectPr>
          <w:pgSz w:w="11906" w:h="16838"/>
          <w:pgMar w:top="1440" w:right="1800" w:bottom="1440" w:left="1800" w:header="851" w:footer="992" w:gutter="0"/>
          <w:cols w:space="720" w:num="1"/>
          <w:docGrid w:type="lines" w:linePitch="312" w:charSpace="0"/>
        </w:sectPr>
      </w:pPr>
    </w:p>
    <w:p w14:paraId="17BF0B92">
      <w:pPr>
        <w:pStyle w:val="5"/>
        <w:widowControl/>
        <w:numPr>
          <w:ilvl w:val="0"/>
          <w:numId w:val="1"/>
        </w:numPr>
        <w:spacing w:line="600" w:lineRule="exact"/>
        <w:ind w:firstLine="640" w:firstLineChars="0"/>
        <w:rPr>
          <w:rFonts w:ascii="黑体" w:hAnsi="黑体" w:eastAsia="黑体"/>
          <w:b/>
          <w:bCs/>
          <w:sz w:val="30"/>
          <w:szCs w:val="30"/>
        </w:rPr>
      </w:pPr>
      <w:r>
        <w:rPr>
          <w:rFonts w:hint="eastAsia" w:ascii="黑体" w:hAnsi="黑体" w:eastAsia="黑体"/>
          <w:b/>
          <w:bCs/>
          <w:sz w:val="30"/>
          <w:szCs w:val="30"/>
        </w:rPr>
        <w:t>单位基本情况</w:t>
      </w:r>
    </w:p>
    <w:p w14:paraId="70D6C8EE">
      <w:pPr>
        <w:rPr>
          <w:rFonts w:ascii="宋体" w:hAnsi="宋体"/>
          <w:sz w:val="30"/>
          <w:szCs w:val="30"/>
        </w:rPr>
      </w:pPr>
      <w:r>
        <w:rPr>
          <w:rFonts w:hint="eastAsia" w:ascii="宋体" w:hAnsi="宋体"/>
          <w:sz w:val="30"/>
          <w:szCs w:val="30"/>
        </w:rPr>
        <w:t>根据祁编[2018]12号文件，我中心主要职责为：</w:t>
      </w:r>
    </w:p>
    <w:p w14:paraId="6E1E8D0C">
      <w:pPr>
        <w:ind w:firstLine="600" w:firstLineChars="200"/>
        <w:rPr>
          <w:rFonts w:ascii="宋体" w:hAnsi="宋体"/>
          <w:sz w:val="30"/>
          <w:szCs w:val="30"/>
        </w:rPr>
      </w:pPr>
      <w:r>
        <w:rPr>
          <w:rFonts w:hint="eastAsia" w:ascii="宋体" w:hAnsi="宋体"/>
          <w:sz w:val="30"/>
          <w:szCs w:val="30"/>
        </w:rPr>
        <w:t>(1)受县住房和城乡建设局委托，负责拟定全县房屋交易管理办法及制度措施；组织实施全县房屋交易管理工作。</w:t>
      </w:r>
    </w:p>
    <w:p w14:paraId="454F287C">
      <w:pPr>
        <w:ind w:firstLine="600" w:firstLineChars="200"/>
        <w:rPr>
          <w:rFonts w:ascii="宋体" w:hAnsi="宋体"/>
          <w:sz w:val="30"/>
          <w:szCs w:val="30"/>
        </w:rPr>
      </w:pPr>
      <w:r>
        <w:rPr>
          <w:rFonts w:hint="eastAsia" w:ascii="宋体" w:hAnsi="宋体"/>
          <w:sz w:val="30"/>
          <w:szCs w:val="30"/>
        </w:rPr>
        <w:t>(2) 受县住房和城乡建设局委托，负责全县商品房预售、现售管理；负责全县商品房预售资金和房屋交易转让资金监管工作。</w:t>
      </w:r>
    </w:p>
    <w:p w14:paraId="7189D63B">
      <w:pPr>
        <w:ind w:firstLine="450" w:firstLineChars="150"/>
        <w:rPr>
          <w:rFonts w:ascii="宋体" w:hAnsi="宋体"/>
          <w:sz w:val="30"/>
          <w:szCs w:val="30"/>
        </w:rPr>
      </w:pPr>
      <w:r>
        <w:rPr>
          <w:rFonts w:hint="eastAsia" w:ascii="宋体" w:hAnsi="宋体"/>
          <w:sz w:val="30"/>
          <w:szCs w:val="30"/>
        </w:rPr>
        <w:t xml:space="preserve"> (3) 受县住房和城乡建设局委托，负责承担全县保障性住房日常管理工作。</w:t>
      </w:r>
    </w:p>
    <w:p w14:paraId="2C1D6271">
      <w:pPr>
        <w:ind w:firstLine="600" w:firstLineChars="200"/>
        <w:rPr>
          <w:rFonts w:ascii="宋体" w:hAnsi="宋体"/>
          <w:sz w:val="30"/>
          <w:szCs w:val="30"/>
        </w:rPr>
      </w:pPr>
      <w:r>
        <w:rPr>
          <w:rFonts w:hint="eastAsia" w:ascii="宋体" w:hAnsi="宋体"/>
          <w:sz w:val="30"/>
          <w:szCs w:val="30"/>
        </w:rPr>
        <w:t>(4)负责承办全县房屋交易买卖合同网签备案；承办全县房屋转让、租赁工作。</w:t>
      </w:r>
    </w:p>
    <w:p w14:paraId="2BD3CFCB">
      <w:pPr>
        <w:ind w:firstLine="600" w:firstLineChars="200"/>
        <w:rPr>
          <w:rFonts w:ascii="宋体" w:hAnsi="宋体"/>
          <w:sz w:val="30"/>
          <w:szCs w:val="30"/>
        </w:rPr>
      </w:pPr>
      <w:r>
        <w:rPr>
          <w:rFonts w:hint="eastAsia" w:ascii="宋体" w:hAnsi="宋体"/>
          <w:sz w:val="30"/>
          <w:szCs w:val="30"/>
        </w:rPr>
        <w:t>(5)承担房屋市场价值和交易确认工作；配合有关部门制定和公布各类房屋重置价格。</w:t>
      </w:r>
    </w:p>
    <w:p w14:paraId="12337172">
      <w:pPr>
        <w:ind w:firstLine="600" w:firstLineChars="200"/>
        <w:rPr>
          <w:rFonts w:ascii="宋体" w:hAnsi="宋体"/>
          <w:sz w:val="30"/>
          <w:szCs w:val="30"/>
        </w:rPr>
      </w:pPr>
      <w:r>
        <w:rPr>
          <w:rFonts w:hint="eastAsia" w:ascii="宋体" w:hAnsi="宋体"/>
          <w:sz w:val="30"/>
          <w:szCs w:val="30"/>
        </w:rPr>
        <w:t>(6)负责房屋交易管理信息平台建设；负责房屋交易市场监测、预警预报体系建设和个人住房信息系统建设管理。</w:t>
      </w:r>
    </w:p>
    <w:p w14:paraId="3E2CD62E">
      <w:pPr>
        <w:ind w:firstLine="600" w:firstLineChars="200"/>
        <w:rPr>
          <w:rFonts w:ascii="宋体" w:hAnsi="宋体"/>
          <w:sz w:val="30"/>
          <w:szCs w:val="30"/>
        </w:rPr>
      </w:pPr>
      <w:r>
        <w:rPr>
          <w:rFonts w:hint="eastAsia" w:ascii="宋体" w:hAnsi="宋体"/>
          <w:sz w:val="30"/>
          <w:szCs w:val="30"/>
        </w:rPr>
        <w:t>(7) 承办县住房和城乡建设局交办的其他事项。</w:t>
      </w:r>
    </w:p>
    <w:p w14:paraId="697CAE7A">
      <w:pPr>
        <w:widowControl/>
        <w:shd w:val="clear" w:color="auto" w:fill="FFFFFF"/>
        <w:spacing w:before="100" w:beforeAutospacing="1" w:after="100" w:afterAutospacing="1" w:line="525" w:lineRule="atLeast"/>
        <w:ind w:firstLine="600" w:firstLineChars="200"/>
        <w:jc w:val="left"/>
        <w:rPr>
          <w:rFonts w:ascii="宋体" w:hAnsi="宋体" w:cs="宋体"/>
          <w:color w:val="383838"/>
          <w:kern w:val="0"/>
          <w:sz w:val="30"/>
          <w:szCs w:val="30"/>
        </w:rPr>
      </w:pPr>
      <w:r>
        <w:rPr>
          <w:rFonts w:ascii="宋体" w:hAnsi="宋体" w:cs="宋体"/>
          <w:color w:val="383838"/>
          <w:kern w:val="0"/>
          <w:sz w:val="30"/>
          <w:szCs w:val="30"/>
        </w:rPr>
        <w:t>（二）机构设置</w:t>
      </w:r>
    </w:p>
    <w:p w14:paraId="74CAD151">
      <w:pPr>
        <w:ind w:firstLine="600"/>
        <w:rPr>
          <w:rFonts w:ascii="宋体" w:hAnsi="宋体"/>
          <w:color w:val="666666"/>
          <w:sz w:val="30"/>
          <w:szCs w:val="30"/>
        </w:rPr>
      </w:pPr>
      <w:r>
        <w:rPr>
          <w:rFonts w:hint="eastAsia" w:ascii="宋体" w:hAnsi="宋体"/>
          <w:w w:val="90"/>
          <w:sz w:val="30"/>
          <w:szCs w:val="30"/>
        </w:rPr>
        <w:t>祁东县住房保障服务</w:t>
      </w:r>
      <w:r>
        <w:rPr>
          <w:rFonts w:hint="eastAsia" w:ascii="宋体" w:hAnsi="宋体"/>
          <w:sz w:val="30"/>
          <w:szCs w:val="30"/>
        </w:rPr>
        <w:t>中心为县住房和城乡建设局管理的副科级公益一类全额拔款事业单位，</w:t>
      </w:r>
      <w:r>
        <w:rPr>
          <w:rFonts w:hint="eastAsia"/>
          <w:sz w:val="30"/>
          <w:szCs w:val="30"/>
        </w:rPr>
        <w:t>内设综合股、房屋交易股、保障性住房服务股三个职能股室</w:t>
      </w:r>
      <w:r>
        <w:rPr>
          <w:rFonts w:hint="eastAsia" w:ascii="宋体" w:hAnsi="宋体"/>
          <w:sz w:val="30"/>
          <w:szCs w:val="30"/>
        </w:rPr>
        <w:t>。</w:t>
      </w:r>
    </w:p>
    <w:p w14:paraId="3D95F9B2">
      <w:pPr>
        <w:pStyle w:val="2"/>
        <w:numPr>
          <w:ilvl w:val="0"/>
          <w:numId w:val="2"/>
        </w:numPr>
        <w:spacing w:before="0" w:beforeAutospacing="0" w:after="0" w:afterAutospacing="0" w:line="600" w:lineRule="exact"/>
        <w:ind w:firstLine="600" w:firstLineChars="200"/>
        <w:rPr>
          <w:kern w:val="2"/>
          <w:sz w:val="30"/>
          <w:szCs w:val="30"/>
        </w:rPr>
      </w:pPr>
      <w:r>
        <w:rPr>
          <w:rFonts w:hint="eastAsia"/>
          <w:kern w:val="2"/>
          <w:sz w:val="30"/>
          <w:szCs w:val="30"/>
        </w:rPr>
        <w:t>人员编制情况</w:t>
      </w:r>
    </w:p>
    <w:p w14:paraId="3D5DBC17">
      <w:pPr>
        <w:pStyle w:val="2"/>
        <w:spacing w:before="0" w:beforeAutospacing="0" w:after="0" w:afterAutospacing="0" w:line="600" w:lineRule="exact"/>
        <w:ind w:firstLine="600" w:firstLineChars="200"/>
        <w:rPr>
          <w:kern w:val="2"/>
          <w:sz w:val="30"/>
          <w:szCs w:val="30"/>
        </w:rPr>
      </w:pPr>
      <w:r>
        <w:rPr>
          <w:rFonts w:hint="eastAsia"/>
          <w:sz w:val="30"/>
          <w:szCs w:val="30"/>
        </w:rPr>
        <w:t>至202</w:t>
      </w:r>
      <w:r>
        <w:rPr>
          <w:rFonts w:hint="eastAsia"/>
          <w:sz w:val="30"/>
          <w:szCs w:val="30"/>
          <w:lang w:val="en-US" w:eastAsia="zh-CN"/>
        </w:rPr>
        <w:t>4</w:t>
      </w:r>
      <w:r>
        <w:rPr>
          <w:rFonts w:hint="eastAsia"/>
          <w:sz w:val="30"/>
          <w:szCs w:val="30"/>
        </w:rPr>
        <w:t>年12月，</w:t>
      </w:r>
      <w:r>
        <w:rPr>
          <w:rFonts w:hint="eastAsia"/>
          <w:w w:val="90"/>
          <w:sz w:val="30"/>
          <w:szCs w:val="30"/>
        </w:rPr>
        <w:t>祁东县住房保障服务</w:t>
      </w:r>
      <w:r>
        <w:rPr>
          <w:rFonts w:hint="eastAsia"/>
          <w:sz w:val="30"/>
          <w:szCs w:val="30"/>
        </w:rPr>
        <w:t>中心共有编制25名，实有人数19人，其中在职19人、离退休26人。</w:t>
      </w:r>
    </w:p>
    <w:p w14:paraId="6087B47F">
      <w:pPr>
        <w:pStyle w:val="5"/>
        <w:widowControl/>
        <w:numPr>
          <w:ilvl w:val="0"/>
          <w:numId w:val="1"/>
        </w:numPr>
        <w:spacing w:line="600" w:lineRule="exact"/>
        <w:ind w:firstLine="640" w:firstLineChars="0"/>
        <w:rPr>
          <w:rFonts w:ascii="黑体" w:hAnsi="黑体" w:eastAsia="黑体"/>
          <w:b/>
          <w:bCs/>
          <w:sz w:val="30"/>
          <w:szCs w:val="30"/>
        </w:rPr>
      </w:pPr>
      <w:r>
        <w:rPr>
          <w:rFonts w:hint="eastAsia" w:ascii="黑体" w:hAnsi="黑体" w:eastAsia="黑体"/>
          <w:b/>
          <w:bCs/>
          <w:sz w:val="30"/>
          <w:szCs w:val="30"/>
        </w:rPr>
        <w:t>基本支出情况</w:t>
      </w:r>
    </w:p>
    <w:p w14:paraId="30B3CD0F">
      <w:pPr>
        <w:pStyle w:val="2"/>
        <w:spacing w:before="0" w:beforeAutospacing="0" w:after="0" w:afterAutospacing="0" w:line="600" w:lineRule="exact"/>
        <w:ind w:firstLine="600" w:firstLineChars="200"/>
        <w:rPr>
          <w:color w:val="333333"/>
          <w:sz w:val="30"/>
          <w:szCs w:val="30"/>
        </w:rPr>
      </w:pPr>
      <w:r>
        <w:rPr>
          <w:rFonts w:hint="eastAsia"/>
          <w:kern w:val="2"/>
          <w:sz w:val="30"/>
          <w:szCs w:val="30"/>
        </w:rPr>
        <w:t>（一）202</w:t>
      </w:r>
      <w:r>
        <w:rPr>
          <w:rFonts w:hint="eastAsia"/>
          <w:kern w:val="2"/>
          <w:sz w:val="30"/>
          <w:szCs w:val="30"/>
          <w:lang w:val="en-US" w:eastAsia="zh-CN"/>
        </w:rPr>
        <w:t>4</w:t>
      </w:r>
      <w:r>
        <w:rPr>
          <w:rFonts w:hint="eastAsia"/>
          <w:kern w:val="2"/>
          <w:sz w:val="30"/>
          <w:szCs w:val="30"/>
        </w:rPr>
        <w:t xml:space="preserve">年度支出决算总体情况 </w:t>
      </w:r>
    </w:p>
    <w:p w14:paraId="21C0AB27">
      <w:pPr>
        <w:pStyle w:val="2"/>
        <w:spacing w:before="0" w:beforeAutospacing="0" w:after="0" w:afterAutospacing="0" w:line="600" w:lineRule="exact"/>
        <w:ind w:firstLine="600" w:firstLineChars="200"/>
        <w:rPr>
          <w:color w:val="333333"/>
          <w:sz w:val="30"/>
          <w:szCs w:val="30"/>
        </w:rPr>
      </w:pPr>
      <w:r>
        <w:rPr>
          <w:rFonts w:hint="eastAsia"/>
          <w:color w:val="333333"/>
          <w:sz w:val="30"/>
          <w:szCs w:val="30"/>
        </w:rPr>
        <w:t>202</w:t>
      </w:r>
      <w:r>
        <w:rPr>
          <w:rFonts w:hint="eastAsia"/>
          <w:color w:val="333333"/>
          <w:sz w:val="30"/>
          <w:szCs w:val="30"/>
          <w:lang w:val="en-US" w:eastAsia="zh-CN"/>
        </w:rPr>
        <w:t>4</w:t>
      </w:r>
      <w:r>
        <w:rPr>
          <w:rFonts w:hint="eastAsia"/>
          <w:color w:val="333333"/>
          <w:sz w:val="30"/>
          <w:szCs w:val="30"/>
        </w:rPr>
        <w:t>年度支出总计</w:t>
      </w:r>
      <w:r>
        <w:rPr>
          <w:rFonts w:hint="eastAsia" w:asciiTheme="minorEastAsia" w:hAnsiTheme="minorEastAsia"/>
          <w:sz w:val="32"/>
          <w:szCs w:val="32"/>
          <w:lang w:val="en-US" w:eastAsia="zh-CN"/>
        </w:rPr>
        <w:t>712.89</w:t>
      </w:r>
      <w:r>
        <w:rPr>
          <w:rFonts w:hint="eastAsia"/>
          <w:color w:val="333333"/>
          <w:sz w:val="30"/>
          <w:szCs w:val="30"/>
        </w:rPr>
        <w:t>万元，其中：基本支出</w:t>
      </w:r>
      <w:r>
        <w:rPr>
          <w:rFonts w:hint="default"/>
          <w:color w:val="333333"/>
          <w:sz w:val="30"/>
          <w:szCs w:val="30"/>
          <w:lang w:val="en-US" w:eastAsia="zh-CN"/>
        </w:rPr>
        <w:t>261.73</w:t>
      </w:r>
      <w:r>
        <w:rPr>
          <w:rFonts w:hint="eastAsia"/>
          <w:color w:val="333333"/>
          <w:sz w:val="30"/>
          <w:szCs w:val="30"/>
        </w:rPr>
        <w:t>万元，项目支出</w:t>
      </w:r>
      <w:r>
        <w:rPr>
          <w:rFonts w:hint="default"/>
          <w:color w:val="333333"/>
          <w:sz w:val="30"/>
          <w:szCs w:val="30"/>
          <w:lang w:val="en-US" w:eastAsia="zh-CN"/>
        </w:rPr>
        <w:t>451.16</w:t>
      </w:r>
      <w:r>
        <w:rPr>
          <w:rFonts w:hint="eastAsia"/>
          <w:color w:val="333333"/>
          <w:sz w:val="30"/>
          <w:szCs w:val="30"/>
        </w:rPr>
        <w:t>万元。项目支出中</w:t>
      </w:r>
      <w:r>
        <w:rPr>
          <w:rFonts w:hint="eastAsia"/>
          <w:color w:val="333333"/>
          <w:sz w:val="30"/>
          <w:szCs w:val="30"/>
          <w:lang w:val="en-US" w:eastAsia="zh-CN"/>
        </w:rPr>
        <w:t>38.76万元为危旧房排查经费支出，412.4</w:t>
      </w:r>
      <w:r>
        <w:rPr>
          <w:rFonts w:hint="eastAsia"/>
          <w:color w:val="333333"/>
          <w:sz w:val="30"/>
          <w:szCs w:val="30"/>
        </w:rPr>
        <w:t xml:space="preserve">万元为棚户区改造及公共租赁项目支出。 </w:t>
      </w:r>
    </w:p>
    <w:p w14:paraId="2F4D12E4">
      <w:pPr>
        <w:pStyle w:val="2"/>
        <w:spacing w:before="0" w:beforeAutospacing="0" w:after="0" w:afterAutospacing="0" w:line="600" w:lineRule="exact"/>
        <w:ind w:firstLine="600" w:firstLineChars="200"/>
        <w:rPr>
          <w:kern w:val="2"/>
          <w:sz w:val="30"/>
          <w:szCs w:val="30"/>
        </w:rPr>
      </w:pPr>
      <w:r>
        <w:rPr>
          <w:rFonts w:hint="eastAsia"/>
          <w:kern w:val="2"/>
          <w:sz w:val="30"/>
          <w:szCs w:val="30"/>
        </w:rPr>
        <w:t>（二）202</w:t>
      </w:r>
      <w:r>
        <w:rPr>
          <w:rFonts w:hint="eastAsia"/>
          <w:kern w:val="2"/>
          <w:sz w:val="30"/>
          <w:szCs w:val="30"/>
          <w:lang w:val="en-US" w:eastAsia="zh-CN"/>
        </w:rPr>
        <w:t>4</w:t>
      </w:r>
      <w:r>
        <w:rPr>
          <w:rFonts w:hint="eastAsia"/>
          <w:kern w:val="2"/>
          <w:sz w:val="30"/>
          <w:szCs w:val="30"/>
        </w:rPr>
        <w:t>年度财政拨款支出决算情况</w:t>
      </w:r>
    </w:p>
    <w:p w14:paraId="38FC70D6">
      <w:pPr>
        <w:pStyle w:val="2"/>
        <w:spacing w:before="0" w:beforeAutospacing="0" w:after="0" w:afterAutospacing="0" w:line="600" w:lineRule="exact"/>
        <w:ind w:firstLine="600" w:firstLineChars="200"/>
        <w:rPr>
          <w:color w:val="333333"/>
          <w:sz w:val="30"/>
          <w:szCs w:val="30"/>
        </w:rPr>
      </w:pPr>
      <w:r>
        <w:rPr>
          <w:rFonts w:hint="eastAsia"/>
          <w:kern w:val="2"/>
          <w:sz w:val="30"/>
          <w:szCs w:val="30"/>
        </w:rPr>
        <w:t>202</w:t>
      </w:r>
      <w:r>
        <w:rPr>
          <w:rFonts w:hint="eastAsia"/>
          <w:kern w:val="2"/>
          <w:sz w:val="30"/>
          <w:szCs w:val="30"/>
          <w:lang w:val="en-US" w:eastAsia="zh-CN"/>
        </w:rPr>
        <w:t>4</w:t>
      </w:r>
      <w:r>
        <w:rPr>
          <w:rFonts w:hint="eastAsia"/>
          <w:kern w:val="2"/>
          <w:sz w:val="30"/>
          <w:szCs w:val="30"/>
        </w:rPr>
        <w:t>年</w:t>
      </w:r>
      <w:r>
        <w:rPr>
          <w:rFonts w:hint="eastAsia"/>
          <w:color w:val="333333"/>
          <w:sz w:val="30"/>
          <w:szCs w:val="30"/>
        </w:rPr>
        <w:t>度财政拨款支出合计</w:t>
      </w:r>
      <w:r>
        <w:rPr>
          <w:rFonts w:hint="eastAsia"/>
          <w:color w:val="333333"/>
          <w:sz w:val="30"/>
          <w:szCs w:val="30"/>
          <w:lang w:val="en-US" w:eastAsia="zh-CN"/>
        </w:rPr>
        <w:t>712.89</w:t>
      </w:r>
      <w:r>
        <w:rPr>
          <w:rFonts w:hint="eastAsia"/>
          <w:color w:val="333333"/>
          <w:sz w:val="30"/>
          <w:szCs w:val="30"/>
        </w:rPr>
        <w:t>万元，其中：社会保障和就业支出</w:t>
      </w:r>
      <w:r>
        <w:rPr>
          <w:rFonts w:hint="eastAsia"/>
          <w:color w:val="333333"/>
          <w:sz w:val="30"/>
          <w:szCs w:val="30"/>
          <w:lang w:val="en-US" w:eastAsia="zh-CN"/>
        </w:rPr>
        <w:t>27.29</w:t>
      </w:r>
      <w:r>
        <w:rPr>
          <w:rFonts w:hint="eastAsia"/>
          <w:color w:val="333333"/>
          <w:sz w:val="30"/>
          <w:szCs w:val="30"/>
        </w:rPr>
        <w:t>万元 ，卫生健康支出</w:t>
      </w:r>
      <w:r>
        <w:rPr>
          <w:rFonts w:hint="eastAsia"/>
          <w:color w:val="333333"/>
          <w:sz w:val="30"/>
          <w:szCs w:val="30"/>
          <w:lang w:val="en-US" w:eastAsia="zh-CN"/>
        </w:rPr>
        <w:t>9.92</w:t>
      </w:r>
      <w:r>
        <w:rPr>
          <w:rFonts w:hint="eastAsia"/>
          <w:color w:val="333333"/>
          <w:sz w:val="30"/>
          <w:szCs w:val="30"/>
        </w:rPr>
        <w:t>万元 ，行政运行支出</w:t>
      </w:r>
      <w:r>
        <w:rPr>
          <w:rFonts w:hint="eastAsia"/>
          <w:color w:val="333333"/>
          <w:sz w:val="30"/>
          <w:szCs w:val="30"/>
          <w:lang w:val="en-US" w:eastAsia="zh-CN"/>
        </w:rPr>
        <w:t>209.14</w:t>
      </w:r>
      <w:r>
        <w:rPr>
          <w:rFonts w:hint="eastAsia"/>
          <w:color w:val="333333"/>
          <w:sz w:val="30"/>
          <w:szCs w:val="30"/>
        </w:rPr>
        <w:t>万元 ，住房保障支出</w:t>
      </w:r>
      <w:r>
        <w:rPr>
          <w:rFonts w:hint="eastAsia"/>
          <w:color w:val="333333"/>
          <w:sz w:val="30"/>
          <w:szCs w:val="30"/>
          <w:lang w:val="en-US" w:eastAsia="zh-CN"/>
        </w:rPr>
        <w:t>427.78</w:t>
      </w:r>
      <w:r>
        <w:rPr>
          <w:rFonts w:hint="eastAsia"/>
          <w:color w:val="333333"/>
          <w:sz w:val="30"/>
          <w:szCs w:val="30"/>
        </w:rPr>
        <w:t>万元</w:t>
      </w:r>
      <w:r>
        <w:rPr>
          <w:rFonts w:hint="eastAsia"/>
          <w:sz w:val="30"/>
          <w:szCs w:val="30"/>
        </w:rPr>
        <w:t>。</w:t>
      </w:r>
    </w:p>
    <w:p w14:paraId="2B8C805B">
      <w:pPr>
        <w:pStyle w:val="2"/>
        <w:spacing w:before="0" w:beforeAutospacing="0" w:after="0" w:afterAutospacing="0" w:line="600" w:lineRule="exact"/>
        <w:ind w:firstLine="600" w:firstLineChars="200"/>
        <w:rPr>
          <w:kern w:val="2"/>
          <w:sz w:val="30"/>
          <w:szCs w:val="30"/>
        </w:rPr>
      </w:pPr>
      <w:r>
        <w:rPr>
          <w:rFonts w:hint="eastAsia"/>
          <w:kern w:val="2"/>
          <w:sz w:val="30"/>
          <w:szCs w:val="30"/>
        </w:rPr>
        <w:t>（三）202</w:t>
      </w:r>
      <w:r>
        <w:rPr>
          <w:rFonts w:hint="eastAsia"/>
          <w:kern w:val="2"/>
          <w:sz w:val="30"/>
          <w:szCs w:val="30"/>
          <w:lang w:val="en-US" w:eastAsia="zh-CN"/>
        </w:rPr>
        <w:t>4</w:t>
      </w:r>
      <w:r>
        <w:rPr>
          <w:rFonts w:hint="eastAsia"/>
          <w:kern w:val="2"/>
          <w:sz w:val="30"/>
          <w:szCs w:val="30"/>
        </w:rPr>
        <w:t>年度财政拨款支出分类情况</w:t>
      </w:r>
    </w:p>
    <w:p w14:paraId="1F6735E7">
      <w:pPr>
        <w:widowControl/>
        <w:shd w:val="clear" w:color="auto" w:fill="FFFFFF"/>
        <w:spacing w:line="600" w:lineRule="atLeast"/>
        <w:ind w:firstLine="560"/>
        <w:rPr>
          <w:rFonts w:ascii="宋体" w:hAnsi="宋体" w:cs="宋体"/>
          <w:color w:val="333333"/>
          <w:sz w:val="30"/>
          <w:szCs w:val="30"/>
        </w:rPr>
      </w:pPr>
      <w:r>
        <w:rPr>
          <w:rFonts w:hint="eastAsia" w:ascii="宋体" w:hAnsi="宋体" w:cs="宋体"/>
          <w:sz w:val="30"/>
          <w:szCs w:val="30"/>
        </w:rPr>
        <w:t>基本支出</w:t>
      </w:r>
      <w:r>
        <w:rPr>
          <w:rFonts w:hint="default" w:cs="宋体"/>
          <w:color w:val="333333"/>
          <w:sz w:val="30"/>
          <w:szCs w:val="30"/>
          <w:lang w:val="en-US" w:eastAsia="zh-CN"/>
        </w:rPr>
        <w:t>261.73</w:t>
      </w:r>
      <w:r>
        <w:rPr>
          <w:rFonts w:hint="eastAsia" w:ascii="宋体" w:hAnsi="宋体" w:cs="宋体"/>
          <w:sz w:val="30"/>
          <w:szCs w:val="30"/>
        </w:rPr>
        <w:t>万元，占财政拨款支出总额的</w:t>
      </w:r>
      <w:r>
        <w:rPr>
          <w:rFonts w:hint="default" w:cs="宋体"/>
          <w:sz w:val="30"/>
          <w:szCs w:val="30"/>
          <w:lang w:val="en-US" w:eastAsia="zh-CN"/>
        </w:rPr>
        <w:t>36.71</w:t>
      </w:r>
      <w:r>
        <w:rPr>
          <w:rFonts w:hint="eastAsia" w:ascii="宋体" w:hAnsi="宋体" w:cs="宋体"/>
          <w:color w:val="333333"/>
          <w:sz w:val="30"/>
          <w:szCs w:val="30"/>
        </w:rPr>
        <w:t>%，</w:t>
      </w:r>
      <w:r>
        <w:rPr>
          <w:rFonts w:hint="eastAsia" w:ascii="宋体" w:hAnsi="宋体" w:cs="宋体"/>
          <w:sz w:val="30"/>
          <w:szCs w:val="30"/>
        </w:rPr>
        <w:t>项目支出</w:t>
      </w:r>
      <w:r>
        <w:rPr>
          <w:rFonts w:hint="default" w:cs="宋体"/>
          <w:color w:val="333333"/>
          <w:sz w:val="30"/>
          <w:szCs w:val="30"/>
          <w:lang w:val="en-US" w:eastAsia="zh-CN"/>
        </w:rPr>
        <w:t>451.16</w:t>
      </w:r>
      <w:r>
        <w:rPr>
          <w:rFonts w:hint="eastAsia" w:ascii="宋体" w:hAnsi="宋体" w:cs="宋体"/>
          <w:sz w:val="30"/>
          <w:szCs w:val="30"/>
        </w:rPr>
        <w:t>万元，占财政拨款支出总额的</w:t>
      </w:r>
      <w:r>
        <w:rPr>
          <w:rFonts w:hint="default" w:cs="宋体"/>
          <w:color w:val="333333"/>
          <w:sz w:val="30"/>
          <w:szCs w:val="30"/>
          <w:lang w:val="en-US" w:eastAsia="zh-CN"/>
        </w:rPr>
        <w:t>63.29</w:t>
      </w:r>
      <w:r>
        <w:rPr>
          <w:rFonts w:hint="eastAsia" w:ascii="宋体" w:hAnsi="宋体" w:cs="宋体"/>
          <w:color w:val="333333"/>
          <w:sz w:val="30"/>
          <w:szCs w:val="30"/>
        </w:rPr>
        <w:t>%</w:t>
      </w:r>
      <w:r>
        <w:rPr>
          <w:rFonts w:hint="eastAsia" w:ascii="宋体" w:hAnsi="宋体" w:cs="宋体"/>
          <w:sz w:val="30"/>
          <w:szCs w:val="30"/>
        </w:rPr>
        <w:t>。</w:t>
      </w:r>
    </w:p>
    <w:p w14:paraId="53267127">
      <w:pPr>
        <w:pStyle w:val="2"/>
        <w:spacing w:before="0" w:beforeAutospacing="0" w:after="0" w:afterAutospacing="0" w:line="600" w:lineRule="exact"/>
        <w:ind w:firstLine="600" w:firstLineChars="200"/>
        <w:rPr>
          <w:kern w:val="2"/>
          <w:sz w:val="30"/>
          <w:szCs w:val="30"/>
        </w:rPr>
      </w:pPr>
      <w:r>
        <w:rPr>
          <w:rFonts w:hint="eastAsia"/>
          <w:kern w:val="2"/>
          <w:sz w:val="30"/>
          <w:szCs w:val="30"/>
        </w:rPr>
        <w:t>（四）202</w:t>
      </w:r>
      <w:r>
        <w:rPr>
          <w:rFonts w:hint="eastAsia"/>
          <w:kern w:val="2"/>
          <w:sz w:val="30"/>
          <w:szCs w:val="30"/>
          <w:lang w:val="en-US" w:eastAsia="zh-CN"/>
        </w:rPr>
        <w:t>4</w:t>
      </w:r>
      <w:r>
        <w:rPr>
          <w:rFonts w:hint="eastAsia"/>
          <w:kern w:val="2"/>
          <w:sz w:val="30"/>
          <w:szCs w:val="30"/>
        </w:rPr>
        <w:t xml:space="preserve">年度“三公”经费支出分类情况 </w:t>
      </w:r>
    </w:p>
    <w:p w14:paraId="6AD62CBF">
      <w:pPr>
        <w:pStyle w:val="2"/>
        <w:spacing w:before="0" w:beforeAutospacing="0" w:after="0" w:afterAutospacing="0" w:line="600" w:lineRule="exact"/>
        <w:ind w:firstLine="600" w:firstLineChars="200"/>
        <w:rPr>
          <w:color w:val="333333"/>
          <w:sz w:val="30"/>
          <w:szCs w:val="30"/>
          <w:u w:val="single"/>
        </w:rPr>
      </w:pPr>
      <w:r>
        <w:rPr>
          <w:rFonts w:hint="eastAsia"/>
          <w:color w:val="333333"/>
          <w:sz w:val="30"/>
          <w:szCs w:val="30"/>
        </w:rPr>
        <w:t>202</w:t>
      </w:r>
      <w:r>
        <w:rPr>
          <w:rFonts w:hint="eastAsia"/>
          <w:color w:val="333333"/>
          <w:sz w:val="30"/>
          <w:szCs w:val="30"/>
          <w:lang w:val="en-US" w:eastAsia="zh-CN"/>
        </w:rPr>
        <w:t>4</w:t>
      </w:r>
      <w:r>
        <w:rPr>
          <w:rFonts w:hint="eastAsia"/>
          <w:color w:val="333333"/>
          <w:sz w:val="30"/>
          <w:szCs w:val="30"/>
        </w:rPr>
        <w:t>年度“三公”经费支出决算为0万元。</w:t>
      </w:r>
    </w:p>
    <w:p w14:paraId="65EC3F0D">
      <w:pPr>
        <w:pStyle w:val="5"/>
        <w:widowControl/>
        <w:spacing w:line="600" w:lineRule="exact"/>
        <w:ind w:firstLine="602"/>
        <w:rPr>
          <w:rFonts w:ascii="黑体" w:hAnsi="黑体" w:eastAsia="黑体"/>
          <w:b/>
          <w:bCs/>
          <w:sz w:val="30"/>
          <w:szCs w:val="30"/>
        </w:rPr>
      </w:pPr>
      <w:r>
        <w:rPr>
          <w:rFonts w:hint="eastAsia" w:ascii="黑体" w:hAnsi="黑体" w:eastAsia="黑体"/>
          <w:b/>
          <w:bCs/>
          <w:sz w:val="30"/>
          <w:szCs w:val="30"/>
        </w:rPr>
        <w:t>三、项目支出情况</w:t>
      </w:r>
    </w:p>
    <w:p w14:paraId="669FFB8F">
      <w:pPr>
        <w:widowControl/>
        <w:spacing w:line="600" w:lineRule="exact"/>
        <w:ind w:firstLine="600" w:firstLineChars="200"/>
        <w:jc w:val="left"/>
        <w:rPr>
          <w:rFonts w:ascii="宋体" w:hAnsi="宋体" w:cs="宋体"/>
          <w:sz w:val="30"/>
          <w:szCs w:val="30"/>
        </w:rPr>
      </w:pPr>
      <w:r>
        <w:rPr>
          <w:rFonts w:hint="eastAsia" w:ascii="宋体" w:hAnsi="宋体" w:cs="宋体"/>
          <w:sz w:val="30"/>
          <w:szCs w:val="30"/>
        </w:rPr>
        <w:t>202</w:t>
      </w:r>
      <w:r>
        <w:rPr>
          <w:rFonts w:hint="eastAsia" w:ascii="宋体" w:hAnsi="宋体" w:cs="宋体"/>
          <w:sz w:val="30"/>
          <w:szCs w:val="30"/>
          <w:lang w:val="en-US" w:eastAsia="zh-CN"/>
        </w:rPr>
        <w:t>4</w:t>
      </w:r>
      <w:r>
        <w:rPr>
          <w:rFonts w:hint="eastAsia" w:ascii="宋体" w:hAnsi="宋体" w:cs="宋体"/>
          <w:sz w:val="30"/>
          <w:szCs w:val="30"/>
        </w:rPr>
        <w:t>年度项目支出</w:t>
      </w:r>
      <w:r>
        <w:rPr>
          <w:rFonts w:hint="default" w:ascii="宋体" w:hAnsi="宋体" w:cs="宋体"/>
          <w:sz w:val="30"/>
          <w:szCs w:val="30"/>
          <w:lang w:val="en-US" w:eastAsia="zh-CN"/>
        </w:rPr>
        <w:t>451.16</w:t>
      </w:r>
      <w:r>
        <w:rPr>
          <w:rFonts w:hint="eastAsia" w:ascii="宋体" w:hAnsi="宋体" w:cs="宋体"/>
          <w:sz w:val="30"/>
          <w:szCs w:val="30"/>
        </w:rPr>
        <w:t>万元</w:t>
      </w:r>
      <w:r>
        <w:rPr>
          <w:rFonts w:hint="eastAsia" w:ascii="宋体" w:hAnsi="宋体" w:cs="宋体"/>
          <w:sz w:val="30"/>
          <w:szCs w:val="30"/>
          <w:lang w:eastAsia="zh-CN"/>
        </w:rPr>
        <w:t>，其</w:t>
      </w:r>
      <w:r>
        <w:rPr>
          <w:rFonts w:hint="eastAsia" w:ascii="宋体" w:hAnsi="宋体" w:cs="宋体"/>
          <w:sz w:val="30"/>
          <w:szCs w:val="30"/>
        </w:rPr>
        <w:t>中</w:t>
      </w:r>
      <w:r>
        <w:rPr>
          <w:rFonts w:hint="eastAsia" w:ascii="宋体" w:hAnsi="宋体" w:cs="宋体"/>
          <w:sz w:val="30"/>
          <w:szCs w:val="30"/>
          <w:lang w:val="en-US" w:eastAsia="zh-CN"/>
        </w:rPr>
        <w:t>38.76万元为危旧房排查经费支出，412.4万元</w:t>
      </w:r>
      <w:r>
        <w:rPr>
          <w:rFonts w:hint="eastAsia" w:ascii="宋体" w:hAnsi="宋体" w:cs="宋体"/>
          <w:sz w:val="30"/>
          <w:szCs w:val="30"/>
        </w:rPr>
        <w:t>均为上级专项资金，主要为</w:t>
      </w:r>
      <w:r>
        <w:rPr>
          <w:rFonts w:hint="eastAsia" w:ascii="宋体" w:hAnsi="宋体" w:cs="宋体"/>
          <w:color w:val="333333"/>
          <w:sz w:val="30"/>
          <w:szCs w:val="30"/>
        </w:rPr>
        <w:t>棚户区改造及公共租赁项目支出。</w:t>
      </w:r>
    </w:p>
    <w:p w14:paraId="003B189B">
      <w:pPr>
        <w:widowControl/>
        <w:spacing w:line="600" w:lineRule="exact"/>
        <w:ind w:firstLine="645"/>
        <w:jc w:val="left"/>
        <w:rPr>
          <w:rFonts w:ascii="黑体" w:hAnsi="黑体" w:eastAsia="黑体"/>
          <w:b/>
          <w:bCs/>
          <w:sz w:val="30"/>
          <w:szCs w:val="30"/>
        </w:rPr>
      </w:pPr>
      <w:r>
        <w:rPr>
          <w:rFonts w:ascii="黑体" w:hAnsi="黑体" w:eastAsia="黑体"/>
          <w:b/>
          <w:bCs/>
          <w:sz w:val="30"/>
          <w:szCs w:val="30"/>
        </w:rPr>
        <w:t>四、部门</w:t>
      </w:r>
      <w:r>
        <w:rPr>
          <w:rFonts w:hint="eastAsia" w:ascii="黑体" w:hAnsi="黑体" w:eastAsia="黑体"/>
          <w:b/>
          <w:bCs/>
          <w:sz w:val="30"/>
          <w:szCs w:val="30"/>
        </w:rPr>
        <w:t>整体支出绩效情况</w:t>
      </w:r>
    </w:p>
    <w:p w14:paraId="38AD72DA">
      <w:pPr>
        <w:adjustRightInd w:val="0"/>
        <w:snapToGrid w:val="0"/>
        <w:spacing w:line="600" w:lineRule="atLeast"/>
        <w:rPr>
          <w:rFonts w:ascii="宋体" w:hAnsi="宋体" w:cs="宋体"/>
          <w:color w:val="333333"/>
          <w:kern w:val="0"/>
          <w:sz w:val="30"/>
          <w:szCs w:val="30"/>
        </w:rPr>
      </w:pPr>
      <w:r>
        <w:rPr>
          <w:rFonts w:hint="eastAsia" w:ascii="宋体" w:hAnsi="宋体" w:cs="宋体"/>
          <w:color w:val="000000"/>
          <w:kern w:val="0"/>
          <w:sz w:val="30"/>
          <w:szCs w:val="30"/>
          <w:shd w:val="clear" w:color="auto" w:fill="FFFFFF"/>
          <w:lang w:bidi="ar"/>
        </w:rPr>
        <w:t>202</w:t>
      </w:r>
      <w:r>
        <w:rPr>
          <w:rFonts w:hint="eastAsia" w:ascii="宋体" w:hAnsi="宋体" w:cs="宋体"/>
          <w:color w:val="000000"/>
          <w:kern w:val="0"/>
          <w:sz w:val="30"/>
          <w:szCs w:val="30"/>
          <w:shd w:val="clear" w:color="auto" w:fill="FFFFFF"/>
          <w:lang w:val="en-US" w:eastAsia="zh-CN" w:bidi="ar"/>
        </w:rPr>
        <w:t>4</w:t>
      </w:r>
      <w:r>
        <w:rPr>
          <w:rFonts w:hint="eastAsia" w:ascii="宋体" w:hAnsi="宋体" w:cs="宋体"/>
          <w:color w:val="000000"/>
          <w:kern w:val="0"/>
          <w:sz w:val="30"/>
          <w:szCs w:val="30"/>
          <w:shd w:val="clear" w:color="auto" w:fill="FFFFFF"/>
          <w:lang w:bidi="ar"/>
        </w:rPr>
        <w:t>年单位总支出</w:t>
      </w:r>
      <w:r>
        <w:rPr>
          <w:rFonts w:hint="eastAsia" w:asciiTheme="minorEastAsia" w:hAnsiTheme="minorEastAsia"/>
          <w:sz w:val="32"/>
          <w:szCs w:val="32"/>
          <w:lang w:val="en-US" w:eastAsia="zh-CN"/>
        </w:rPr>
        <w:t>712.89</w:t>
      </w:r>
      <w:r>
        <w:rPr>
          <w:rFonts w:hint="eastAsia" w:ascii="宋体" w:hAnsi="宋体" w:cs="宋体"/>
          <w:color w:val="000000"/>
          <w:kern w:val="0"/>
          <w:sz w:val="30"/>
          <w:szCs w:val="30"/>
          <w:shd w:val="clear" w:color="auto" w:fill="FFFFFF"/>
          <w:lang w:bidi="ar"/>
        </w:rPr>
        <w:t>万元，其中上级专项资金</w:t>
      </w:r>
      <w:r>
        <w:rPr>
          <w:rFonts w:hint="eastAsia" w:ascii="宋体" w:hAnsi="宋体" w:cs="宋体"/>
          <w:color w:val="000000"/>
          <w:kern w:val="0"/>
          <w:sz w:val="30"/>
          <w:szCs w:val="30"/>
          <w:shd w:val="clear" w:color="auto" w:fill="FFFFFF"/>
          <w:lang w:val="en-US" w:eastAsia="zh-CN" w:bidi="ar"/>
        </w:rPr>
        <w:t>412.4</w:t>
      </w:r>
      <w:r>
        <w:rPr>
          <w:rFonts w:hint="eastAsia" w:ascii="宋体" w:hAnsi="宋体" w:cs="宋体"/>
          <w:color w:val="000000"/>
          <w:kern w:val="0"/>
          <w:sz w:val="30"/>
          <w:szCs w:val="30"/>
          <w:shd w:val="clear" w:color="auto" w:fill="FFFFFF"/>
          <w:lang w:bidi="ar"/>
        </w:rPr>
        <w:t>万元，另作绩效评价，本次绩效自评涉及资金</w:t>
      </w:r>
      <w:r>
        <w:rPr>
          <w:rFonts w:hint="eastAsia" w:ascii="宋体" w:hAnsi="宋体" w:cs="宋体"/>
          <w:color w:val="000000"/>
          <w:kern w:val="0"/>
          <w:sz w:val="30"/>
          <w:szCs w:val="30"/>
          <w:shd w:val="clear" w:color="auto" w:fill="FFFFFF"/>
          <w:lang w:val="en-US" w:eastAsia="zh-CN" w:bidi="ar"/>
        </w:rPr>
        <w:t>300.49</w:t>
      </w:r>
      <w:r>
        <w:rPr>
          <w:rFonts w:hint="eastAsia" w:ascii="宋体" w:hAnsi="宋体" w:cs="宋体"/>
          <w:color w:val="000000"/>
          <w:kern w:val="0"/>
          <w:sz w:val="30"/>
          <w:szCs w:val="30"/>
          <w:shd w:val="clear" w:color="auto" w:fill="FFFFFF"/>
          <w:lang w:bidi="ar"/>
        </w:rPr>
        <w:t>万元，全部为单位基本支出，自评覆盖率达到100%。</w:t>
      </w:r>
      <w:r>
        <w:rPr>
          <w:rFonts w:hint="eastAsia" w:ascii="宋体" w:hAnsi="宋体" w:cs="宋体"/>
          <w:color w:val="333333"/>
          <w:kern w:val="0"/>
          <w:sz w:val="30"/>
          <w:szCs w:val="30"/>
        </w:rPr>
        <w:t>其产出和效益情况概述如下：</w:t>
      </w:r>
    </w:p>
    <w:p w14:paraId="64DD0492">
      <w:pPr>
        <w:adjustRightInd w:val="0"/>
        <w:snapToGrid w:val="0"/>
        <w:spacing w:line="600" w:lineRule="atLeast"/>
        <w:ind w:firstLine="600" w:firstLineChars="200"/>
        <w:rPr>
          <w:rFonts w:ascii="宋体" w:hAnsi="宋体" w:cs="宋体"/>
          <w:color w:val="333333"/>
          <w:kern w:val="0"/>
          <w:sz w:val="30"/>
          <w:szCs w:val="30"/>
        </w:rPr>
      </w:pPr>
      <w:r>
        <w:rPr>
          <w:rFonts w:hint="eastAsia" w:ascii="宋体" w:hAnsi="宋体" w:cs="宋体"/>
          <w:color w:val="333333"/>
          <w:kern w:val="0"/>
          <w:sz w:val="30"/>
          <w:szCs w:val="30"/>
        </w:rPr>
        <w:t>1、保证了工资及津补贴的正常发放，充分发挥了所有职工的工作积极性。</w:t>
      </w:r>
    </w:p>
    <w:p w14:paraId="724B898C">
      <w:pPr>
        <w:adjustRightInd w:val="0"/>
        <w:snapToGrid w:val="0"/>
        <w:spacing w:line="600" w:lineRule="atLeast"/>
        <w:ind w:firstLine="600" w:firstLineChars="200"/>
        <w:rPr>
          <w:rFonts w:ascii="宋体" w:hAnsi="宋体" w:cs="宋体"/>
          <w:color w:val="333333"/>
          <w:kern w:val="0"/>
          <w:sz w:val="30"/>
          <w:szCs w:val="30"/>
        </w:rPr>
      </w:pPr>
      <w:r>
        <w:rPr>
          <w:rFonts w:hint="eastAsia" w:ascii="宋体" w:hAnsi="宋体" w:cs="宋体"/>
          <w:color w:val="333333"/>
          <w:kern w:val="0"/>
          <w:sz w:val="30"/>
          <w:szCs w:val="30"/>
        </w:rPr>
        <w:t>2 、保证了单位公用经费的正常支出，极大地提高了机构各项职能的运转效率。</w:t>
      </w:r>
    </w:p>
    <w:p w14:paraId="6264B5B8">
      <w:pPr>
        <w:adjustRightInd w:val="0"/>
        <w:snapToGrid w:val="0"/>
        <w:spacing w:line="600" w:lineRule="atLeast"/>
        <w:ind w:firstLine="600" w:firstLineChars="200"/>
        <w:rPr>
          <w:rFonts w:ascii="宋体" w:hAnsi="宋体" w:cs="宋体"/>
          <w:sz w:val="30"/>
          <w:szCs w:val="30"/>
        </w:rPr>
      </w:pPr>
      <w:r>
        <w:rPr>
          <w:rFonts w:hint="eastAsia" w:ascii="宋体" w:hAnsi="宋体" w:cs="宋体"/>
          <w:sz w:val="30"/>
          <w:szCs w:val="30"/>
        </w:rPr>
        <w:t>3 、加强了房地产开发企业的资质管理、预销售管理、预售资金的日常监管，依法打击违法违规行为，维护房地产市场秩序。</w:t>
      </w:r>
    </w:p>
    <w:p w14:paraId="47BBE3E8">
      <w:pPr>
        <w:adjustRightInd w:val="0"/>
        <w:snapToGrid w:val="0"/>
        <w:spacing w:line="600" w:lineRule="atLeast"/>
        <w:ind w:firstLine="600" w:firstLineChars="200"/>
        <w:rPr>
          <w:rFonts w:ascii="宋体" w:hAnsi="宋体" w:cs="宋体"/>
          <w:sz w:val="30"/>
          <w:szCs w:val="30"/>
        </w:rPr>
      </w:pPr>
      <w:r>
        <w:rPr>
          <w:rFonts w:hint="eastAsia" w:ascii="宋体" w:hAnsi="宋体" w:cs="宋体"/>
          <w:sz w:val="30"/>
          <w:szCs w:val="30"/>
        </w:rPr>
        <w:t>4、保障性住房稳步推进，公租房建设、棚户区改造、老旧小区改造全额完成年度目标任务</w:t>
      </w:r>
    </w:p>
    <w:p w14:paraId="341544E3">
      <w:pPr>
        <w:adjustRightInd w:val="0"/>
        <w:snapToGrid w:val="0"/>
        <w:spacing w:line="600" w:lineRule="atLeast"/>
        <w:ind w:firstLine="600" w:firstLineChars="200"/>
        <w:rPr>
          <w:rFonts w:ascii="宋体" w:hAnsi="宋体" w:cs="宋体"/>
          <w:color w:val="333333"/>
          <w:kern w:val="0"/>
          <w:sz w:val="30"/>
          <w:szCs w:val="30"/>
        </w:rPr>
      </w:pPr>
      <w:r>
        <w:rPr>
          <w:rFonts w:hint="eastAsia" w:ascii="宋体" w:hAnsi="宋体" w:cs="宋体"/>
          <w:sz w:val="30"/>
          <w:szCs w:val="30"/>
        </w:rPr>
        <w:t>5、加强了制度建设和队伍自身建设，及时处理信访投诉，无一不良反响。</w:t>
      </w:r>
    </w:p>
    <w:p w14:paraId="0954CC4C">
      <w:pPr>
        <w:widowControl/>
        <w:spacing w:line="600" w:lineRule="exact"/>
        <w:ind w:firstLine="645"/>
        <w:jc w:val="left"/>
        <w:rPr>
          <w:rFonts w:ascii="黑体" w:hAnsi="黑体" w:eastAsia="黑体"/>
          <w:b/>
          <w:bCs/>
          <w:sz w:val="30"/>
          <w:szCs w:val="30"/>
        </w:rPr>
      </w:pPr>
      <w:r>
        <w:rPr>
          <w:rFonts w:hint="eastAsia" w:ascii="黑体" w:hAnsi="黑体" w:eastAsia="黑体"/>
          <w:b/>
          <w:bCs/>
          <w:color w:val="000000"/>
          <w:sz w:val="30"/>
          <w:szCs w:val="30"/>
        </w:rPr>
        <w:t>五、</w:t>
      </w:r>
      <w:r>
        <w:rPr>
          <w:rFonts w:hint="eastAsia" w:ascii="黑体" w:hAnsi="黑体" w:eastAsia="黑体"/>
          <w:b/>
          <w:bCs/>
          <w:sz w:val="30"/>
          <w:szCs w:val="30"/>
        </w:rPr>
        <w:t>存在的主要问题及下一步改进措施</w:t>
      </w:r>
    </w:p>
    <w:p w14:paraId="3C788580">
      <w:pPr>
        <w:pStyle w:val="2"/>
        <w:adjustRightInd w:val="0"/>
        <w:snapToGrid w:val="0"/>
        <w:spacing w:before="0" w:beforeAutospacing="0" w:after="0" w:afterAutospacing="0" w:line="600" w:lineRule="atLeast"/>
        <w:ind w:firstLine="600" w:firstLineChars="200"/>
        <w:jc w:val="both"/>
        <w:rPr>
          <w:sz w:val="30"/>
          <w:szCs w:val="30"/>
        </w:rPr>
      </w:pPr>
      <w:r>
        <w:rPr>
          <w:rFonts w:hint="eastAsia"/>
          <w:sz w:val="30"/>
          <w:szCs w:val="30"/>
        </w:rPr>
        <w:t>存在的主要问题有：</w:t>
      </w:r>
    </w:p>
    <w:p w14:paraId="33183FA1">
      <w:pPr>
        <w:pStyle w:val="2"/>
        <w:numPr>
          <w:ilvl w:val="0"/>
          <w:numId w:val="3"/>
        </w:numPr>
        <w:adjustRightInd w:val="0"/>
        <w:snapToGrid w:val="0"/>
        <w:spacing w:before="0" w:beforeAutospacing="0" w:after="0" w:afterAutospacing="0" w:line="600" w:lineRule="atLeast"/>
        <w:ind w:firstLine="420"/>
        <w:jc w:val="both"/>
        <w:rPr>
          <w:sz w:val="30"/>
          <w:szCs w:val="30"/>
        </w:rPr>
      </w:pPr>
      <w:r>
        <w:rPr>
          <w:rFonts w:hint="eastAsia"/>
          <w:sz w:val="30"/>
          <w:szCs w:val="30"/>
        </w:rPr>
        <w:t>专项资金少，资金压力大。针对我中心保障性住房工作面广，任务重，资金压力大的现状，有些工作往往因为资金的原因不能做到更好。</w:t>
      </w:r>
    </w:p>
    <w:p w14:paraId="390A2B14">
      <w:pPr>
        <w:pStyle w:val="2"/>
        <w:numPr>
          <w:ilvl w:val="0"/>
          <w:numId w:val="3"/>
        </w:numPr>
        <w:adjustRightInd w:val="0"/>
        <w:snapToGrid w:val="0"/>
        <w:spacing w:before="0" w:beforeAutospacing="0" w:after="0" w:afterAutospacing="0" w:line="600" w:lineRule="atLeast"/>
        <w:ind w:firstLine="420"/>
        <w:jc w:val="both"/>
        <w:rPr>
          <w:sz w:val="30"/>
          <w:szCs w:val="30"/>
        </w:rPr>
      </w:pPr>
      <w:r>
        <w:rPr>
          <w:rFonts w:hint="eastAsia"/>
          <w:sz w:val="30"/>
          <w:szCs w:val="30"/>
        </w:rPr>
        <w:t>预算控制率有待降低。</w:t>
      </w:r>
    </w:p>
    <w:p w14:paraId="3F413280">
      <w:pPr>
        <w:pStyle w:val="2"/>
        <w:adjustRightInd w:val="0"/>
        <w:snapToGrid w:val="0"/>
        <w:spacing w:before="0" w:beforeAutospacing="0" w:after="0" w:afterAutospacing="0" w:line="600" w:lineRule="atLeast"/>
        <w:ind w:firstLine="420"/>
        <w:jc w:val="both"/>
        <w:rPr>
          <w:sz w:val="30"/>
          <w:szCs w:val="30"/>
        </w:rPr>
      </w:pPr>
      <w:r>
        <w:rPr>
          <w:rFonts w:hint="eastAsia"/>
          <w:sz w:val="30"/>
          <w:szCs w:val="30"/>
        </w:rPr>
        <w:t>下一步改进措施及建议有：</w:t>
      </w:r>
    </w:p>
    <w:p w14:paraId="5F06D6B2">
      <w:pPr>
        <w:pStyle w:val="2"/>
        <w:numPr>
          <w:ilvl w:val="0"/>
          <w:numId w:val="4"/>
        </w:numPr>
        <w:adjustRightInd w:val="0"/>
        <w:snapToGrid w:val="0"/>
        <w:spacing w:before="0" w:beforeAutospacing="0" w:after="0" w:afterAutospacing="0" w:line="600" w:lineRule="atLeast"/>
        <w:ind w:firstLine="420"/>
        <w:jc w:val="both"/>
        <w:rPr>
          <w:sz w:val="30"/>
          <w:szCs w:val="30"/>
        </w:rPr>
      </w:pPr>
      <w:r>
        <w:rPr>
          <w:rFonts w:hint="eastAsia"/>
          <w:sz w:val="30"/>
          <w:szCs w:val="30"/>
        </w:rPr>
        <w:t>进一步加强内设机构的预算管理意识，严格按照预算编制的相关制度和指标要求进行操作。对相关人员加强培训，特别是针对《预算法》、《行政事业单位会计制度》等学习培训，规范部门预算收支核算，切实提高部门预算收支管理水平。</w:t>
      </w:r>
    </w:p>
    <w:p w14:paraId="0EC47811">
      <w:pPr>
        <w:pStyle w:val="2"/>
        <w:adjustRightInd w:val="0"/>
        <w:snapToGrid w:val="0"/>
        <w:spacing w:before="0" w:beforeAutospacing="0" w:after="0" w:afterAutospacing="0" w:line="600" w:lineRule="atLeast"/>
        <w:ind w:firstLine="420"/>
        <w:jc w:val="both"/>
        <w:rPr>
          <w:sz w:val="30"/>
          <w:szCs w:val="30"/>
        </w:rPr>
      </w:pPr>
      <w:r>
        <w:rPr>
          <w:rFonts w:hint="eastAsia"/>
          <w:sz w:val="30"/>
          <w:szCs w:val="30"/>
        </w:rPr>
        <w:t>2、加强财务管理，严格财务审核。在费用报账支付时，按照预算规定的费用项目和用途进行资金使用审核、财务严格核算，杜绝超支现象的发生。</w:t>
      </w:r>
    </w:p>
    <w:p w14:paraId="65ABC286">
      <w:pPr>
        <w:widowControl/>
        <w:spacing w:line="600" w:lineRule="exact"/>
        <w:ind w:firstLine="645"/>
        <w:jc w:val="left"/>
        <w:rPr>
          <w:rFonts w:ascii="黑体" w:hAnsi="黑体" w:eastAsia="黑体"/>
          <w:b/>
          <w:bCs/>
          <w:sz w:val="30"/>
          <w:szCs w:val="30"/>
        </w:rPr>
      </w:pPr>
      <w:r>
        <w:rPr>
          <w:rFonts w:hint="eastAsia" w:ascii="黑体" w:hAnsi="黑体" w:eastAsia="黑体"/>
          <w:b/>
          <w:bCs/>
          <w:sz w:val="30"/>
          <w:szCs w:val="30"/>
        </w:rPr>
        <w:t>六、绩效自评结果拟应用和公开情况</w:t>
      </w:r>
    </w:p>
    <w:p w14:paraId="6E71F0E9">
      <w:pPr>
        <w:widowControl/>
        <w:spacing w:line="600" w:lineRule="exact"/>
        <w:ind w:firstLine="600" w:firstLineChars="200"/>
        <w:jc w:val="left"/>
        <w:rPr>
          <w:rFonts w:ascii="宋体" w:hAnsi="宋体" w:cs="宋体"/>
          <w:sz w:val="30"/>
          <w:szCs w:val="30"/>
        </w:rPr>
      </w:pPr>
      <w:r>
        <w:rPr>
          <w:rFonts w:hint="eastAsia" w:ascii="宋体" w:hAnsi="宋体" w:cs="宋体"/>
          <w:sz w:val="30"/>
          <w:szCs w:val="30"/>
        </w:rPr>
        <w:t>我们将部门支出绩效自评报告在政府门户网公开，接受社会监督。</w:t>
      </w:r>
    </w:p>
    <w:p w14:paraId="245A8C80">
      <w:pPr>
        <w:widowControl/>
        <w:spacing w:line="600" w:lineRule="exact"/>
        <w:ind w:firstLine="645"/>
        <w:jc w:val="left"/>
        <w:rPr>
          <w:rFonts w:ascii="黑体" w:hAnsi="黑体" w:eastAsia="黑体" w:cs="黑体"/>
          <w:b/>
          <w:bCs/>
          <w:sz w:val="30"/>
          <w:szCs w:val="30"/>
        </w:rPr>
      </w:pPr>
      <w:r>
        <w:rPr>
          <w:rFonts w:hint="eastAsia" w:ascii="黑体" w:hAnsi="黑体" w:eastAsia="黑体" w:cs="黑体"/>
          <w:b/>
          <w:bCs/>
          <w:sz w:val="30"/>
          <w:szCs w:val="30"/>
        </w:rPr>
        <w:t>七、其他需要说明的情况</w:t>
      </w:r>
    </w:p>
    <w:p w14:paraId="7BA03C72">
      <w:pPr>
        <w:widowControl/>
        <w:spacing w:line="600" w:lineRule="exact"/>
        <w:ind w:firstLine="645"/>
        <w:jc w:val="left"/>
        <w:rPr>
          <w:rFonts w:ascii="宋体" w:hAnsi="宋体" w:cs="宋体"/>
          <w:sz w:val="30"/>
          <w:szCs w:val="30"/>
        </w:rPr>
      </w:pPr>
      <w:r>
        <w:rPr>
          <w:rFonts w:hint="eastAsia" w:ascii="宋体" w:hAnsi="宋体" w:cs="宋体"/>
          <w:sz w:val="30"/>
          <w:szCs w:val="30"/>
        </w:rPr>
        <w:t>无</w:t>
      </w:r>
    </w:p>
    <w:p w14:paraId="1583214C"/>
    <w:p w14:paraId="195010AC"/>
    <w:p w14:paraId="24B3521B"/>
    <w:p w14:paraId="17813044"/>
    <w:p w14:paraId="7B34626A"/>
    <w:p w14:paraId="3FA0E0B5"/>
    <w:p w14:paraId="7E7641C9"/>
    <w:p w14:paraId="3C13F686"/>
    <w:p w14:paraId="4BBC0AA9"/>
    <w:p w14:paraId="41FC8FA3"/>
    <w:p w14:paraId="4CC4D559"/>
    <w:p w14:paraId="52C95A84"/>
    <w:p w14:paraId="47CE3F2E"/>
    <w:p w14:paraId="6196413C"/>
    <w:p w14:paraId="1CBC2776"/>
    <w:p w14:paraId="765EFD1E"/>
    <w:p w14:paraId="5972834B"/>
    <w:p w14:paraId="6DFC79A7"/>
    <w:p w14:paraId="326575F1"/>
    <w:p w14:paraId="39301763"/>
    <w:p w14:paraId="3B1B22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D248C"/>
    <w:multiLevelType w:val="singleLevel"/>
    <w:tmpl w:val="903D248C"/>
    <w:lvl w:ilvl="0" w:tentative="0">
      <w:start w:val="1"/>
      <w:numFmt w:val="decimal"/>
      <w:suff w:val="nothing"/>
      <w:lvlText w:val="%1、"/>
      <w:lvlJc w:val="left"/>
    </w:lvl>
  </w:abstractNum>
  <w:abstractNum w:abstractNumId="1">
    <w:nsid w:val="EC5FED4D"/>
    <w:multiLevelType w:val="singleLevel"/>
    <w:tmpl w:val="EC5FED4D"/>
    <w:lvl w:ilvl="0" w:tentative="0">
      <w:start w:val="3"/>
      <w:numFmt w:val="chineseCounting"/>
      <w:suff w:val="nothing"/>
      <w:lvlText w:val="（%1）"/>
      <w:lvlJc w:val="left"/>
      <w:rPr>
        <w:rFonts w:hint="eastAsia"/>
      </w:rPr>
    </w:lvl>
  </w:abstractNum>
  <w:abstractNum w:abstractNumId="2">
    <w:nsid w:val="F11D7312"/>
    <w:multiLevelType w:val="singleLevel"/>
    <w:tmpl w:val="F11D7312"/>
    <w:lvl w:ilvl="0" w:tentative="0">
      <w:start w:val="1"/>
      <w:numFmt w:val="chineseCounting"/>
      <w:suff w:val="nothing"/>
      <w:lvlText w:val="%1、"/>
      <w:lvlJc w:val="left"/>
      <w:pPr>
        <w:ind w:left="-10"/>
      </w:pPr>
      <w:rPr>
        <w:rFonts w:hint="eastAsia"/>
      </w:rPr>
    </w:lvl>
  </w:abstractNum>
  <w:abstractNum w:abstractNumId="3">
    <w:nsid w:val="002FFFF1"/>
    <w:multiLevelType w:val="singleLevel"/>
    <w:tmpl w:val="002FFFF1"/>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C14081"/>
    <w:rsid w:val="05256D78"/>
    <w:rsid w:val="17BD5646"/>
    <w:rsid w:val="19DB37DC"/>
    <w:rsid w:val="2FC14081"/>
    <w:rsid w:val="598E4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1399</Words>
  <Characters>1553</Characters>
  <Lines>0</Lines>
  <Paragraphs>0</Paragraphs>
  <TotalTime>3</TotalTime>
  <ScaleCrop>false</ScaleCrop>
  <LinksUpToDate>false</LinksUpToDate>
  <CharactersWithSpaces>1565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2025-02-07T02:01:00Z</dcterms:created>
  <dc:creator>admin</dc:creator>
  <cp:lastModifiedBy>WPS_1531029409</cp:lastModifiedBy>
  <dcterms:modified xsi:type="dcterms:W3CDTF">2025-10-15T01:33:45Z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2B4152B69AB244E5B267D22EA78F3A3C_13</vt:lpwstr>
  </property>
</Properties>
</file>