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rPr>
      </w:pPr>
      <w:bookmarkStart w:id="0" w:name="_GoBack"/>
      <w:bookmarkEnd w:id="0"/>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r>
        <w:rPr>
          <w:rFonts w:hint="eastAsia"/>
          <w:sz w:val="48"/>
          <w:szCs w:val="48"/>
        </w:rPr>
        <w:t>白地市镇2024年度部门整体支出绩效</w:t>
      </w:r>
    </w:p>
    <w:p>
      <w:pPr>
        <w:jc w:val="center"/>
        <w:rPr>
          <w:rFonts w:hint="eastAsia"/>
          <w:sz w:val="72"/>
          <w:szCs w:val="72"/>
        </w:rPr>
      </w:pPr>
      <w:r>
        <w:rPr>
          <w:rFonts w:hint="eastAsia" w:eastAsia="宋体"/>
          <w:sz w:val="48"/>
          <w:szCs w:val="48"/>
          <w:lang w:eastAsia="zh-CN"/>
        </w:rPr>
        <w:t>自评</w:t>
      </w:r>
      <w:r>
        <w:rPr>
          <w:rFonts w:hint="eastAsia"/>
          <w:sz w:val="48"/>
          <w:szCs w:val="48"/>
        </w:rPr>
        <w:t>报告</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jc w:val="center"/>
        <w:rPr>
          <w:rFonts w:hint="eastAsia"/>
          <w:sz w:val="36"/>
          <w:szCs w:val="36"/>
        </w:rPr>
      </w:pPr>
      <w:r>
        <w:rPr>
          <w:rFonts w:hint="eastAsia"/>
          <w:sz w:val="36"/>
          <w:szCs w:val="36"/>
        </w:rPr>
        <w:t>白地市镇2024年度部门整体支出绩效</w:t>
      </w:r>
    </w:p>
    <w:p>
      <w:pPr>
        <w:jc w:val="center"/>
        <w:rPr>
          <w:rFonts w:hint="eastAsia"/>
          <w:sz w:val="72"/>
          <w:szCs w:val="72"/>
        </w:rPr>
      </w:pPr>
      <w:r>
        <w:rPr>
          <w:rFonts w:hint="eastAsia" w:eastAsia="宋体"/>
          <w:sz w:val="36"/>
          <w:szCs w:val="36"/>
          <w:lang w:eastAsia="zh-CN"/>
        </w:rPr>
        <w:t>评价</w:t>
      </w:r>
      <w:r>
        <w:rPr>
          <w:rFonts w:hint="eastAsia"/>
          <w:sz w:val="36"/>
          <w:szCs w:val="36"/>
        </w:rPr>
        <w:t>报告</w:t>
      </w:r>
    </w:p>
    <w:p>
      <w:pPr>
        <w:rPr>
          <w:rFonts w:hint="eastAsia"/>
          <w:sz w:val="32"/>
          <w:szCs w:val="32"/>
        </w:rPr>
      </w:pPr>
    </w:p>
    <w:p>
      <w:pPr>
        <w:rPr>
          <w:rFonts w:hint="eastAsia"/>
          <w:sz w:val="32"/>
          <w:szCs w:val="32"/>
        </w:rPr>
      </w:pPr>
      <w:r>
        <w:rPr>
          <w:rFonts w:hint="eastAsia"/>
          <w:sz w:val="32"/>
          <w:szCs w:val="32"/>
        </w:rPr>
        <w:t>一、部门基本情况</w:t>
      </w:r>
    </w:p>
    <w:p>
      <w:pPr>
        <w:rPr>
          <w:rFonts w:hint="eastAsia"/>
          <w:sz w:val="32"/>
          <w:szCs w:val="32"/>
        </w:rPr>
      </w:pPr>
      <w:r>
        <w:rPr>
          <w:rFonts w:hint="eastAsia"/>
          <w:sz w:val="32"/>
          <w:szCs w:val="32"/>
        </w:rPr>
        <w:t>(一)主要职责</w:t>
      </w:r>
    </w:p>
    <w:p>
      <w:pPr>
        <w:ind w:firstLine="640" w:firstLineChars="200"/>
        <w:rPr>
          <w:rFonts w:hint="eastAsia"/>
          <w:sz w:val="32"/>
          <w:szCs w:val="32"/>
        </w:rPr>
      </w:pPr>
      <w:r>
        <w:rPr>
          <w:rFonts w:hint="eastAsia"/>
          <w:sz w:val="32"/>
          <w:szCs w:val="32"/>
        </w:rPr>
        <w:t>(1)加强党的建设。习近平总书记提出了新时代党的建设总要求：坚持和加强党的全面领导，坚持党要管党，全面从严治党，以加强党的长期执政能力建设，先进性和纯洁性建设为主线，以党的政治建设为主线，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这个总要求是以习近平同志为核心的党中央对二十大以来推进全面从严治党经验的高度总结，为各级做好党建工作提供行动指南。</w:t>
      </w:r>
    </w:p>
    <w:p>
      <w:pPr>
        <w:ind w:firstLine="640" w:firstLineChars="200"/>
        <w:rPr>
          <w:rFonts w:hint="eastAsia"/>
          <w:sz w:val="32"/>
          <w:szCs w:val="32"/>
        </w:rPr>
      </w:pPr>
      <w:r>
        <w:rPr>
          <w:rFonts w:hint="eastAsia"/>
          <w:sz w:val="32"/>
          <w:szCs w:val="32"/>
        </w:rPr>
        <w:t>(2)统筹发展。以小城镇建设、乡村振兴为前契机，带动建设城乡一体化区域经济全面发展。</w:t>
      </w:r>
    </w:p>
    <w:p>
      <w:pPr>
        <w:ind w:firstLine="640" w:firstLineChars="200"/>
        <w:rPr>
          <w:rFonts w:hint="eastAsia"/>
          <w:sz w:val="32"/>
          <w:szCs w:val="32"/>
        </w:rPr>
      </w:pPr>
      <w:r>
        <w:rPr>
          <w:rFonts w:hint="eastAsia"/>
          <w:sz w:val="32"/>
          <w:szCs w:val="32"/>
        </w:rPr>
        <w:t>(3)实施公共管理。负责辖区综合性管理工作。承担组织领导和综合协调辖区社会治理、乡村振兴、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pPr>
        <w:ind w:firstLine="640" w:firstLineChars="200"/>
        <w:rPr>
          <w:rFonts w:hint="eastAsia"/>
          <w:sz w:val="32"/>
          <w:szCs w:val="32"/>
        </w:rPr>
      </w:pPr>
      <w:r>
        <w:rPr>
          <w:rFonts w:hint="eastAsia"/>
          <w:sz w:val="32"/>
          <w:szCs w:val="32"/>
        </w:rPr>
        <w:t>(4)维护公共安全。负责辖区内应急管理工作，构建公共安全防控体系，建立应对突发紧急事件的处理预案，在县直有关部门的指导下做好区域内生产经营单位安全生产、消防和食品药品、道路交通安全监督检查工作，承担区域内防汛抗旱、森林防灭火、疫病防控等工作。负责辖区社会治安综合治理工作，接待群众来信来访，建立多元纠纷解决机制，综合发挥人民调解、行政调解和司法调解的作用，及时化解辖区社会矛盾，确保社会稳定。</w:t>
      </w:r>
    </w:p>
    <w:p>
      <w:pPr>
        <w:ind w:firstLine="640" w:firstLineChars="200"/>
        <w:rPr>
          <w:rFonts w:hint="eastAsia"/>
          <w:sz w:val="32"/>
          <w:szCs w:val="32"/>
        </w:rPr>
      </w:pPr>
      <w:r>
        <w:rPr>
          <w:rFonts w:hint="eastAsia"/>
          <w:sz w:val="32"/>
          <w:szCs w:val="32"/>
        </w:rPr>
        <w:t>(5)组织公共服务。组织实施与群众生活密切相关的各项公共服务，落实人力资源和社会保障、民政、教育、科技、文化、体育、卫生健康等领域和退役军人事务、妇女儿童、老年人、残疾人等方面的相关政策，不断提高公共服务质量。拓宽服务渠道改进党务政务服务方式，推进审批服务便民化改革，建立健全群众办事一次办结机制，完善乡、村便民服务平台、提高党务政务公共服务水平，提升人民群众在享受公共服务方面的获得感和幸福感。</w:t>
      </w:r>
    </w:p>
    <w:p>
      <w:pPr>
        <w:ind w:firstLine="640" w:firstLineChars="200"/>
        <w:rPr>
          <w:rFonts w:hint="eastAsia"/>
          <w:sz w:val="32"/>
          <w:szCs w:val="32"/>
        </w:rPr>
      </w:pPr>
      <w:r>
        <w:rPr>
          <w:rFonts w:hint="eastAsia"/>
          <w:sz w:val="32"/>
          <w:szCs w:val="32"/>
        </w:rPr>
        <w:t>(6)依法依规承担县直有关部门下放的经济社会管理权展和行政执法事项，全面推行权力清单和责任清单制度建设。</w:t>
      </w:r>
    </w:p>
    <w:p>
      <w:pPr>
        <w:ind w:firstLine="640" w:firstLineChars="200"/>
        <w:rPr>
          <w:rFonts w:hint="eastAsia"/>
          <w:sz w:val="32"/>
          <w:szCs w:val="32"/>
        </w:rPr>
      </w:pPr>
      <w:r>
        <w:rPr>
          <w:rFonts w:hint="eastAsia"/>
          <w:sz w:val="32"/>
          <w:szCs w:val="32"/>
        </w:rPr>
        <w:t>(7)完成县委、县人民政府交办的其他任务。</w:t>
      </w:r>
    </w:p>
    <w:p>
      <w:pPr>
        <w:rPr>
          <w:rFonts w:hint="eastAsia"/>
          <w:sz w:val="32"/>
          <w:szCs w:val="32"/>
        </w:rPr>
      </w:pPr>
      <w:r>
        <w:rPr>
          <w:rFonts w:hint="eastAsia"/>
          <w:sz w:val="32"/>
          <w:szCs w:val="32"/>
        </w:rPr>
        <w:t>(二)机构设置</w:t>
      </w:r>
    </w:p>
    <w:p>
      <w:pPr>
        <w:ind w:firstLine="640" w:firstLineChars="200"/>
        <w:rPr>
          <w:rFonts w:hint="eastAsia"/>
          <w:sz w:val="32"/>
          <w:szCs w:val="32"/>
        </w:rPr>
      </w:pPr>
      <w:r>
        <w:rPr>
          <w:rFonts w:hint="eastAsia"/>
          <w:sz w:val="32"/>
          <w:szCs w:val="32"/>
        </w:rPr>
        <w:t>根据上述职责，祁东县白地市镇单位内设7个机构，分别为：党委、政府办公室、组织人事、人大、政协、综合执法大队、社会事务综合服务、农业综合服务；从决算单位构成看，本部门决算编制范围为机关本级决算。</w:t>
      </w:r>
    </w:p>
    <w:p>
      <w:pPr>
        <w:rPr>
          <w:rFonts w:hint="eastAsia"/>
          <w:sz w:val="32"/>
          <w:szCs w:val="32"/>
        </w:rPr>
      </w:pPr>
      <w:r>
        <w:rPr>
          <w:rFonts w:hint="eastAsia"/>
          <w:sz w:val="32"/>
          <w:szCs w:val="32"/>
        </w:rPr>
        <w:t>(三)人员编制情况</w:t>
      </w:r>
    </w:p>
    <w:p>
      <w:pPr>
        <w:ind w:firstLine="640" w:firstLineChars="200"/>
        <w:rPr>
          <w:rFonts w:hint="eastAsia"/>
          <w:sz w:val="32"/>
          <w:szCs w:val="32"/>
        </w:rPr>
      </w:pPr>
      <w:r>
        <w:rPr>
          <w:rFonts w:hint="eastAsia"/>
          <w:sz w:val="32"/>
          <w:szCs w:val="32"/>
        </w:rPr>
        <w:t>祁东县白地市镇至2024年12月年未在职在编人员112名，其中身行政编制人员40人，事业在职干部职工72人、退休干部48人。未纳入财政预算自收自支1人(政府传真员)。</w:t>
      </w:r>
    </w:p>
    <w:p>
      <w:pPr>
        <w:rPr>
          <w:rFonts w:hint="eastAsia"/>
          <w:sz w:val="32"/>
          <w:szCs w:val="32"/>
        </w:rPr>
      </w:pPr>
      <w:r>
        <w:rPr>
          <w:rFonts w:hint="eastAsia"/>
          <w:sz w:val="32"/>
          <w:szCs w:val="32"/>
        </w:rPr>
        <w:t>(四)2024年单位工作任务或年度计划</w:t>
      </w:r>
    </w:p>
    <w:p>
      <w:pPr>
        <w:ind w:firstLine="640" w:firstLineChars="200"/>
        <w:rPr>
          <w:rFonts w:hint="eastAsia"/>
          <w:sz w:val="32"/>
          <w:szCs w:val="32"/>
        </w:rPr>
      </w:pPr>
      <w:r>
        <w:rPr>
          <w:rFonts w:hint="eastAsia"/>
          <w:sz w:val="32"/>
          <w:szCs w:val="32"/>
        </w:rPr>
        <w:t>1.聚焦乡村振兴，改善民生，办好惠农实事。一是全面推动乡村振兴；二是狠抓人居环境整治；三是抓安全生产；四是要抓村集体经济发展，发展旅游景区；五是要抓惠民政策落实；</w:t>
      </w:r>
    </w:p>
    <w:p>
      <w:pPr>
        <w:ind w:firstLine="640" w:firstLineChars="200"/>
        <w:rPr>
          <w:rFonts w:hint="eastAsia"/>
          <w:sz w:val="32"/>
          <w:szCs w:val="32"/>
        </w:rPr>
      </w:pPr>
      <w:r>
        <w:rPr>
          <w:rFonts w:hint="eastAsia"/>
          <w:sz w:val="32"/>
          <w:szCs w:val="32"/>
        </w:rPr>
        <w:t>2.聚焦重点项目，因地制宜，实现富民增收。一是在产业谋划包装上因地制宜；二是在项目实施推进上借势借力；三是在项目入库入统上用心用情。</w:t>
      </w:r>
    </w:p>
    <w:p>
      <w:pPr>
        <w:ind w:firstLine="640" w:firstLineChars="200"/>
        <w:rPr>
          <w:rFonts w:hint="eastAsia"/>
          <w:sz w:val="32"/>
          <w:szCs w:val="32"/>
        </w:rPr>
      </w:pPr>
      <w:r>
        <w:rPr>
          <w:rFonts w:hint="eastAsia"/>
          <w:sz w:val="32"/>
          <w:szCs w:val="32"/>
        </w:rPr>
        <w:t>3.聚焦安全维稳，排除干扰，提升服务质量。一是高度重视安全生产。二是稳定推进综合治理。三是推进乡镇简政放权。</w:t>
      </w:r>
    </w:p>
    <w:p>
      <w:pPr>
        <w:ind w:firstLine="640" w:firstLineChars="200"/>
        <w:rPr>
          <w:rFonts w:hint="eastAsia"/>
          <w:sz w:val="32"/>
          <w:szCs w:val="32"/>
        </w:rPr>
      </w:pPr>
      <w:r>
        <w:rPr>
          <w:rFonts w:hint="eastAsia"/>
          <w:sz w:val="32"/>
          <w:szCs w:val="32"/>
        </w:rPr>
        <w:t>4.聚焦组织建设，培根铸魂，增强自身建设。</w:t>
      </w:r>
    </w:p>
    <w:p>
      <w:pPr>
        <w:rPr>
          <w:rFonts w:hint="eastAsia"/>
          <w:sz w:val="32"/>
          <w:szCs w:val="32"/>
        </w:rPr>
      </w:pPr>
      <w:r>
        <w:rPr>
          <w:rFonts w:hint="eastAsia"/>
          <w:sz w:val="32"/>
          <w:szCs w:val="32"/>
        </w:rPr>
        <w:t>二、部门整体支出情况</w:t>
      </w:r>
    </w:p>
    <w:p>
      <w:pPr>
        <w:rPr>
          <w:rFonts w:hint="eastAsia"/>
          <w:sz w:val="32"/>
          <w:szCs w:val="32"/>
        </w:rPr>
      </w:pPr>
      <w:r>
        <w:rPr>
          <w:rFonts w:hint="eastAsia"/>
          <w:sz w:val="32"/>
          <w:szCs w:val="32"/>
        </w:rPr>
        <w:t>(一)2024年度收入支出决算总体情况</w:t>
      </w:r>
    </w:p>
    <w:p>
      <w:pPr>
        <w:ind w:firstLine="640" w:firstLineChars="200"/>
        <w:rPr>
          <w:rFonts w:hint="eastAsia"/>
          <w:sz w:val="32"/>
          <w:szCs w:val="32"/>
        </w:rPr>
      </w:pPr>
      <w:r>
        <w:rPr>
          <w:rFonts w:hint="eastAsia"/>
          <w:sz w:val="32"/>
          <w:szCs w:val="32"/>
        </w:rPr>
        <w:t>2024年度收入总计3354.06万元，其中：一般公共预算财政拨款收入3085.91万元，政府性基金预算财政拨款收入243.45万元、国有资本经营预算财政拨款收入3万元、其他收入21.7万元。</w:t>
      </w:r>
    </w:p>
    <w:p>
      <w:pPr>
        <w:ind w:firstLine="640" w:firstLineChars="200"/>
        <w:rPr>
          <w:rFonts w:hint="eastAsia"/>
          <w:sz w:val="32"/>
          <w:szCs w:val="32"/>
        </w:rPr>
      </w:pPr>
      <w:r>
        <w:rPr>
          <w:rFonts w:hint="eastAsia"/>
          <w:sz w:val="32"/>
          <w:szCs w:val="32"/>
        </w:rPr>
        <w:t>2024年度本年支出合计3354.06万元，其中：基本支出2373.01万元(人员经费1941.01万元、公用经费432万元)、项目支出981.04万元。</w:t>
      </w:r>
    </w:p>
    <w:p>
      <w:pPr>
        <w:rPr>
          <w:rFonts w:hint="eastAsia"/>
          <w:sz w:val="32"/>
          <w:szCs w:val="32"/>
        </w:rPr>
      </w:pPr>
      <w:r>
        <w:rPr>
          <w:rFonts w:hint="eastAsia"/>
          <w:sz w:val="32"/>
          <w:szCs w:val="32"/>
        </w:rPr>
        <w:t>(二)2024年度财政拨款收入支出决算情况(含公共财政拨款、政府性基金拨款、纳入专户管理的非税收入拨款及其他资金。参见国库部门决算表。</w:t>
      </w:r>
    </w:p>
    <w:p>
      <w:pPr>
        <w:rPr>
          <w:rFonts w:hint="eastAsia"/>
          <w:sz w:val="32"/>
          <w:szCs w:val="32"/>
        </w:rPr>
      </w:pPr>
      <w:r>
        <w:rPr>
          <w:rFonts w:hint="eastAsia"/>
          <w:sz w:val="32"/>
          <w:szCs w:val="32"/>
        </w:rPr>
        <w:t>(三)2024年度财政拨款支出分类情况</w:t>
      </w:r>
    </w:p>
    <w:p>
      <w:pPr>
        <w:ind w:firstLine="640" w:firstLineChars="200"/>
        <w:rPr>
          <w:rFonts w:hint="eastAsia"/>
          <w:sz w:val="32"/>
          <w:szCs w:val="32"/>
        </w:rPr>
      </w:pPr>
      <w:r>
        <w:rPr>
          <w:rFonts w:hint="eastAsia"/>
          <w:sz w:val="32"/>
          <w:szCs w:val="32"/>
        </w:rPr>
        <w:t>1、基本支出2373.01万元，占财政拨款支出总额的</w:t>
      </w:r>
    </w:p>
    <w:p>
      <w:pPr>
        <w:rPr>
          <w:rFonts w:hint="eastAsia"/>
          <w:sz w:val="32"/>
          <w:szCs w:val="32"/>
        </w:rPr>
      </w:pPr>
      <w:r>
        <w:rPr>
          <w:rFonts w:hint="eastAsia"/>
          <w:sz w:val="32"/>
          <w:szCs w:val="32"/>
        </w:rPr>
        <w:t>70.75%,其中：(1)工资福利支出1565.9万元，包括基本工资、津贴补贴、奖金、社会保障缴费、伙食补助费、绩效工资、其他工资福利支出；(2)商品和服务支出425.4万元，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(3)对个人和家庭补助支出375.1万元，包括离休费、退休费、抚恤金、生活补助、医疗费、助学金、奖励金、住房公积金、其他对个人和家庭的补助支出等支出。(4)资本性支出6.6万元，包括办公设备购置、基础设施建设等。</w:t>
      </w:r>
    </w:p>
    <w:p>
      <w:pPr>
        <w:ind w:firstLine="640" w:firstLineChars="200"/>
        <w:rPr>
          <w:rFonts w:hint="eastAsia"/>
          <w:sz w:val="32"/>
          <w:szCs w:val="32"/>
        </w:rPr>
      </w:pPr>
      <w:r>
        <w:rPr>
          <w:rFonts w:hint="eastAsia"/>
          <w:sz w:val="32"/>
          <w:szCs w:val="32"/>
        </w:rPr>
        <w:t>2、项目支出981.04万元，占财政拨款支出总额的29.25%。其项目分别为：一般行政管理事务23.00万元、其他环境保护管理事务支出13.40万元、其他污染防治支出24.30万元、其他城乡社区公共设施支出12.00万元、其他国有土地使用权出让收入安排的支出208.90万元、其他农业农村支出109.42万元、水利行业业务管理22.89万元、农村基础设施建设47.04万元、其他</w:t>
      </w:r>
      <w:r>
        <w:rPr>
          <w:rFonts w:hint="eastAsia" w:eastAsia="宋体"/>
          <w:sz w:val="32"/>
          <w:szCs w:val="32"/>
          <w:lang w:eastAsia="zh-CN"/>
        </w:rPr>
        <w:t>巩固拓展脱贫攻坚成果</w:t>
      </w:r>
      <w:r>
        <w:rPr>
          <w:rFonts w:hint="eastAsia"/>
          <w:sz w:val="32"/>
          <w:szCs w:val="32"/>
        </w:rPr>
        <w:t>衔接乡村振兴支出370.84万元、对村级公益事业建设的补助90.00万元、国有企业退休人员社会化管理补助支出3万元、用于社会福利的彩票公益金支出34.55万元、其他支出21.7万元。</w:t>
      </w:r>
    </w:p>
    <w:p>
      <w:pPr>
        <w:rPr>
          <w:rFonts w:hint="eastAsia"/>
          <w:sz w:val="32"/>
          <w:szCs w:val="32"/>
        </w:rPr>
      </w:pPr>
      <w:r>
        <w:rPr>
          <w:rFonts w:hint="eastAsia"/>
          <w:sz w:val="32"/>
          <w:szCs w:val="32"/>
        </w:rPr>
        <w:t>(四)2024年度“三公”经费支出分类情况</w:t>
      </w:r>
    </w:p>
    <w:p>
      <w:pPr>
        <w:rPr>
          <w:rFonts w:hint="eastAsia"/>
          <w:sz w:val="32"/>
          <w:szCs w:val="32"/>
        </w:rPr>
      </w:pPr>
      <w:r>
        <w:rPr>
          <w:rFonts w:hint="eastAsia"/>
          <w:sz w:val="32"/>
          <w:szCs w:val="32"/>
        </w:rPr>
        <w:t>2024年度“三公”经费支出决算为7.2万元，与上年相比，有所增加。具体支出如下：</w:t>
      </w:r>
    </w:p>
    <w:p>
      <w:pPr>
        <w:ind w:firstLine="640" w:firstLineChars="200"/>
        <w:rPr>
          <w:rFonts w:hint="eastAsia"/>
          <w:sz w:val="32"/>
          <w:szCs w:val="32"/>
        </w:rPr>
      </w:pPr>
      <w:r>
        <w:rPr>
          <w:rFonts w:hint="eastAsia"/>
          <w:sz w:val="32"/>
          <w:szCs w:val="32"/>
        </w:rPr>
        <w:t>1、因公出国(境)费支出0万元，全年因公出国(境)团组共计0个，累计0人次。</w:t>
      </w:r>
    </w:p>
    <w:p>
      <w:pPr>
        <w:ind w:firstLine="640" w:firstLineChars="200"/>
        <w:rPr>
          <w:rFonts w:hint="eastAsia"/>
          <w:sz w:val="32"/>
          <w:szCs w:val="32"/>
        </w:rPr>
      </w:pPr>
      <w:r>
        <w:rPr>
          <w:rFonts w:hint="eastAsia"/>
          <w:sz w:val="32"/>
          <w:szCs w:val="32"/>
        </w:rPr>
        <w:t>2、公务接待费支出7.2万元，其中：外事接待支出0万元，国内公务接待支出7.2万元。2024年，国内公务接待共188个批次、1800人次(不包括陪同人员)。</w:t>
      </w:r>
    </w:p>
    <w:p>
      <w:pPr>
        <w:ind w:firstLine="640" w:firstLineChars="200"/>
        <w:rPr>
          <w:rFonts w:hint="eastAsia"/>
          <w:sz w:val="32"/>
          <w:szCs w:val="32"/>
        </w:rPr>
      </w:pPr>
      <w:r>
        <w:rPr>
          <w:rFonts w:hint="eastAsia"/>
          <w:sz w:val="32"/>
          <w:szCs w:val="32"/>
        </w:rPr>
        <w:t>3、公务用车购置及运行费支出0万元，其中：公务用车购置支出0万元，公务用车运行支出0万元。主要用于：公务用车燃料费、维修费、过路过桥费、保险费用等支出。2024年，公务用车购置数为0辆，公务用车保有量为0辆(含执法用车)。</w:t>
      </w:r>
    </w:p>
    <w:p>
      <w:pPr>
        <w:rPr>
          <w:rFonts w:hint="eastAsia"/>
          <w:sz w:val="32"/>
          <w:szCs w:val="32"/>
        </w:rPr>
      </w:pPr>
      <w:r>
        <w:rPr>
          <w:rFonts w:hint="eastAsia"/>
          <w:sz w:val="32"/>
          <w:szCs w:val="32"/>
        </w:rPr>
        <w:t>四、部门整体支出绩效评价情况</w:t>
      </w:r>
    </w:p>
    <w:p>
      <w:pPr>
        <w:ind w:firstLine="640" w:firstLineChars="200"/>
        <w:rPr>
          <w:rFonts w:hint="eastAsia"/>
          <w:sz w:val="32"/>
          <w:szCs w:val="32"/>
        </w:rPr>
      </w:pPr>
      <w:r>
        <w:rPr>
          <w:rFonts w:hint="eastAsia"/>
          <w:sz w:val="32"/>
          <w:szCs w:val="32"/>
        </w:rPr>
        <w:t>白地市市镇政府2024年度部门整体支出3354.06万元，其中单位基本支出2373.01万元、项目支出981.04万元；整体支出绩效目标完成率100%,其中单位基本支出完成率100%,项目支出完成率100%。</w:t>
      </w:r>
    </w:p>
    <w:p>
      <w:pPr>
        <w:ind w:firstLine="640" w:firstLineChars="200"/>
        <w:rPr>
          <w:rFonts w:hint="eastAsia"/>
          <w:sz w:val="32"/>
          <w:szCs w:val="32"/>
        </w:rPr>
      </w:pPr>
      <w:r>
        <w:rPr>
          <w:rFonts w:hint="eastAsia"/>
          <w:sz w:val="32"/>
          <w:szCs w:val="32"/>
        </w:rPr>
        <w:t>其产出和效益情况概述如下：保证了工资及津补贴的正常发放，提高了职工的福利待遇，充分发挥了所有职工的工作积极性。保证了单位公用经费的正常支出，极大地提高了机构各项职能的运转效率。</w:t>
      </w:r>
    </w:p>
    <w:p>
      <w:pPr>
        <w:ind w:firstLine="640" w:firstLineChars="200"/>
        <w:rPr>
          <w:rFonts w:hint="eastAsia"/>
          <w:sz w:val="32"/>
          <w:szCs w:val="32"/>
        </w:rPr>
      </w:pPr>
      <w:r>
        <w:rPr>
          <w:rFonts w:hint="eastAsia"/>
          <w:sz w:val="32"/>
          <w:szCs w:val="32"/>
        </w:rPr>
        <w:t>确保了2024年我镇居民巩固脱贫致富成果，加快全面向小康迈进的乡村振兴步伐，使人民群众感受到党和政府的温暖。加快了重点项目建设进度。改善了多数居民的生产生活条件，努力提升人民群众的幸福指数。推动了行政区域内的民政、卫生、体育、计划生育、文化教育等社会公益事业的综合性工作，提升精神文明建设质量。</w:t>
      </w:r>
    </w:p>
    <w:p>
      <w:pPr>
        <w:rPr>
          <w:rFonts w:hint="eastAsia"/>
          <w:sz w:val="32"/>
          <w:szCs w:val="32"/>
        </w:rPr>
      </w:pPr>
      <w:r>
        <w:rPr>
          <w:rFonts w:hint="eastAsia"/>
          <w:sz w:val="32"/>
          <w:szCs w:val="32"/>
        </w:rPr>
        <w:t>五、存在的主要问题及下一步改进措施</w:t>
      </w:r>
    </w:p>
    <w:p>
      <w:pPr>
        <w:ind w:firstLine="640" w:firstLineChars="200"/>
        <w:rPr>
          <w:rFonts w:hint="eastAsia"/>
          <w:sz w:val="32"/>
          <w:szCs w:val="32"/>
        </w:rPr>
      </w:pPr>
      <w:r>
        <w:rPr>
          <w:rFonts w:hint="eastAsia"/>
          <w:sz w:val="32"/>
          <w:szCs w:val="32"/>
        </w:rPr>
        <w:t>1、细化预算编制，精益求精做好预算编制工作。同时进一步加强内设机构的预算管理意识，严格按照预算编制的相关制度和指标要求进行操作。</w:t>
      </w:r>
    </w:p>
    <w:p>
      <w:pPr>
        <w:ind w:firstLine="640" w:firstLineChars="200"/>
        <w:rPr>
          <w:rFonts w:hint="eastAsia"/>
          <w:sz w:val="32"/>
          <w:szCs w:val="32"/>
        </w:rPr>
      </w:pPr>
      <w:r>
        <w:rPr>
          <w:rFonts w:hint="eastAsia"/>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ind w:firstLine="640" w:firstLineChars="200"/>
        <w:rPr>
          <w:rFonts w:hint="eastAsia"/>
          <w:sz w:val="32"/>
          <w:szCs w:val="32"/>
        </w:rPr>
      </w:pPr>
      <w:r>
        <w:rPr>
          <w:rFonts w:hint="eastAsia"/>
          <w:sz w:val="32"/>
          <w:szCs w:val="32"/>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ind w:firstLine="640" w:firstLineChars="200"/>
        <w:rPr>
          <w:rFonts w:hint="eastAsia"/>
          <w:sz w:val="32"/>
          <w:szCs w:val="32"/>
        </w:rPr>
      </w:pPr>
      <w:r>
        <w:rPr>
          <w:rFonts w:hint="eastAsia"/>
          <w:sz w:val="32"/>
          <w:szCs w:val="32"/>
        </w:rPr>
        <w:t>4、对相关人员加强培训，特别是针对《预算法》、《行政事业单位会计制度》等学习培训，规范部门预算收支核算，切实提高部门预算收支管理水平。</w:t>
      </w:r>
    </w:p>
    <w:p>
      <w:pPr>
        <w:rPr>
          <w:rFonts w:hint="eastAsia"/>
          <w:sz w:val="32"/>
          <w:szCs w:val="32"/>
        </w:rPr>
      </w:pPr>
      <w:r>
        <w:rPr>
          <w:rFonts w:hint="eastAsia"/>
          <w:sz w:val="32"/>
          <w:szCs w:val="32"/>
        </w:rPr>
        <w:t>六、绩效自评结果拟应用和公开情况按照上级规定及时公开办理</w:t>
      </w:r>
    </w:p>
    <w:p>
      <w:pPr>
        <w:rPr>
          <w:rFonts w:hint="eastAsia"/>
          <w:sz w:val="32"/>
          <w:szCs w:val="32"/>
        </w:rPr>
      </w:pPr>
      <w:r>
        <w:rPr>
          <w:rFonts w:hint="eastAsia"/>
          <w:sz w:val="32"/>
          <w:szCs w:val="32"/>
        </w:rPr>
        <w:t>七、无其他需要说明的情况</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r>
        <w:rPr>
          <w:rFonts w:hint="eastAsia"/>
          <w:sz w:val="32"/>
          <w:szCs w:val="32"/>
        </w:rPr>
        <w:t>附表：1.部门整体支出绩效评价指标评分表</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before="75" w:line="223" w:lineRule="auto"/>
        <w:ind w:left="864"/>
        <w:rPr>
          <w:rFonts w:ascii="黑体" w:hAnsi="黑体" w:eastAsia="黑体" w:cs="黑体"/>
          <w:sz w:val="23"/>
          <w:szCs w:val="23"/>
        </w:rPr>
      </w:pPr>
      <w:r>
        <w:rPr>
          <w:rFonts w:ascii="黑体" w:hAnsi="黑体" w:eastAsia="黑体" w:cs="黑体"/>
          <w:spacing w:val="4"/>
          <w:sz w:val="23"/>
          <w:szCs w:val="23"/>
        </w:rPr>
        <w:t>附表1:</w:t>
      </w:r>
    </w:p>
    <w:p>
      <w:pPr>
        <w:spacing w:before="257" w:line="221" w:lineRule="auto"/>
        <w:ind w:left="2148"/>
        <w:rPr>
          <w:rFonts w:ascii="黑体" w:hAnsi="黑体" w:eastAsia="黑体" w:cs="黑体"/>
          <w:sz w:val="32"/>
          <w:szCs w:val="32"/>
        </w:rPr>
      </w:pPr>
      <w:r>
        <w:rPr>
          <w:rFonts w:ascii="黑体" w:hAnsi="黑体" w:eastAsia="黑体" w:cs="黑体"/>
          <w:b/>
          <w:bCs/>
          <w:spacing w:val="-9"/>
          <w:sz w:val="32"/>
          <w:szCs w:val="32"/>
        </w:rPr>
        <w:t>部门整体支出绩效评价指标评分表</w:t>
      </w:r>
    </w:p>
    <w:p>
      <w:pPr>
        <w:spacing w:before="8" w:line="219" w:lineRule="auto"/>
        <w:ind w:left="864"/>
        <w:rPr>
          <w:rFonts w:ascii="宋体" w:hAnsi="宋体" w:eastAsia="宋体" w:cs="宋体"/>
          <w:sz w:val="22"/>
          <w:szCs w:val="22"/>
        </w:rPr>
      </w:pPr>
      <w:r>
        <w:rPr>
          <w:rFonts w:ascii="宋体" w:hAnsi="宋体" w:eastAsia="宋体" w:cs="宋体"/>
          <w:sz w:val="22"/>
          <w:szCs w:val="22"/>
        </w:rPr>
        <w:t>填报单位：祁东县白地市镇人民政府填报人：周长青电话：19359858052</w:t>
      </w:r>
    </w:p>
    <w:p>
      <w:pPr>
        <w:spacing w:line="16" w:lineRule="exact"/>
      </w:pPr>
    </w:p>
    <w:tbl>
      <w:tblPr>
        <w:tblStyle w:val="6"/>
        <w:tblW w:w="7409" w:type="dxa"/>
        <w:tblInd w:w="7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599"/>
        <w:gridCol w:w="659"/>
        <w:gridCol w:w="389"/>
        <w:gridCol w:w="2786"/>
        <w:gridCol w:w="1997"/>
        <w:gridCol w:w="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04" w:type="dxa"/>
            <w:vAlign w:val="top"/>
          </w:tcPr>
          <w:p>
            <w:pPr>
              <w:pStyle w:val="5"/>
              <w:spacing w:before="44" w:line="221" w:lineRule="auto"/>
              <w:ind w:left="124"/>
            </w:pPr>
            <w:r>
              <w:rPr>
                <w:spacing w:val="-5"/>
              </w:rPr>
              <w:t>一级</w:t>
            </w:r>
          </w:p>
          <w:p>
            <w:pPr>
              <w:pStyle w:val="5"/>
              <w:spacing w:before="74" w:line="220" w:lineRule="auto"/>
              <w:ind w:left="124"/>
            </w:pPr>
            <w:r>
              <w:rPr>
                <w:spacing w:val="-3"/>
              </w:rPr>
              <w:t>指标</w:t>
            </w:r>
          </w:p>
        </w:tc>
        <w:tc>
          <w:tcPr>
            <w:tcW w:w="599" w:type="dxa"/>
            <w:vAlign w:val="top"/>
          </w:tcPr>
          <w:p>
            <w:pPr>
              <w:pStyle w:val="5"/>
              <w:spacing w:before="54" w:line="221" w:lineRule="auto"/>
              <w:ind w:left="120"/>
            </w:pPr>
            <w:r>
              <w:rPr>
                <w:spacing w:val="-3"/>
              </w:rPr>
              <w:t>二级</w:t>
            </w:r>
          </w:p>
          <w:p>
            <w:pPr>
              <w:pStyle w:val="5"/>
              <w:spacing w:before="54" w:line="220" w:lineRule="auto"/>
              <w:ind w:left="120"/>
            </w:pPr>
            <w:r>
              <w:rPr>
                <w:spacing w:val="-3"/>
              </w:rPr>
              <w:t>指标</w:t>
            </w:r>
          </w:p>
        </w:tc>
        <w:tc>
          <w:tcPr>
            <w:tcW w:w="659" w:type="dxa"/>
            <w:vAlign w:val="top"/>
          </w:tcPr>
          <w:p>
            <w:pPr>
              <w:pStyle w:val="5"/>
              <w:spacing w:before="54" w:line="221" w:lineRule="auto"/>
              <w:ind w:left="151"/>
            </w:pPr>
            <w:r>
              <w:rPr>
                <w:spacing w:val="-2"/>
              </w:rPr>
              <w:t>三级</w:t>
            </w:r>
          </w:p>
          <w:p>
            <w:pPr>
              <w:pStyle w:val="5"/>
              <w:spacing w:before="64" w:line="220" w:lineRule="auto"/>
              <w:ind w:left="151"/>
            </w:pPr>
            <w:r>
              <w:rPr>
                <w:spacing w:val="-3"/>
              </w:rPr>
              <w:t>指标</w:t>
            </w:r>
          </w:p>
        </w:tc>
        <w:tc>
          <w:tcPr>
            <w:tcW w:w="389" w:type="dxa"/>
            <w:textDirection w:val="tbRlV"/>
            <w:vAlign w:val="top"/>
          </w:tcPr>
          <w:p>
            <w:pPr>
              <w:pStyle w:val="5"/>
              <w:spacing w:before="112" w:line="201" w:lineRule="auto"/>
              <w:ind w:left="35"/>
            </w:pPr>
            <w:r>
              <w:t>分值</w:t>
            </w:r>
          </w:p>
        </w:tc>
        <w:tc>
          <w:tcPr>
            <w:tcW w:w="2786" w:type="dxa"/>
            <w:vAlign w:val="top"/>
          </w:tcPr>
          <w:p>
            <w:pPr>
              <w:pStyle w:val="5"/>
              <w:spacing w:before="190" w:line="218" w:lineRule="auto"/>
              <w:ind w:left="1044"/>
            </w:pPr>
            <w:r>
              <w:rPr>
                <w:spacing w:val="-2"/>
              </w:rPr>
              <w:t>评价标准</w:t>
            </w:r>
          </w:p>
        </w:tc>
        <w:tc>
          <w:tcPr>
            <w:tcW w:w="1997" w:type="dxa"/>
            <w:vAlign w:val="top"/>
          </w:tcPr>
          <w:p>
            <w:pPr>
              <w:pStyle w:val="5"/>
              <w:spacing w:before="189" w:line="219" w:lineRule="auto"/>
              <w:ind w:left="660"/>
            </w:pPr>
            <w:r>
              <w:rPr>
                <w:b/>
                <w:bCs/>
                <w:spacing w:val="1"/>
              </w:rPr>
              <w:t>指标说明</w:t>
            </w:r>
          </w:p>
        </w:tc>
        <w:tc>
          <w:tcPr>
            <w:tcW w:w="375" w:type="dxa"/>
            <w:textDirection w:val="tbRlV"/>
            <w:vAlign w:val="top"/>
          </w:tcPr>
          <w:p>
            <w:pPr>
              <w:pStyle w:val="5"/>
              <w:spacing w:before="100" w:line="200" w:lineRule="auto"/>
              <w:ind w:left="6"/>
            </w:pPr>
            <w: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604" w:type="dxa"/>
            <w:vMerge w:val="restart"/>
            <w:tcBorders>
              <w:bottom w:val="nil"/>
            </w:tcBorders>
            <w:vAlign w:val="top"/>
          </w:tcPr>
          <w:p>
            <w:pPr>
              <w:spacing w:line="252" w:lineRule="auto"/>
              <w:rPr>
                <w:rFonts w:hint="eastAsia" w:eastAsia="宋体"/>
                <w:sz w:val="21"/>
                <w:lang w:eastAsia="zh-CN"/>
              </w:rPr>
            </w:pPr>
          </w:p>
          <w:p>
            <w:pPr>
              <w:spacing w:line="252" w:lineRule="auto"/>
              <w:rPr>
                <w:rFonts w:hint="eastAsia" w:eastAsia="宋体"/>
                <w:sz w:val="21"/>
                <w:lang w:eastAsia="zh-CN"/>
              </w:rPr>
            </w:pPr>
          </w:p>
          <w:p>
            <w:pPr>
              <w:spacing w:line="252" w:lineRule="auto"/>
              <w:rPr>
                <w:rFonts w:hint="eastAsia" w:eastAsia="宋体"/>
                <w:sz w:val="21"/>
                <w:lang w:eastAsia="zh-CN"/>
              </w:rPr>
            </w:pPr>
          </w:p>
          <w:p>
            <w:pPr>
              <w:spacing w:line="252" w:lineRule="auto"/>
              <w:rPr>
                <w:rFonts w:hint="eastAsia" w:eastAsia="宋体"/>
                <w:sz w:val="21"/>
                <w:lang w:eastAsia="zh-CN"/>
              </w:rPr>
            </w:pPr>
          </w:p>
          <w:p>
            <w:pPr>
              <w:spacing w:line="252" w:lineRule="auto"/>
              <w:rPr>
                <w:rFonts w:hint="eastAsia" w:eastAsia="宋体"/>
                <w:sz w:val="21"/>
                <w:lang w:eastAsia="zh-CN"/>
              </w:rPr>
            </w:pPr>
          </w:p>
          <w:p>
            <w:pPr>
              <w:spacing w:line="252" w:lineRule="auto"/>
              <w:rPr>
                <w:rFonts w:hint="eastAsia" w:eastAsia="宋体"/>
                <w:sz w:val="21"/>
                <w:lang w:eastAsia="zh-CN"/>
              </w:rPr>
            </w:pPr>
          </w:p>
          <w:p>
            <w:pPr>
              <w:spacing w:line="252" w:lineRule="auto"/>
              <w:rPr>
                <w:rFonts w:hint="eastAsia" w:eastAsia="宋体"/>
                <w:sz w:val="21"/>
                <w:lang w:eastAsia="zh-CN"/>
              </w:rPr>
            </w:pPr>
          </w:p>
          <w:p>
            <w:pPr>
              <w:spacing w:line="252" w:lineRule="auto"/>
              <w:ind w:firstLine="210" w:firstLineChars="100"/>
              <w:rPr>
                <w:rFonts w:hint="eastAsia" w:eastAsia="宋体"/>
                <w:sz w:val="21"/>
                <w:lang w:eastAsia="zh-CN"/>
              </w:rPr>
            </w:pPr>
            <w:r>
              <w:rPr>
                <w:rFonts w:hint="eastAsia" w:eastAsia="宋体"/>
                <w:sz w:val="21"/>
                <w:lang w:eastAsia="zh-CN"/>
              </w:rPr>
              <w:t>投</w:t>
            </w:r>
          </w:p>
          <w:p>
            <w:pPr>
              <w:spacing w:line="252" w:lineRule="auto"/>
              <w:ind w:firstLine="210" w:firstLineChars="100"/>
              <w:rPr>
                <w:rFonts w:hint="eastAsia" w:eastAsia="宋体"/>
                <w:sz w:val="21"/>
                <w:lang w:eastAsia="zh-CN"/>
              </w:rPr>
            </w:pPr>
            <w:r>
              <w:rPr>
                <w:rFonts w:hint="eastAsia" w:eastAsia="宋体"/>
                <w:sz w:val="21"/>
                <w:lang w:eastAsia="zh-CN"/>
              </w:rPr>
              <w:t>入</w:t>
            </w:r>
          </w:p>
          <w:p>
            <w:pPr>
              <w:spacing w:line="252" w:lineRule="auto"/>
              <w:ind w:firstLine="150" w:firstLineChars="100"/>
              <w:rPr>
                <w:rFonts w:hint="eastAsia" w:eastAsia="宋体"/>
                <w:sz w:val="15"/>
                <w:szCs w:val="15"/>
                <w:lang w:eastAsia="zh-CN"/>
              </w:rPr>
            </w:pPr>
            <w:r>
              <w:rPr>
                <w:rFonts w:hint="eastAsia" w:eastAsia="宋体"/>
                <w:sz w:val="15"/>
                <w:szCs w:val="15"/>
                <w:lang w:eastAsia="zh-CN"/>
              </w:rPr>
              <w:t>（</w:t>
            </w:r>
            <w:r>
              <w:rPr>
                <w:rFonts w:hint="eastAsia" w:eastAsia="宋体"/>
                <w:sz w:val="15"/>
                <w:szCs w:val="15"/>
                <w:lang w:val="en-US" w:eastAsia="zh-CN"/>
              </w:rPr>
              <w:t>10分</w:t>
            </w:r>
            <w:r>
              <w:rPr>
                <w:rFonts w:hint="eastAsia" w:eastAsia="宋体"/>
                <w:sz w:val="15"/>
                <w:szCs w:val="15"/>
                <w:lang w:eastAsia="zh-CN"/>
              </w:rPr>
              <w:t>）</w:t>
            </w:r>
          </w:p>
          <w:p>
            <w:pPr>
              <w:pStyle w:val="5"/>
              <w:spacing w:before="56" w:line="250" w:lineRule="auto"/>
              <w:ind w:right="141"/>
            </w:pPr>
          </w:p>
        </w:tc>
        <w:tc>
          <w:tcPr>
            <w:tcW w:w="59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5"/>
              <w:spacing w:before="55" w:line="219" w:lineRule="auto"/>
              <w:ind w:left="120"/>
            </w:pPr>
            <w:r>
              <w:rPr>
                <w:spacing w:val="-2"/>
              </w:rPr>
              <w:t>预算</w:t>
            </w:r>
          </w:p>
          <w:p>
            <w:pPr>
              <w:pStyle w:val="5"/>
              <w:spacing w:before="81" w:line="223" w:lineRule="auto"/>
              <w:ind w:left="120"/>
            </w:pPr>
            <w:r>
              <w:rPr>
                <w:spacing w:val="-2"/>
              </w:rPr>
              <w:t>配置</w:t>
            </w:r>
          </w:p>
          <w:p>
            <w:pPr>
              <w:spacing w:line="276" w:lineRule="auto"/>
              <w:rPr>
                <w:rFonts w:ascii="Arial"/>
                <w:sz w:val="21"/>
              </w:rPr>
            </w:pPr>
          </w:p>
          <w:p>
            <w:pPr>
              <w:pStyle w:val="5"/>
              <w:spacing w:before="55" w:line="283" w:lineRule="auto"/>
              <w:ind w:left="161" w:right="140" w:firstLine="29"/>
            </w:pPr>
            <w:r>
              <w:rPr>
                <w:spacing w:val="-13"/>
              </w:rPr>
              <w:t>(10</w:t>
            </w:r>
            <w:r>
              <w:rPr>
                <w:spacing w:val="-8"/>
              </w:rPr>
              <w:t>分)</w:t>
            </w:r>
          </w:p>
        </w:tc>
        <w:tc>
          <w:tcPr>
            <w:tcW w:w="659" w:type="dxa"/>
            <w:vAlign w:val="top"/>
          </w:tcPr>
          <w:p>
            <w:pPr>
              <w:spacing w:line="335" w:lineRule="auto"/>
              <w:rPr>
                <w:rFonts w:ascii="Arial"/>
                <w:sz w:val="21"/>
              </w:rPr>
            </w:pPr>
          </w:p>
          <w:p>
            <w:pPr>
              <w:spacing w:line="335" w:lineRule="auto"/>
              <w:rPr>
                <w:rFonts w:ascii="Arial"/>
                <w:sz w:val="21"/>
              </w:rPr>
            </w:pPr>
          </w:p>
          <w:p>
            <w:pPr>
              <w:pStyle w:val="5"/>
              <w:spacing w:before="56" w:line="295" w:lineRule="auto"/>
              <w:ind w:left="151" w:right="133"/>
            </w:pPr>
            <w:r>
              <w:rPr>
                <w:spacing w:val="-3"/>
              </w:rPr>
              <w:t>在职</w:t>
            </w:r>
            <w:r>
              <w:rPr>
                <w:rFonts w:hint="eastAsia"/>
                <w:spacing w:val="-3"/>
                <w:lang w:eastAsia="zh-CN"/>
              </w:rPr>
              <w:t>人</w:t>
            </w:r>
            <w:r>
              <w:rPr>
                <w:spacing w:val="11"/>
              </w:rPr>
              <w:t>员</w:t>
            </w:r>
          </w:p>
          <w:p>
            <w:pPr>
              <w:pStyle w:val="5"/>
              <w:spacing w:before="5" w:line="294" w:lineRule="auto"/>
              <w:ind w:left="231" w:right="142" w:hanging="80"/>
            </w:pPr>
            <w:r>
              <w:rPr>
                <w:rFonts w:hint="eastAsia"/>
                <w:spacing w:val="7"/>
                <w:lang w:eastAsia="zh-CN"/>
              </w:rPr>
              <w:t>控制率</w:t>
            </w:r>
          </w:p>
        </w:tc>
        <w:tc>
          <w:tcPr>
            <w:tcW w:w="38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55"/>
              <w:ind w:left="143"/>
            </w:pPr>
            <w:r>
              <w:t>5</w:t>
            </w:r>
          </w:p>
        </w:tc>
        <w:tc>
          <w:tcPr>
            <w:tcW w:w="2786"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5"/>
              <w:spacing w:before="56" w:line="219" w:lineRule="auto"/>
              <w:ind w:left="114"/>
            </w:pPr>
            <w:r>
              <w:t>以100%为标准。在职人员控制率三</w:t>
            </w:r>
          </w:p>
          <w:p>
            <w:pPr>
              <w:pStyle w:val="5"/>
              <w:spacing w:before="65" w:line="309" w:lineRule="auto"/>
              <w:ind w:left="84" w:right="186" w:firstLine="109"/>
            </w:pPr>
            <w:r>
              <w:t>100%,计5分；每超过一个百分点扣0.5分，扣完为止。</w:t>
            </w:r>
          </w:p>
        </w:tc>
        <w:tc>
          <w:tcPr>
            <w:tcW w:w="1997" w:type="dxa"/>
            <w:vAlign w:val="top"/>
          </w:tcPr>
          <w:p>
            <w:pPr>
              <w:pStyle w:val="5"/>
              <w:spacing w:before="46" w:line="290" w:lineRule="auto"/>
              <w:ind w:left="98" w:right="46" w:firstLine="49"/>
            </w:pPr>
            <w:r>
              <w:rPr>
                <w:spacing w:val="-1"/>
              </w:rPr>
              <w:t>在职人员控制率=(在职</w:t>
            </w:r>
            <w:r>
              <w:rPr>
                <w:spacing w:val="4"/>
              </w:rPr>
              <w:t>人员数/编制数)×100%,</w:t>
            </w:r>
            <w:r>
              <w:rPr>
                <w:spacing w:val="-1"/>
              </w:rPr>
              <w:t>在职人员数：部门(单</w:t>
            </w:r>
          </w:p>
          <w:p>
            <w:pPr>
              <w:pStyle w:val="5"/>
              <w:spacing w:line="293" w:lineRule="auto"/>
              <w:ind w:left="77" w:right="146" w:firstLine="110"/>
              <w:jc w:val="both"/>
            </w:pPr>
            <w:r>
              <w:rPr>
                <w:spacing w:val="-1"/>
              </w:rPr>
              <w:t>位)实际在职人数，以</w:t>
            </w:r>
            <w:r>
              <w:rPr>
                <w:spacing w:val="6"/>
              </w:rPr>
              <w:t>财政局确定的部门决算</w:t>
            </w:r>
            <w:r>
              <w:rPr>
                <w:spacing w:val="-1"/>
              </w:rPr>
              <w:t>编制口径为准。</w:t>
            </w:r>
          </w:p>
          <w:p>
            <w:pPr>
              <w:pStyle w:val="5"/>
              <w:spacing w:before="2" w:line="278" w:lineRule="auto"/>
              <w:ind w:left="88" w:right="101" w:firstLine="59"/>
              <w:jc w:val="both"/>
            </w:pPr>
            <w:r>
              <w:rPr>
                <w:spacing w:val="1"/>
              </w:rPr>
              <w:t>编制数：机构编制部门</w:t>
            </w:r>
            <w:r>
              <w:rPr>
                <w:spacing w:val="8"/>
              </w:rPr>
              <w:t>核定批复的部门(单位)</w:t>
            </w:r>
            <w:r>
              <w:rPr>
                <w:spacing w:val="-1"/>
              </w:rPr>
              <w:t>的人员编制数。</w:t>
            </w:r>
          </w:p>
        </w:tc>
        <w:tc>
          <w:tcPr>
            <w:tcW w:w="37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55"/>
              <w:ind w:left="61"/>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604" w:type="dxa"/>
            <w:vMerge w:val="continue"/>
            <w:tcBorders>
              <w:top w:val="nil"/>
            </w:tcBorders>
            <w:vAlign w:val="top"/>
          </w:tcPr>
          <w:p>
            <w:pPr>
              <w:rPr>
                <w:rFonts w:ascii="Arial"/>
                <w:sz w:val="21"/>
              </w:rPr>
            </w:pPr>
          </w:p>
        </w:tc>
        <w:tc>
          <w:tcPr>
            <w:tcW w:w="599" w:type="dxa"/>
            <w:vMerge w:val="continue"/>
            <w:tcBorders>
              <w:top w:val="nil"/>
            </w:tcBorders>
            <w:vAlign w:val="top"/>
          </w:tcPr>
          <w:p>
            <w:pPr>
              <w:rPr>
                <w:rFonts w:ascii="Arial"/>
                <w:sz w:val="21"/>
              </w:rPr>
            </w:pPr>
          </w:p>
        </w:tc>
        <w:tc>
          <w:tcPr>
            <w:tcW w:w="659" w:type="dxa"/>
            <w:vAlign w:val="top"/>
          </w:tcPr>
          <w:p>
            <w:pPr>
              <w:pStyle w:val="5"/>
              <w:spacing w:before="162" w:line="222" w:lineRule="auto"/>
            </w:pPr>
            <w:r>
              <w:rPr>
                <w:spacing w:val="-5"/>
              </w:rPr>
              <w:t>“三公</w:t>
            </w:r>
          </w:p>
          <w:p>
            <w:pPr>
              <w:pStyle w:val="5"/>
              <w:spacing w:before="94" w:line="287" w:lineRule="auto"/>
              <w:ind w:left="139" w:hanging="77"/>
            </w:pPr>
            <w:r>
              <w:rPr>
                <w:spacing w:val="6"/>
              </w:rPr>
              <w:t>经费”</w:t>
            </w:r>
            <w:r>
              <w:rPr>
                <w:spacing w:val="-13"/>
              </w:rPr>
              <w:t>变动</w:t>
            </w:r>
          </w:p>
          <w:p>
            <w:pPr>
              <w:pStyle w:val="5"/>
              <w:spacing w:line="219" w:lineRule="auto"/>
              <w:ind w:left="232"/>
            </w:pPr>
            <w:r>
              <w:t>率</w:t>
            </w:r>
          </w:p>
        </w:tc>
        <w:tc>
          <w:tcPr>
            <w:tcW w:w="389" w:type="dxa"/>
            <w:vAlign w:val="top"/>
          </w:tcPr>
          <w:p>
            <w:pPr>
              <w:spacing w:line="274" w:lineRule="auto"/>
              <w:rPr>
                <w:rFonts w:ascii="Arial"/>
                <w:sz w:val="21"/>
              </w:rPr>
            </w:pPr>
          </w:p>
          <w:p>
            <w:pPr>
              <w:spacing w:line="274" w:lineRule="auto"/>
              <w:rPr>
                <w:rFonts w:ascii="Arial"/>
                <w:sz w:val="21"/>
              </w:rPr>
            </w:pPr>
          </w:p>
          <w:p>
            <w:pPr>
              <w:pStyle w:val="5"/>
              <w:spacing w:before="55"/>
              <w:ind w:left="143"/>
            </w:pPr>
            <w:r>
              <w:t>5</w:t>
            </w:r>
          </w:p>
        </w:tc>
        <w:tc>
          <w:tcPr>
            <w:tcW w:w="2786" w:type="dxa"/>
            <w:vAlign w:val="top"/>
          </w:tcPr>
          <w:p>
            <w:pPr>
              <w:spacing w:line="259" w:lineRule="auto"/>
              <w:rPr>
                <w:rFonts w:ascii="Arial"/>
                <w:sz w:val="21"/>
              </w:rPr>
            </w:pPr>
          </w:p>
          <w:p>
            <w:pPr>
              <w:pStyle w:val="5"/>
              <w:spacing w:before="56" w:line="305" w:lineRule="auto"/>
              <w:ind w:left="153" w:right="43" w:hanging="129"/>
            </w:pPr>
            <w:r>
              <w:rPr>
                <w:spacing w:val="-1"/>
              </w:rPr>
              <w:t>"三公经费”变动率≤0,计8分；“三</w:t>
            </w:r>
            <w:r>
              <w:t>公经费”&gt;0,每超过一个百分点扣</w:t>
            </w:r>
          </w:p>
          <w:p>
            <w:pPr>
              <w:pStyle w:val="5"/>
              <w:spacing w:before="11" w:line="219" w:lineRule="auto"/>
              <w:ind w:left="74"/>
            </w:pPr>
            <w:r>
              <w:t>0.8分，扣完为止。</w:t>
            </w:r>
          </w:p>
        </w:tc>
        <w:tc>
          <w:tcPr>
            <w:tcW w:w="1997" w:type="dxa"/>
            <w:vAlign w:val="top"/>
          </w:tcPr>
          <w:p>
            <w:pPr>
              <w:pStyle w:val="5"/>
              <w:spacing w:before="39" w:line="280" w:lineRule="auto"/>
              <w:ind w:left="78" w:hanging="78"/>
            </w:pPr>
            <w:r>
              <w:rPr>
                <w:spacing w:val="-6"/>
              </w:rPr>
              <w:t>“三公经费”变动率=[(本</w:t>
            </w:r>
            <w:r>
              <w:rPr>
                <w:spacing w:val="-14"/>
              </w:rPr>
              <w:t>年度“三公经费”预算数-</w:t>
            </w:r>
            <w:r>
              <w:rPr>
                <w:spacing w:val="-12"/>
              </w:rPr>
              <w:t>上年度“三公经费”预算</w:t>
            </w:r>
            <w:r>
              <w:rPr>
                <w:spacing w:val="3"/>
              </w:rPr>
              <w:t>数)/上年度“三公经费”</w:t>
            </w:r>
            <w:r>
              <w:rPr>
                <w:spacing w:val="-4"/>
              </w:rPr>
              <w:t>预算数]×100%</w:t>
            </w:r>
          </w:p>
        </w:tc>
        <w:tc>
          <w:tcPr>
            <w:tcW w:w="375" w:type="dxa"/>
            <w:vAlign w:val="top"/>
          </w:tcPr>
          <w:p>
            <w:pPr>
              <w:spacing w:line="274" w:lineRule="auto"/>
              <w:rPr>
                <w:rFonts w:ascii="Arial"/>
                <w:sz w:val="21"/>
              </w:rPr>
            </w:pPr>
          </w:p>
          <w:p>
            <w:pPr>
              <w:spacing w:line="274" w:lineRule="auto"/>
              <w:rPr>
                <w:rFonts w:ascii="Arial"/>
                <w:sz w:val="21"/>
              </w:rPr>
            </w:pPr>
          </w:p>
          <w:p>
            <w:pPr>
              <w:pStyle w:val="5"/>
              <w:spacing w:before="55"/>
              <w:ind w:left="14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604" w:type="dxa"/>
            <w:vMerge w:val="restart"/>
            <w:tcBorders>
              <w:bottom w:val="nil"/>
            </w:tcBorders>
            <w:vAlign w:val="top"/>
          </w:tcPr>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rPr>
                <w:rFonts w:hint="eastAsia"/>
                <w:spacing w:val="-13"/>
                <w:lang w:eastAsia="zh-CN"/>
              </w:rPr>
            </w:pPr>
          </w:p>
          <w:p>
            <w:pPr>
              <w:pStyle w:val="5"/>
              <w:spacing w:before="55" w:line="283" w:lineRule="auto"/>
              <w:ind w:right="141" w:firstLine="214" w:firstLineChars="100"/>
              <w:rPr>
                <w:rFonts w:hint="eastAsia"/>
                <w:spacing w:val="-13"/>
                <w:sz w:val="24"/>
                <w:szCs w:val="24"/>
                <w:lang w:eastAsia="zh-CN"/>
              </w:rPr>
            </w:pPr>
            <w:r>
              <w:rPr>
                <w:rFonts w:hint="eastAsia"/>
                <w:spacing w:val="-13"/>
                <w:sz w:val="24"/>
                <w:szCs w:val="24"/>
                <w:lang w:eastAsia="zh-CN"/>
              </w:rPr>
              <w:t>过</w:t>
            </w:r>
          </w:p>
          <w:p>
            <w:pPr>
              <w:pStyle w:val="5"/>
              <w:spacing w:before="55" w:line="283" w:lineRule="auto"/>
              <w:ind w:left="239" w:leftChars="114" w:right="141" w:firstLine="0" w:firstLineChars="0"/>
            </w:pPr>
            <w:r>
              <w:rPr>
                <w:rFonts w:hint="eastAsia"/>
                <w:spacing w:val="-13"/>
                <w:sz w:val="24"/>
                <w:szCs w:val="24"/>
                <w:lang w:eastAsia="zh-CN"/>
              </w:rPr>
              <w:t>程</w:t>
            </w:r>
            <w:r>
              <w:rPr>
                <w:spacing w:val="-13"/>
                <w:sz w:val="15"/>
                <w:szCs w:val="15"/>
              </w:rPr>
              <w:t>(60</w:t>
            </w:r>
            <w:r>
              <w:rPr>
                <w:spacing w:val="-8"/>
                <w:sz w:val="15"/>
                <w:szCs w:val="15"/>
              </w:rPr>
              <w:t>分)</w:t>
            </w:r>
          </w:p>
        </w:tc>
        <w:tc>
          <w:tcPr>
            <w:tcW w:w="59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5"/>
              <w:spacing w:before="56" w:line="219" w:lineRule="auto"/>
              <w:ind w:left="120"/>
            </w:pPr>
            <w:r>
              <w:rPr>
                <w:spacing w:val="-2"/>
              </w:rPr>
              <w:t>预算</w:t>
            </w:r>
          </w:p>
          <w:p>
            <w:pPr>
              <w:pStyle w:val="5"/>
              <w:spacing w:before="58" w:line="219" w:lineRule="auto"/>
              <w:ind w:left="120"/>
            </w:pPr>
            <w:r>
              <w:rPr>
                <w:spacing w:val="-2"/>
              </w:rPr>
              <w:t>执行</w:t>
            </w:r>
          </w:p>
          <w:p>
            <w:pPr>
              <w:spacing w:line="293" w:lineRule="auto"/>
              <w:rPr>
                <w:rFonts w:ascii="Arial"/>
                <w:sz w:val="21"/>
              </w:rPr>
            </w:pPr>
          </w:p>
          <w:p>
            <w:pPr>
              <w:pStyle w:val="5"/>
              <w:spacing w:before="55" w:line="272" w:lineRule="auto"/>
              <w:ind w:left="161" w:right="140" w:firstLine="40"/>
            </w:pPr>
            <w:r>
              <w:rPr>
                <w:spacing w:val="-13"/>
              </w:rPr>
              <w:t>(20</w:t>
            </w:r>
            <w:r>
              <w:rPr>
                <w:spacing w:val="-8"/>
              </w:rPr>
              <w:t>分)</w:t>
            </w:r>
          </w:p>
        </w:tc>
        <w:tc>
          <w:tcPr>
            <w:tcW w:w="659" w:type="dxa"/>
            <w:vAlign w:val="top"/>
          </w:tcPr>
          <w:p>
            <w:pPr>
              <w:spacing w:line="274" w:lineRule="auto"/>
              <w:rPr>
                <w:rFonts w:ascii="Arial"/>
                <w:sz w:val="21"/>
              </w:rPr>
            </w:pPr>
          </w:p>
          <w:p>
            <w:pPr>
              <w:pStyle w:val="5"/>
              <w:spacing w:before="55" w:line="219" w:lineRule="auto"/>
              <w:ind w:left="151"/>
            </w:pPr>
            <w:r>
              <w:rPr>
                <w:spacing w:val="-2"/>
              </w:rPr>
              <w:t>预算</w:t>
            </w:r>
          </w:p>
          <w:p>
            <w:pPr>
              <w:pStyle w:val="5"/>
              <w:spacing w:before="48" w:line="295" w:lineRule="auto"/>
              <w:ind w:left="231" w:right="165" w:hanging="80"/>
            </w:pPr>
            <w:r>
              <w:rPr>
                <w:spacing w:val="-4"/>
              </w:rPr>
              <w:t>完成</w:t>
            </w:r>
            <w:r>
              <w:t>率</w:t>
            </w:r>
          </w:p>
        </w:tc>
        <w:tc>
          <w:tcPr>
            <w:tcW w:w="389" w:type="dxa"/>
            <w:vAlign w:val="top"/>
          </w:tcPr>
          <w:p>
            <w:pPr>
              <w:spacing w:line="269" w:lineRule="auto"/>
              <w:rPr>
                <w:rFonts w:ascii="Arial"/>
                <w:sz w:val="21"/>
              </w:rPr>
            </w:pPr>
          </w:p>
          <w:p>
            <w:pPr>
              <w:spacing w:line="269" w:lineRule="auto"/>
              <w:rPr>
                <w:rFonts w:ascii="Arial"/>
                <w:sz w:val="21"/>
              </w:rPr>
            </w:pPr>
          </w:p>
          <w:p>
            <w:pPr>
              <w:pStyle w:val="5"/>
              <w:spacing w:before="56"/>
              <w:ind w:left="143"/>
            </w:pPr>
            <w:r>
              <w:t>5</w:t>
            </w:r>
          </w:p>
        </w:tc>
        <w:tc>
          <w:tcPr>
            <w:tcW w:w="2786" w:type="dxa"/>
            <w:vAlign w:val="top"/>
          </w:tcPr>
          <w:p>
            <w:pPr>
              <w:spacing w:line="412" w:lineRule="auto"/>
              <w:rPr>
                <w:rFonts w:ascii="Arial"/>
                <w:sz w:val="21"/>
              </w:rPr>
            </w:pPr>
          </w:p>
          <w:p>
            <w:pPr>
              <w:pStyle w:val="5"/>
              <w:spacing w:before="55" w:line="263" w:lineRule="auto"/>
              <w:ind w:left="93" w:right="397" w:hanging="9"/>
            </w:pPr>
            <w:r>
              <w:rPr>
                <w:spacing w:val="-1"/>
              </w:rPr>
              <w:t>100%计满分，每低于5%扣2分，扣完为止。</w:t>
            </w:r>
          </w:p>
        </w:tc>
        <w:tc>
          <w:tcPr>
            <w:tcW w:w="1997" w:type="dxa"/>
            <w:vAlign w:val="top"/>
          </w:tcPr>
          <w:p>
            <w:pPr>
              <w:pStyle w:val="5"/>
              <w:spacing w:before="29" w:line="280" w:lineRule="auto"/>
              <w:ind w:left="88" w:right="125" w:firstLine="59"/>
              <w:jc w:val="both"/>
            </w:pPr>
            <w:r>
              <w:rPr>
                <w:spacing w:val="-1"/>
              </w:rPr>
              <w:t>预算完成率=(上年结转</w:t>
            </w:r>
            <w:r>
              <w:rPr>
                <w:spacing w:val="4"/>
              </w:rPr>
              <w:t>+年初预算+本年追加预算-年末结余)/(上年结</w:t>
            </w:r>
            <w:r>
              <w:rPr>
                <w:spacing w:val="6"/>
              </w:rPr>
              <w:t>转+年初预算+本年追加</w:t>
            </w:r>
            <w:r>
              <w:t>预算)×100%。</w:t>
            </w:r>
          </w:p>
        </w:tc>
        <w:tc>
          <w:tcPr>
            <w:tcW w:w="375" w:type="dxa"/>
            <w:vAlign w:val="top"/>
          </w:tcPr>
          <w:p>
            <w:pPr>
              <w:spacing w:line="269" w:lineRule="auto"/>
              <w:rPr>
                <w:rFonts w:ascii="Arial"/>
                <w:sz w:val="21"/>
              </w:rPr>
            </w:pPr>
          </w:p>
          <w:p>
            <w:pPr>
              <w:spacing w:line="269" w:lineRule="auto"/>
              <w:rPr>
                <w:rFonts w:ascii="Arial"/>
                <w:sz w:val="21"/>
              </w:rPr>
            </w:pPr>
          </w:p>
          <w:p>
            <w:pPr>
              <w:pStyle w:val="5"/>
              <w:spacing w:before="56"/>
              <w:ind w:left="14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604" w:type="dxa"/>
            <w:vMerge w:val="continue"/>
            <w:tcBorders>
              <w:top w:val="nil"/>
              <w:bottom w:val="nil"/>
            </w:tcBorders>
            <w:vAlign w:val="top"/>
          </w:tcPr>
          <w:p>
            <w:pPr>
              <w:rPr>
                <w:rFonts w:ascii="Arial"/>
                <w:sz w:val="21"/>
              </w:rPr>
            </w:pPr>
          </w:p>
        </w:tc>
        <w:tc>
          <w:tcPr>
            <w:tcW w:w="599" w:type="dxa"/>
            <w:vMerge w:val="continue"/>
            <w:tcBorders>
              <w:top w:val="nil"/>
              <w:bottom w:val="nil"/>
            </w:tcBorders>
            <w:vAlign w:val="top"/>
          </w:tcPr>
          <w:p>
            <w:pPr>
              <w:rPr>
                <w:rFonts w:ascii="Arial"/>
                <w:sz w:val="21"/>
              </w:rPr>
            </w:pPr>
          </w:p>
        </w:tc>
        <w:tc>
          <w:tcPr>
            <w:tcW w:w="659" w:type="dxa"/>
            <w:vAlign w:val="top"/>
          </w:tcPr>
          <w:p>
            <w:pPr>
              <w:pStyle w:val="5"/>
              <w:spacing w:before="180" w:line="295" w:lineRule="auto"/>
              <w:ind w:left="151" w:right="142"/>
              <w:jc w:val="both"/>
            </w:pPr>
            <w:r>
              <w:rPr>
                <w:spacing w:val="-4"/>
              </w:rPr>
              <w:t>预算</w:t>
            </w:r>
            <w:r>
              <w:rPr>
                <w:spacing w:val="7"/>
              </w:rPr>
              <w:t>控制</w:t>
            </w:r>
            <w:r>
              <w:rPr>
                <w:spacing w:val="29"/>
                <w:w w:val="125"/>
              </w:rPr>
              <w:t>率</w:t>
            </w:r>
          </w:p>
        </w:tc>
        <w:tc>
          <w:tcPr>
            <w:tcW w:w="389" w:type="dxa"/>
            <w:vAlign w:val="top"/>
          </w:tcPr>
          <w:p>
            <w:pPr>
              <w:spacing w:line="420" w:lineRule="auto"/>
              <w:rPr>
                <w:rFonts w:ascii="Arial"/>
                <w:sz w:val="21"/>
              </w:rPr>
            </w:pPr>
          </w:p>
          <w:p>
            <w:pPr>
              <w:pStyle w:val="5"/>
              <w:spacing w:before="55"/>
              <w:ind w:left="143"/>
            </w:pPr>
            <w:r>
              <w:t>5</w:t>
            </w:r>
          </w:p>
        </w:tc>
        <w:tc>
          <w:tcPr>
            <w:tcW w:w="2786" w:type="dxa"/>
            <w:vAlign w:val="top"/>
          </w:tcPr>
          <w:p>
            <w:pPr>
              <w:pStyle w:val="5"/>
              <w:spacing w:before="59" w:line="283" w:lineRule="auto"/>
              <w:ind w:left="124" w:right="47" w:hanging="10"/>
            </w:pPr>
            <w:r>
              <w:rPr>
                <w:spacing w:val="2"/>
              </w:rPr>
              <w:t>预算控制率=0,计5分；0-10%(含),</w:t>
            </w:r>
            <w:r>
              <w:rPr>
                <w:spacing w:val="22"/>
              </w:rPr>
              <w:t>计4分；10-20%(含),计3分；</w:t>
            </w:r>
          </w:p>
          <w:p>
            <w:pPr>
              <w:pStyle w:val="5"/>
              <w:spacing w:before="17" w:line="255" w:lineRule="auto"/>
              <w:ind w:left="83" w:right="67" w:hanging="20"/>
            </w:pPr>
            <w:r>
              <w:rPr>
                <w:spacing w:val="23"/>
              </w:rPr>
              <w:t>20-30%(含),计2分；大于30%</w:t>
            </w:r>
            <w:r>
              <w:rPr>
                <w:spacing w:val="-1"/>
              </w:rPr>
              <w:t>不得分。</w:t>
            </w:r>
          </w:p>
        </w:tc>
        <w:tc>
          <w:tcPr>
            <w:tcW w:w="1997" w:type="dxa"/>
            <w:vAlign w:val="top"/>
          </w:tcPr>
          <w:p>
            <w:pPr>
              <w:spacing w:line="254" w:lineRule="auto"/>
              <w:rPr>
                <w:rFonts w:ascii="Arial"/>
                <w:sz w:val="21"/>
              </w:rPr>
            </w:pPr>
          </w:p>
          <w:p>
            <w:pPr>
              <w:pStyle w:val="5"/>
              <w:spacing w:before="55" w:line="285" w:lineRule="auto"/>
              <w:ind w:left="98" w:right="13" w:firstLine="49"/>
            </w:pPr>
            <w:r>
              <w:rPr>
                <w:spacing w:val="1"/>
              </w:rPr>
              <w:t>预算控制率=(本年追加</w:t>
            </w:r>
            <w:r>
              <w:t>预算/年初预算)×100%。</w:t>
            </w:r>
          </w:p>
        </w:tc>
        <w:tc>
          <w:tcPr>
            <w:tcW w:w="375" w:type="dxa"/>
            <w:vAlign w:val="top"/>
          </w:tcPr>
          <w:p>
            <w:pPr>
              <w:spacing w:line="420" w:lineRule="auto"/>
              <w:rPr>
                <w:rFonts w:ascii="Arial"/>
                <w:sz w:val="21"/>
              </w:rPr>
            </w:pPr>
          </w:p>
          <w:p>
            <w:pPr>
              <w:pStyle w:val="5"/>
              <w:spacing w:before="55"/>
              <w:ind w:left="14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04" w:type="dxa"/>
            <w:vMerge w:val="continue"/>
            <w:tcBorders>
              <w:top w:val="nil"/>
              <w:bottom w:val="nil"/>
            </w:tcBorders>
            <w:vAlign w:val="top"/>
          </w:tcPr>
          <w:p>
            <w:pPr>
              <w:rPr>
                <w:rFonts w:ascii="Arial"/>
                <w:sz w:val="21"/>
              </w:rPr>
            </w:pPr>
          </w:p>
        </w:tc>
        <w:tc>
          <w:tcPr>
            <w:tcW w:w="599" w:type="dxa"/>
            <w:vMerge w:val="continue"/>
            <w:tcBorders>
              <w:top w:val="nil"/>
              <w:bottom w:val="nil"/>
            </w:tcBorders>
            <w:vAlign w:val="top"/>
          </w:tcPr>
          <w:p>
            <w:pPr>
              <w:rPr>
                <w:rFonts w:ascii="Arial"/>
                <w:sz w:val="21"/>
              </w:rPr>
            </w:pPr>
          </w:p>
        </w:tc>
        <w:tc>
          <w:tcPr>
            <w:tcW w:w="659" w:type="dxa"/>
            <w:vAlign w:val="top"/>
          </w:tcPr>
          <w:p>
            <w:pPr>
              <w:pStyle w:val="5"/>
              <w:spacing w:before="51" w:line="280" w:lineRule="auto"/>
              <w:ind w:left="151" w:right="142"/>
              <w:jc w:val="both"/>
            </w:pPr>
            <w:r>
              <w:rPr>
                <w:spacing w:val="-4"/>
              </w:rPr>
              <w:t>新建</w:t>
            </w:r>
            <w:r>
              <w:rPr>
                <w:spacing w:val="-3"/>
              </w:rPr>
              <w:t>楼堂馆所</w:t>
            </w:r>
            <w:r>
              <w:rPr>
                <w:spacing w:val="-4"/>
              </w:rPr>
              <w:t>面积</w:t>
            </w:r>
            <w:r>
              <w:rPr>
                <w:spacing w:val="7"/>
              </w:rPr>
              <w:t>控制</w:t>
            </w:r>
            <w:r>
              <w:rPr>
                <w:spacing w:val="29"/>
                <w:w w:val="125"/>
              </w:rPr>
              <w:t>率</w:t>
            </w:r>
          </w:p>
        </w:tc>
        <w:tc>
          <w:tcPr>
            <w:tcW w:w="389" w:type="dxa"/>
            <w:vAlign w:val="top"/>
          </w:tcPr>
          <w:p>
            <w:pPr>
              <w:spacing w:line="340" w:lineRule="auto"/>
              <w:rPr>
                <w:rFonts w:ascii="Arial"/>
                <w:sz w:val="21"/>
              </w:rPr>
            </w:pPr>
          </w:p>
          <w:p>
            <w:pPr>
              <w:spacing w:line="340" w:lineRule="auto"/>
              <w:rPr>
                <w:rFonts w:ascii="Arial"/>
                <w:sz w:val="21"/>
              </w:rPr>
            </w:pPr>
          </w:p>
          <w:p>
            <w:pPr>
              <w:pStyle w:val="5"/>
              <w:spacing w:before="55"/>
              <w:ind w:left="143"/>
            </w:pPr>
            <w:r>
              <w:t>5</w:t>
            </w:r>
          </w:p>
        </w:tc>
        <w:tc>
          <w:tcPr>
            <w:tcW w:w="2786" w:type="dxa"/>
            <w:vAlign w:val="top"/>
          </w:tcPr>
          <w:p>
            <w:pPr>
              <w:spacing w:line="385" w:lineRule="auto"/>
              <w:rPr>
                <w:rFonts w:ascii="Arial"/>
                <w:sz w:val="21"/>
              </w:rPr>
            </w:pPr>
          </w:p>
          <w:p>
            <w:pPr>
              <w:pStyle w:val="5"/>
              <w:spacing w:before="56" w:line="289" w:lineRule="auto"/>
              <w:ind w:left="93" w:right="166" w:firstLine="100"/>
              <w:jc w:val="both"/>
            </w:pPr>
            <w:r>
              <w:t>100%以下(含)计满分，每超出5%</w:t>
            </w:r>
            <w:r>
              <w:rPr>
                <w:spacing w:val="3"/>
              </w:rPr>
              <w:t>扣2分，扣完为止。没有楼堂馆所</w:t>
            </w:r>
            <w:r>
              <w:rPr>
                <w:spacing w:val="-1"/>
              </w:rPr>
              <w:t>项目的部门按满分计算。</w:t>
            </w:r>
          </w:p>
        </w:tc>
        <w:tc>
          <w:tcPr>
            <w:tcW w:w="1997" w:type="dxa"/>
            <w:vAlign w:val="top"/>
          </w:tcPr>
          <w:p>
            <w:pPr>
              <w:pStyle w:val="5"/>
              <w:spacing w:before="53" w:line="219" w:lineRule="auto"/>
              <w:ind w:left="98"/>
            </w:pPr>
            <w:r>
              <w:rPr>
                <w:spacing w:val="-1"/>
              </w:rPr>
              <w:t>楼堂馆所面积控制率=</w:t>
            </w:r>
          </w:p>
          <w:p>
            <w:pPr>
              <w:pStyle w:val="5"/>
              <w:spacing w:before="69" w:line="287" w:lineRule="auto"/>
              <w:ind w:left="98" w:right="91"/>
            </w:pPr>
            <w:r>
              <w:rPr>
                <w:spacing w:val="1"/>
              </w:rPr>
              <w:t>实际建设面积/批准建设</w:t>
            </w:r>
            <w:r>
              <w:rPr>
                <w:spacing w:val="-1"/>
              </w:rPr>
              <w:t>面积×100%。</w:t>
            </w:r>
          </w:p>
          <w:p>
            <w:pPr>
              <w:pStyle w:val="5"/>
              <w:spacing w:before="2" w:line="269" w:lineRule="auto"/>
              <w:ind w:left="98" w:right="115" w:firstLine="49"/>
            </w:pPr>
            <w:r>
              <w:rPr>
                <w:spacing w:val="1"/>
              </w:rPr>
              <w:t>该指标以2021年完工的</w:t>
            </w:r>
            <w:r>
              <w:rPr>
                <w:spacing w:val="7"/>
              </w:rPr>
              <w:t>新建楼堂馆所为评价内</w:t>
            </w:r>
            <w:r>
              <w:rPr>
                <w:spacing w:val="-2"/>
              </w:rPr>
              <w:t>容。</w:t>
            </w:r>
          </w:p>
        </w:tc>
        <w:tc>
          <w:tcPr>
            <w:tcW w:w="375"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5"/>
              <w:spacing w:before="55"/>
              <w:ind w:left="14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604" w:type="dxa"/>
            <w:vMerge w:val="continue"/>
            <w:tcBorders>
              <w:top w:val="nil"/>
            </w:tcBorders>
            <w:vAlign w:val="top"/>
          </w:tcPr>
          <w:p>
            <w:pPr>
              <w:rPr>
                <w:rFonts w:ascii="Arial"/>
                <w:sz w:val="21"/>
              </w:rPr>
            </w:pPr>
          </w:p>
        </w:tc>
        <w:tc>
          <w:tcPr>
            <w:tcW w:w="599" w:type="dxa"/>
            <w:vMerge w:val="continue"/>
            <w:tcBorders>
              <w:top w:val="nil"/>
            </w:tcBorders>
            <w:vAlign w:val="top"/>
          </w:tcPr>
          <w:p>
            <w:pPr>
              <w:rPr>
                <w:rFonts w:ascii="Arial"/>
                <w:sz w:val="21"/>
              </w:rPr>
            </w:pPr>
          </w:p>
        </w:tc>
        <w:tc>
          <w:tcPr>
            <w:tcW w:w="659" w:type="dxa"/>
            <w:vAlign w:val="top"/>
          </w:tcPr>
          <w:p>
            <w:pPr>
              <w:pStyle w:val="5"/>
              <w:spacing w:before="38" w:line="283" w:lineRule="auto"/>
              <w:ind w:left="151" w:right="142"/>
              <w:jc w:val="both"/>
            </w:pPr>
            <w:r>
              <w:rPr>
                <w:spacing w:val="-4"/>
              </w:rPr>
              <w:t>新建</w:t>
            </w:r>
            <w:r>
              <w:rPr>
                <w:spacing w:val="-3"/>
              </w:rPr>
              <w:t>楼堂馆所</w:t>
            </w:r>
            <w:r>
              <w:rPr>
                <w:spacing w:val="6"/>
              </w:rPr>
              <w:t>投资</w:t>
            </w:r>
            <w:r>
              <w:rPr>
                <w:spacing w:val="-4"/>
              </w:rPr>
              <w:t>概算</w:t>
            </w:r>
            <w:r>
              <w:rPr>
                <w:spacing w:val="7"/>
              </w:rPr>
              <w:t>控制</w:t>
            </w:r>
            <w:r>
              <w:rPr>
                <w:spacing w:val="29"/>
                <w:w w:val="125"/>
              </w:rPr>
              <w:t>率</w:t>
            </w:r>
          </w:p>
        </w:tc>
        <w:tc>
          <w:tcPr>
            <w:tcW w:w="38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5"/>
              <w:spacing w:before="55"/>
              <w:ind w:left="143"/>
            </w:pPr>
            <w:r>
              <w:t>5</w:t>
            </w:r>
          </w:p>
        </w:tc>
        <w:tc>
          <w:tcPr>
            <w:tcW w:w="2786" w:type="dxa"/>
            <w:vAlign w:val="top"/>
          </w:tcPr>
          <w:p>
            <w:pPr>
              <w:spacing w:line="327" w:lineRule="auto"/>
              <w:rPr>
                <w:rFonts w:ascii="Arial"/>
                <w:sz w:val="21"/>
              </w:rPr>
            </w:pPr>
          </w:p>
          <w:p>
            <w:pPr>
              <w:spacing w:line="328" w:lineRule="auto"/>
              <w:rPr>
                <w:rFonts w:ascii="Arial"/>
                <w:sz w:val="21"/>
              </w:rPr>
            </w:pPr>
          </w:p>
          <w:p>
            <w:pPr>
              <w:pStyle w:val="5"/>
              <w:spacing w:before="56" w:line="306" w:lineRule="auto"/>
              <w:ind w:left="103" w:right="198" w:firstLine="89"/>
            </w:pPr>
            <w:r>
              <w:t>100%以下(含)计满分，每超出5%</w:t>
            </w:r>
            <w:r>
              <w:rPr>
                <w:spacing w:val="-1"/>
              </w:rPr>
              <w:t>扣2分，扣完为止。</w:t>
            </w:r>
          </w:p>
        </w:tc>
        <w:tc>
          <w:tcPr>
            <w:tcW w:w="1997" w:type="dxa"/>
            <w:vAlign w:val="top"/>
          </w:tcPr>
          <w:p>
            <w:pPr>
              <w:pStyle w:val="5"/>
              <w:spacing w:before="195" w:line="289" w:lineRule="auto"/>
              <w:ind w:left="98" w:right="124" w:firstLine="49"/>
              <w:jc w:val="both"/>
            </w:pPr>
            <w:r>
              <w:rPr>
                <w:spacing w:val="1"/>
              </w:rPr>
              <w:t>楼堂馆所投资预算控制</w:t>
            </w:r>
            <w:r>
              <w:rPr>
                <w:spacing w:val="3"/>
              </w:rPr>
              <w:t>率=实际投资金额/批准</w:t>
            </w:r>
            <w:r>
              <w:rPr>
                <w:spacing w:val="-1"/>
              </w:rPr>
              <w:t>投资金额×100%。</w:t>
            </w:r>
          </w:p>
          <w:p>
            <w:pPr>
              <w:pStyle w:val="5"/>
              <w:spacing w:before="10" w:line="290" w:lineRule="auto"/>
              <w:ind w:left="98" w:right="115" w:firstLine="49"/>
              <w:jc w:val="both"/>
            </w:pPr>
            <w:r>
              <w:rPr>
                <w:spacing w:val="1"/>
              </w:rPr>
              <w:t>该指标以2021年完工的</w:t>
            </w:r>
            <w:r>
              <w:rPr>
                <w:spacing w:val="7"/>
              </w:rPr>
              <w:t>新建楼堂馆所为评价内</w:t>
            </w:r>
            <w:r>
              <w:rPr>
                <w:spacing w:val="-2"/>
              </w:rPr>
              <w:t>容。</w:t>
            </w:r>
          </w:p>
        </w:tc>
        <w:tc>
          <w:tcPr>
            <w:tcW w:w="375"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5"/>
              <w:spacing w:before="55"/>
              <w:ind w:left="140"/>
            </w:pPr>
            <w:r>
              <w:t>5</w:t>
            </w:r>
          </w:p>
        </w:tc>
      </w:tr>
    </w:tbl>
    <w:p>
      <w:pPr>
        <w:pStyle w:val="2"/>
      </w:pPr>
    </w:p>
    <w:p>
      <w:pPr>
        <w:sectPr>
          <w:footerReference r:id="rId5" w:type="default"/>
          <w:pgSz w:w="12240" w:h="15840"/>
          <w:pgMar w:top="1346" w:right="1836" w:bottom="400" w:left="1836" w:header="0" w:footer="0" w:gutter="0"/>
          <w:cols w:space="720" w:num="1"/>
        </w:sectPr>
      </w:pPr>
    </w:p>
    <w:p>
      <w:pPr>
        <w:spacing w:before="60"/>
      </w:pPr>
    </w:p>
    <w:p>
      <w:pPr>
        <w:spacing w:before="60"/>
      </w:pPr>
    </w:p>
    <w:p>
      <w:pPr>
        <w:spacing w:before="60"/>
      </w:pPr>
    </w:p>
    <w:p>
      <w:pPr>
        <w:spacing w:before="59"/>
      </w:pPr>
    </w:p>
    <w:tbl>
      <w:tblPr>
        <w:tblStyle w:val="6"/>
        <w:tblW w:w="7816" w:type="dxa"/>
        <w:tblInd w:w="1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579"/>
        <w:gridCol w:w="659"/>
        <w:gridCol w:w="370"/>
        <w:gridCol w:w="2756"/>
        <w:gridCol w:w="1977"/>
        <w:gridCol w:w="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36" w:type="dxa"/>
            <w:vAlign w:val="top"/>
          </w:tcPr>
          <w:p>
            <w:pPr>
              <w:pStyle w:val="5"/>
              <w:spacing w:before="54" w:line="221" w:lineRule="auto"/>
              <w:ind w:left="115"/>
            </w:pPr>
            <w:r>
              <w:rPr>
                <w:spacing w:val="-5"/>
              </w:rPr>
              <w:t>一级</w:t>
            </w:r>
          </w:p>
          <w:p>
            <w:pPr>
              <w:pStyle w:val="5"/>
              <w:spacing w:before="64" w:line="219" w:lineRule="auto"/>
              <w:ind w:left="115"/>
            </w:pPr>
            <w:r>
              <w:rPr>
                <w:spacing w:val="-3"/>
              </w:rPr>
              <w:t>指标</w:t>
            </w:r>
          </w:p>
        </w:tc>
        <w:tc>
          <w:tcPr>
            <w:tcW w:w="579" w:type="dxa"/>
            <w:vAlign w:val="top"/>
          </w:tcPr>
          <w:p>
            <w:pPr>
              <w:pStyle w:val="5"/>
              <w:spacing w:before="44" w:line="221" w:lineRule="auto"/>
              <w:ind w:left="111"/>
            </w:pPr>
            <w:r>
              <w:rPr>
                <w:spacing w:val="-3"/>
              </w:rPr>
              <w:t>二级</w:t>
            </w:r>
          </w:p>
          <w:p>
            <w:pPr>
              <w:pStyle w:val="5"/>
              <w:spacing w:before="64" w:line="220" w:lineRule="auto"/>
              <w:ind w:left="111"/>
            </w:pPr>
            <w:r>
              <w:rPr>
                <w:spacing w:val="-3"/>
              </w:rPr>
              <w:t>指标</w:t>
            </w:r>
          </w:p>
        </w:tc>
        <w:tc>
          <w:tcPr>
            <w:tcW w:w="659" w:type="dxa"/>
            <w:vAlign w:val="top"/>
          </w:tcPr>
          <w:p>
            <w:pPr>
              <w:pStyle w:val="5"/>
              <w:spacing w:before="54" w:line="221" w:lineRule="auto"/>
              <w:ind w:left="151"/>
            </w:pPr>
            <w:r>
              <w:rPr>
                <w:spacing w:val="-2"/>
              </w:rPr>
              <w:t>三级</w:t>
            </w:r>
          </w:p>
          <w:p>
            <w:pPr>
              <w:pStyle w:val="5"/>
              <w:spacing w:before="64" w:line="219" w:lineRule="auto"/>
              <w:ind w:left="151"/>
            </w:pPr>
            <w:r>
              <w:rPr>
                <w:spacing w:val="-3"/>
              </w:rPr>
              <w:t>指标</w:t>
            </w:r>
          </w:p>
        </w:tc>
        <w:tc>
          <w:tcPr>
            <w:tcW w:w="370" w:type="dxa"/>
            <w:textDirection w:val="tbRlV"/>
            <w:vAlign w:val="top"/>
          </w:tcPr>
          <w:p>
            <w:pPr>
              <w:pStyle w:val="5"/>
              <w:spacing w:before="103" w:line="201" w:lineRule="auto"/>
              <w:ind w:left="4"/>
            </w:pPr>
            <w:r>
              <w:t>分值</w:t>
            </w:r>
          </w:p>
        </w:tc>
        <w:tc>
          <w:tcPr>
            <w:tcW w:w="2756" w:type="dxa"/>
            <w:vAlign w:val="top"/>
          </w:tcPr>
          <w:p>
            <w:pPr>
              <w:pStyle w:val="5"/>
              <w:spacing w:before="180" w:line="218" w:lineRule="auto"/>
              <w:ind w:left="1033"/>
            </w:pPr>
            <w:r>
              <w:rPr>
                <w:spacing w:val="-2"/>
              </w:rPr>
              <w:t>评价标准</w:t>
            </w:r>
          </w:p>
        </w:tc>
        <w:tc>
          <w:tcPr>
            <w:tcW w:w="1977" w:type="dxa"/>
            <w:vAlign w:val="top"/>
          </w:tcPr>
          <w:p>
            <w:pPr>
              <w:pStyle w:val="5"/>
              <w:spacing w:before="182" w:line="219" w:lineRule="auto"/>
              <w:ind w:left="647"/>
            </w:pPr>
            <w:r>
              <w:rPr>
                <w:spacing w:val="4"/>
              </w:rPr>
              <w:t>指标说明</w:t>
            </w:r>
          </w:p>
        </w:tc>
        <w:tc>
          <w:tcPr>
            <w:tcW w:w="639" w:type="dxa"/>
            <w:textDirection w:val="tbRlV"/>
            <w:vAlign w:val="top"/>
          </w:tcPr>
          <w:p>
            <w:pPr>
              <w:pStyle w:val="5"/>
              <w:spacing w:before="101" w:line="200" w:lineRule="auto"/>
              <w:ind w:left="6"/>
            </w:pPr>
            <w: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836" w:type="dxa"/>
            <w:vMerge w:val="restart"/>
            <w:tcBorders>
              <w:bottom w:val="nil"/>
            </w:tcBorders>
            <w:vAlign w:val="top"/>
          </w:tcPr>
          <w:p>
            <w:pPr>
              <w:rPr>
                <w:rFonts w:ascii="Arial"/>
                <w:sz w:val="21"/>
              </w:rPr>
            </w:pPr>
          </w:p>
        </w:tc>
        <w:tc>
          <w:tcPr>
            <w:tcW w:w="579"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5"/>
              <w:spacing w:before="56" w:line="219" w:lineRule="auto"/>
              <w:ind w:left="111"/>
            </w:pPr>
            <w:r>
              <w:rPr>
                <w:spacing w:val="-2"/>
              </w:rPr>
              <w:t>预算</w:t>
            </w:r>
          </w:p>
          <w:p>
            <w:pPr>
              <w:pStyle w:val="5"/>
              <w:spacing w:before="78" w:line="219" w:lineRule="auto"/>
              <w:ind w:left="111"/>
            </w:pPr>
            <w:r>
              <w:rPr>
                <w:spacing w:val="-3"/>
              </w:rPr>
              <w:t>管理</w:t>
            </w:r>
          </w:p>
          <w:p>
            <w:pPr>
              <w:spacing w:line="274" w:lineRule="auto"/>
              <w:rPr>
                <w:rFonts w:ascii="Arial"/>
                <w:sz w:val="21"/>
              </w:rPr>
            </w:pPr>
          </w:p>
          <w:p>
            <w:pPr>
              <w:pStyle w:val="5"/>
              <w:spacing w:before="55" w:line="293" w:lineRule="auto"/>
              <w:ind w:left="151" w:right="130" w:firstLine="19"/>
            </w:pPr>
            <w:r>
              <w:rPr>
                <w:spacing w:val="-13"/>
              </w:rPr>
              <w:t>(40</w:t>
            </w:r>
            <w:r>
              <w:rPr>
                <w:spacing w:val="-8"/>
              </w:rPr>
              <w:t>分)</w:t>
            </w:r>
          </w:p>
        </w:tc>
        <w:tc>
          <w:tcPr>
            <w:tcW w:w="659" w:type="dxa"/>
            <w:vAlign w:val="top"/>
          </w:tcPr>
          <w:p>
            <w:pPr>
              <w:spacing w:line="460" w:lineRule="auto"/>
              <w:rPr>
                <w:rFonts w:ascii="Arial"/>
                <w:sz w:val="21"/>
              </w:rPr>
            </w:pPr>
          </w:p>
          <w:p>
            <w:pPr>
              <w:pStyle w:val="5"/>
              <w:spacing w:before="55" w:line="294" w:lineRule="auto"/>
              <w:ind w:left="151" w:right="136"/>
              <w:jc w:val="both"/>
            </w:pPr>
            <w:r>
              <w:rPr>
                <w:spacing w:val="10"/>
              </w:rPr>
              <w:t>公用</w:t>
            </w:r>
            <w:r>
              <w:rPr>
                <w:spacing w:val="-4"/>
              </w:rPr>
              <w:t>经费</w:t>
            </w:r>
            <w:r>
              <w:rPr>
                <w:spacing w:val="7"/>
              </w:rPr>
              <w:t>控制</w:t>
            </w:r>
            <w:r>
              <w:rPr>
                <w:spacing w:val="29"/>
                <w:w w:val="125"/>
              </w:rPr>
              <w:t>率</w:t>
            </w:r>
          </w:p>
        </w:tc>
        <w:tc>
          <w:tcPr>
            <w:tcW w:w="370"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5"/>
              <w:spacing w:before="56"/>
              <w:ind w:left="133"/>
            </w:pPr>
            <w:r>
              <w:t>8</w:t>
            </w:r>
          </w:p>
        </w:tc>
        <w:tc>
          <w:tcPr>
            <w:tcW w:w="27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5"/>
              <w:spacing w:before="55" w:line="295" w:lineRule="auto"/>
              <w:ind w:left="73" w:right="178" w:firstLine="110"/>
            </w:pPr>
            <w:r>
              <w:t>100%以下(含)计满分，每超出1%</w:t>
            </w:r>
            <w:r>
              <w:rPr>
                <w:spacing w:val="-1"/>
              </w:rPr>
              <w:t>扣1分，扣完为止。</w:t>
            </w:r>
          </w:p>
        </w:tc>
        <w:tc>
          <w:tcPr>
            <w:tcW w:w="1977" w:type="dxa"/>
            <w:vAlign w:val="top"/>
          </w:tcPr>
          <w:p>
            <w:pPr>
              <w:pStyle w:val="5"/>
              <w:spacing w:before="119" w:line="305" w:lineRule="auto"/>
              <w:ind w:left="87" w:right="82" w:firstLine="49"/>
            </w:pPr>
            <w:r>
              <w:rPr>
                <w:spacing w:val="-2"/>
              </w:rPr>
              <w:t>公用经费控制率=(实际</w:t>
            </w:r>
            <w:r>
              <w:rPr>
                <w:spacing w:val="1"/>
              </w:rPr>
              <w:t>支出公用经费总额/预算</w:t>
            </w:r>
            <w:r>
              <w:rPr>
                <w:spacing w:val="5"/>
              </w:rPr>
              <w:t>安排公用经费总额)</w:t>
            </w:r>
          </w:p>
          <w:p>
            <w:pPr>
              <w:pStyle w:val="5"/>
              <w:spacing w:before="13" w:line="237" w:lineRule="auto"/>
              <w:ind w:left="87"/>
            </w:pPr>
            <w:r>
              <w:rPr>
                <w:spacing w:val="-7"/>
              </w:rPr>
              <w:t>×100%。</w:t>
            </w:r>
          </w:p>
          <w:p>
            <w:pPr>
              <w:pStyle w:val="5"/>
              <w:spacing w:before="15" w:line="289" w:lineRule="auto"/>
              <w:ind w:left="87" w:right="110" w:firstLine="49"/>
            </w:pPr>
            <w:r>
              <w:rPr>
                <w:spacing w:val="1"/>
              </w:rPr>
              <w:t>公用经费支出是指部门</w:t>
            </w:r>
            <w:r>
              <w:rPr>
                <w:spacing w:val="6"/>
              </w:rPr>
              <w:t>基本支出中的一般商品</w:t>
            </w:r>
            <w:r>
              <w:rPr>
                <w:spacing w:val="-1"/>
              </w:rPr>
              <w:t>和服务支出。</w:t>
            </w:r>
          </w:p>
        </w:tc>
        <w:tc>
          <w:tcPr>
            <w:tcW w:w="639"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5"/>
              <w:spacing w:before="56"/>
              <w:ind w:left="140"/>
            </w:pPr>
            <w: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836" w:type="dxa"/>
            <w:vMerge w:val="continue"/>
            <w:tcBorders>
              <w:top w:val="nil"/>
              <w:bottom w:val="nil"/>
            </w:tcBorders>
            <w:vAlign w:val="top"/>
          </w:tcPr>
          <w:p>
            <w:pPr>
              <w:rPr>
                <w:rFonts w:ascii="Arial"/>
                <w:sz w:val="21"/>
              </w:rPr>
            </w:pPr>
          </w:p>
        </w:tc>
        <w:tc>
          <w:tcPr>
            <w:tcW w:w="579" w:type="dxa"/>
            <w:vMerge w:val="continue"/>
            <w:tcBorders>
              <w:top w:val="nil"/>
              <w:bottom w:val="nil"/>
            </w:tcBorders>
            <w:vAlign w:val="top"/>
          </w:tcPr>
          <w:p>
            <w:pPr>
              <w:rPr>
                <w:rFonts w:ascii="Arial"/>
                <w:sz w:val="21"/>
              </w:rPr>
            </w:pPr>
          </w:p>
        </w:tc>
        <w:tc>
          <w:tcPr>
            <w:tcW w:w="659" w:type="dxa"/>
            <w:vAlign w:val="top"/>
          </w:tcPr>
          <w:p>
            <w:pPr>
              <w:pStyle w:val="5"/>
              <w:spacing w:before="221" w:line="272" w:lineRule="auto"/>
              <w:ind w:left="71" w:hanging="72"/>
            </w:pPr>
            <w:r>
              <w:rPr>
                <w:spacing w:val="-13"/>
              </w:rPr>
              <w:t>“三公</w:t>
            </w:r>
            <w:r>
              <w:rPr>
                <w:spacing w:val="2"/>
              </w:rPr>
              <w:t>经费”</w:t>
            </w:r>
          </w:p>
          <w:p>
            <w:pPr>
              <w:pStyle w:val="5"/>
              <w:spacing w:before="57" w:line="284" w:lineRule="auto"/>
              <w:ind w:left="231" w:right="142" w:hanging="80"/>
            </w:pPr>
            <w:r>
              <w:rPr>
                <w:spacing w:val="7"/>
              </w:rPr>
              <w:t>控制</w:t>
            </w:r>
            <w:r>
              <w:t>率</w:t>
            </w:r>
          </w:p>
        </w:tc>
        <w:tc>
          <w:tcPr>
            <w:tcW w:w="370" w:type="dxa"/>
            <w:vAlign w:val="top"/>
          </w:tcPr>
          <w:p>
            <w:pPr>
              <w:spacing w:line="293" w:lineRule="auto"/>
              <w:rPr>
                <w:rFonts w:ascii="Arial"/>
                <w:sz w:val="21"/>
              </w:rPr>
            </w:pPr>
          </w:p>
          <w:p>
            <w:pPr>
              <w:spacing w:line="294" w:lineRule="auto"/>
              <w:rPr>
                <w:rFonts w:ascii="Arial"/>
                <w:sz w:val="21"/>
              </w:rPr>
            </w:pPr>
          </w:p>
          <w:p>
            <w:pPr>
              <w:pStyle w:val="5"/>
              <w:spacing w:before="55"/>
              <w:ind w:left="133"/>
            </w:pPr>
            <w:r>
              <w:t>7</w:t>
            </w:r>
          </w:p>
        </w:tc>
        <w:tc>
          <w:tcPr>
            <w:tcW w:w="2756" w:type="dxa"/>
            <w:vAlign w:val="top"/>
          </w:tcPr>
          <w:p>
            <w:pPr>
              <w:spacing w:line="441" w:lineRule="auto"/>
              <w:rPr>
                <w:rFonts w:ascii="Arial"/>
                <w:sz w:val="21"/>
              </w:rPr>
            </w:pPr>
          </w:p>
          <w:p>
            <w:pPr>
              <w:pStyle w:val="5"/>
              <w:spacing w:before="56" w:line="306" w:lineRule="auto"/>
              <w:ind w:left="83" w:right="178" w:firstLine="100"/>
            </w:pPr>
            <w:r>
              <w:t>100%以下(含)计满分，每超出1%</w:t>
            </w:r>
            <w:r>
              <w:rPr>
                <w:spacing w:val="-1"/>
              </w:rPr>
              <w:t>扣1分，扣完为止。</w:t>
            </w:r>
          </w:p>
        </w:tc>
        <w:tc>
          <w:tcPr>
            <w:tcW w:w="1977" w:type="dxa"/>
            <w:vAlign w:val="top"/>
          </w:tcPr>
          <w:p>
            <w:pPr>
              <w:pStyle w:val="5"/>
              <w:spacing w:before="230" w:line="219" w:lineRule="auto"/>
              <w:jc w:val="right"/>
            </w:pPr>
            <w:r>
              <w:rPr>
                <w:spacing w:val="-6"/>
              </w:rPr>
              <w:t>“三公经费”控制率-(“三</w:t>
            </w:r>
          </w:p>
          <w:p>
            <w:pPr>
              <w:pStyle w:val="5"/>
              <w:spacing w:before="68" w:line="295" w:lineRule="auto"/>
              <w:ind w:left="176" w:right="61" w:hanging="129"/>
            </w:pPr>
            <w:r>
              <w:rPr>
                <w:spacing w:val="-2"/>
              </w:rPr>
              <w:t>公经费”实际支出数“三</w:t>
            </w:r>
            <w:r>
              <w:rPr>
                <w:spacing w:val="3"/>
              </w:rPr>
              <w:t>公经费”预算安排数)</w:t>
            </w:r>
          </w:p>
          <w:p>
            <w:pPr>
              <w:pStyle w:val="5"/>
              <w:spacing w:before="23" w:line="237" w:lineRule="auto"/>
              <w:ind w:left="87"/>
            </w:pPr>
            <w:r>
              <w:rPr>
                <w:spacing w:val="-7"/>
              </w:rPr>
              <w:t>×100%。</w:t>
            </w:r>
          </w:p>
        </w:tc>
        <w:tc>
          <w:tcPr>
            <w:tcW w:w="639" w:type="dxa"/>
            <w:vAlign w:val="top"/>
          </w:tcPr>
          <w:p>
            <w:pPr>
              <w:spacing w:line="303" w:lineRule="auto"/>
              <w:rPr>
                <w:rFonts w:ascii="Arial"/>
                <w:sz w:val="21"/>
              </w:rPr>
            </w:pPr>
          </w:p>
          <w:p>
            <w:pPr>
              <w:spacing w:line="304" w:lineRule="auto"/>
              <w:rPr>
                <w:rFonts w:ascii="Arial"/>
                <w:sz w:val="21"/>
              </w:rPr>
            </w:pPr>
          </w:p>
          <w:p>
            <w:pPr>
              <w:pStyle w:val="5"/>
              <w:spacing w:before="56" w:line="239" w:lineRule="auto"/>
            </w:pPr>
            <w:r>
              <w:rPr>
                <w:spacing w:val="-2"/>
              </w:rPr>
              <w:t>6.</w:t>
            </w: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836" w:type="dxa"/>
            <w:vMerge w:val="continue"/>
            <w:tcBorders>
              <w:top w:val="nil"/>
              <w:bottom w:val="nil"/>
            </w:tcBorders>
            <w:vAlign w:val="top"/>
          </w:tcPr>
          <w:p>
            <w:pPr>
              <w:rPr>
                <w:rFonts w:ascii="Arial"/>
                <w:sz w:val="21"/>
              </w:rPr>
            </w:pPr>
          </w:p>
        </w:tc>
        <w:tc>
          <w:tcPr>
            <w:tcW w:w="579" w:type="dxa"/>
            <w:vMerge w:val="continue"/>
            <w:tcBorders>
              <w:top w:val="nil"/>
              <w:bottom w:val="nil"/>
            </w:tcBorders>
            <w:vAlign w:val="top"/>
          </w:tcPr>
          <w:p>
            <w:pPr>
              <w:rPr>
                <w:rFonts w:ascii="Arial"/>
                <w:sz w:val="21"/>
              </w:rPr>
            </w:pPr>
          </w:p>
        </w:tc>
        <w:tc>
          <w:tcPr>
            <w:tcW w:w="659" w:type="dxa"/>
            <w:vAlign w:val="top"/>
          </w:tcPr>
          <w:p>
            <w:pPr>
              <w:pStyle w:val="5"/>
              <w:spacing w:before="160" w:line="219" w:lineRule="auto"/>
              <w:ind w:left="151"/>
            </w:pPr>
            <w:r>
              <w:rPr>
                <w:spacing w:val="-2"/>
              </w:rPr>
              <w:t>政府</w:t>
            </w:r>
          </w:p>
          <w:p>
            <w:pPr>
              <w:pStyle w:val="5"/>
              <w:spacing w:before="68" w:line="219" w:lineRule="auto"/>
              <w:ind w:left="151"/>
            </w:pPr>
            <w:r>
              <w:rPr>
                <w:spacing w:val="-2"/>
              </w:rPr>
              <w:t>采购</w:t>
            </w:r>
          </w:p>
          <w:p>
            <w:pPr>
              <w:pStyle w:val="5"/>
              <w:spacing w:before="68" w:line="285" w:lineRule="auto"/>
              <w:ind w:left="231" w:right="163" w:hanging="80"/>
            </w:pPr>
            <w:r>
              <w:rPr>
                <w:spacing w:val="-4"/>
              </w:rPr>
              <w:t>执行</w:t>
            </w:r>
            <w:r>
              <w:t>率</w:t>
            </w:r>
          </w:p>
        </w:tc>
        <w:tc>
          <w:tcPr>
            <w:tcW w:w="370" w:type="dxa"/>
            <w:vAlign w:val="top"/>
          </w:tcPr>
          <w:p>
            <w:pPr>
              <w:spacing w:line="260" w:lineRule="auto"/>
              <w:rPr>
                <w:rFonts w:ascii="Arial"/>
                <w:sz w:val="21"/>
              </w:rPr>
            </w:pPr>
          </w:p>
          <w:p>
            <w:pPr>
              <w:spacing w:line="260" w:lineRule="auto"/>
              <w:rPr>
                <w:rFonts w:ascii="Arial"/>
                <w:sz w:val="21"/>
              </w:rPr>
            </w:pPr>
          </w:p>
          <w:p>
            <w:pPr>
              <w:pStyle w:val="5"/>
              <w:spacing w:before="55"/>
              <w:ind w:left="133"/>
            </w:pPr>
            <w:r>
              <w:t>6</w:t>
            </w:r>
          </w:p>
        </w:tc>
        <w:tc>
          <w:tcPr>
            <w:tcW w:w="2756" w:type="dxa"/>
            <w:vAlign w:val="top"/>
          </w:tcPr>
          <w:p>
            <w:pPr>
              <w:spacing w:line="354" w:lineRule="auto"/>
              <w:rPr>
                <w:rFonts w:ascii="Arial"/>
                <w:sz w:val="21"/>
              </w:rPr>
            </w:pPr>
          </w:p>
          <w:p>
            <w:pPr>
              <w:pStyle w:val="5"/>
              <w:spacing w:before="55" w:line="306" w:lineRule="auto"/>
              <w:ind w:left="83" w:right="269" w:firstLine="179"/>
            </w:pPr>
            <w:r>
              <w:t>100%计满分，每超过(降低)5%</w:t>
            </w:r>
            <w:r>
              <w:rPr>
                <w:spacing w:val="-1"/>
              </w:rPr>
              <w:t>扣2分。扣完为止。</w:t>
            </w:r>
          </w:p>
        </w:tc>
        <w:tc>
          <w:tcPr>
            <w:tcW w:w="1977" w:type="dxa"/>
            <w:vAlign w:val="top"/>
          </w:tcPr>
          <w:p>
            <w:pPr>
              <w:spacing w:line="244" w:lineRule="auto"/>
              <w:rPr>
                <w:rFonts w:ascii="Arial"/>
                <w:sz w:val="21"/>
              </w:rPr>
            </w:pPr>
          </w:p>
          <w:p>
            <w:pPr>
              <w:pStyle w:val="5"/>
              <w:spacing w:before="55" w:line="284" w:lineRule="auto"/>
              <w:ind w:left="87" w:right="100" w:firstLine="49"/>
            </w:pPr>
            <w:r>
              <w:rPr>
                <w:spacing w:val="-1"/>
              </w:rPr>
              <w:t>政府采购执行率=(实际政府采购金额/政府采购</w:t>
            </w:r>
          </w:p>
          <w:p>
            <w:pPr>
              <w:pStyle w:val="5"/>
              <w:spacing w:before="37" w:line="219" w:lineRule="auto"/>
              <w:ind w:left="107"/>
            </w:pPr>
            <w:r>
              <w:rPr>
                <w:spacing w:val="-1"/>
              </w:rPr>
              <w:t>预算数)×100%</w:t>
            </w:r>
          </w:p>
        </w:tc>
        <w:tc>
          <w:tcPr>
            <w:tcW w:w="639" w:type="dxa"/>
            <w:vAlign w:val="top"/>
          </w:tcPr>
          <w:p>
            <w:pPr>
              <w:spacing w:line="260" w:lineRule="auto"/>
              <w:rPr>
                <w:rFonts w:ascii="Arial"/>
                <w:sz w:val="21"/>
              </w:rPr>
            </w:pPr>
          </w:p>
          <w:p>
            <w:pPr>
              <w:spacing w:line="260" w:lineRule="auto"/>
              <w:rPr>
                <w:rFonts w:ascii="Arial"/>
                <w:sz w:val="21"/>
              </w:rPr>
            </w:pPr>
          </w:p>
          <w:p>
            <w:pPr>
              <w:pStyle w:val="5"/>
              <w:spacing w:before="55"/>
              <w:ind w:left="140"/>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836"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659" w:type="dxa"/>
            <w:vAlign w:val="top"/>
          </w:tcPr>
          <w:p>
            <w:pPr>
              <w:spacing w:line="474" w:lineRule="auto"/>
              <w:rPr>
                <w:rFonts w:ascii="Arial"/>
                <w:sz w:val="21"/>
              </w:rPr>
            </w:pPr>
          </w:p>
          <w:p>
            <w:pPr>
              <w:pStyle w:val="5"/>
              <w:spacing w:before="56" w:line="219" w:lineRule="auto"/>
              <w:ind w:left="151"/>
            </w:pPr>
            <w:r>
              <w:rPr>
                <w:spacing w:val="-3"/>
              </w:rPr>
              <w:t>管理</w:t>
            </w:r>
          </w:p>
          <w:p>
            <w:pPr>
              <w:pStyle w:val="5"/>
              <w:spacing w:before="68" w:line="220" w:lineRule="auto"/>
              <w:ind w:left="151"/>
            </w:pPr>
            <w:r>
              <w:rPr>
                <w:spacing w:val="-2"/>
              </w:rPr>
              <w:t>制度</w:t>
            </w:r>
          </w:p>
          <w:p>
            <w:pPr>
              <w:pStyle w:val="5"/>
              <w:spacing w:before="47" w:line="296" w:lineRule="auto"/>
              <w:ind w:left="231" w:right="163" w:hanging="80"/>
            </w:pPr>
            <w:r>
              <w:rPr>
                <w:spacing w:val="-4"/>
              </w:rPr>
              <w:t>健全</w:t>
            </w:r>
            <w:r>
              <w:t>性</w:t>
            </w:r>
          </w:p>
        </w:tc>
        <w:tc>
          <w:tcPr>
            <w:tcW w:w="370"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5"/>
              <w:spacing w:before="56"/>
              <w:ind w:left="133"/>
            </w:pPr>
            <w:r>
              <w:t>8</w:t>
            </w:r>
          </w:p>
        </w:tc>
        <w:tc>
          <w:tcPr>
            <w:tcW w:w="2756" w:type="dxa"/>
            <w:vAlign w:val="top"/>
          </w:tcPr>
          <w:p>
            <w:pPr>
              <w:pStyle w:val="5"/>
              <w:spacing w:before="251" w:line="293" w:lineRule="auto"/>
              <w:ind w:left="83" w:right="108" w:firstLine="9"/>
            </w:pPr>
            <w:r>
              <w:rPr>
                <w:spacing w:val="-1"/>
              </w:rPr>
              <w:t>①有内部财务管理制度、会计核算</w:t>
            </w:r>
            <w:r>
              <w:rPr>
                <w:spacing w:val="7"/>
              </w:rPr>
              <w:t>制度等管理制度，2分；</w:t>
            </w:r>
          </w:p>
          <w:p>
            <w:pPr>
              <w:pStyle w:val="5"/>
              <w:spacing w:before="1" w:line="295" w:lineRule="auto"/>
              <w:ind w:left="52" w:firstLine="79"/>
            </w:pPr>
            <w:r>
              <w:rPr>
                <w:spacing w:val="4"/>
              </w:rPr>
              <w:t>②有本部门厉行节约制度，2分；</w:t>
            </w:r>
            <w:r>
              <w:rPr>
                <w:spacing w:val="-2"/>
              </w:rPr>
              <w:t>③相关管理制度合法、合规、完整，</w:t>
            </w:r>
            <w:r>
              <w:rPr>
                <w:spacing w:val="4"/>
              </w:rPr>
              <w:t>2分；④相关管理制度得到有效执</w:t>
            </w:r>
            <w:r>
              <w:rPr>
                <w:spacing w:val="6"/>
              </w:rPr>
              <w:t>行，2分。</w:t>
            </w:r>
          </w:p>
        </w:tc>
        <w:tc>
          <w:tcPr>
            <w:tcW w:w="1977" w:type="dxa"/>
            <w:vAlign w:val="top"/>
          </w:tcPr>
          <w:p>
            <w:pPr>
              <w:rPr>
                <w:rFonts w:ascii="Arial"/>
                <w:sz w:val="21"/>
              </w:rPr>
            </w:pPr>
          </w:p>
        </w:tc>
        <w:tc>
          <w:tcPr>
            <w:tcW w:w="639"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5"/>
              <w:spacing w:before="56"/>
              <w:ind w:left="140"/>
            </w:pPr>
            <w: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2" w:hRule="atLeast"/>
        </w:trPr>
        <w:tc>
          <w:tcPr>
            <w:tcW w:w="836" w:type="dxa"/>
            <w:vAlign w:val="top"/>
          </w:tcPr>
          <w:p>
            <w:pPr>
              <w:pStyle w:val="5"/>
              <w:spacing w:before="55" w:line="261" w:lineRule="auto"/>
              <w:ind w:right="210" w:firstLine="174" w:firstLineChars="100"/>
              <w:rPr>
                <w:rFonts w:hint="eastAsia"/>
                <w:spacing w:val="-13"/>
                <w:sz w:val="20"/>
                <w:szCs w:val="20"/>
                <w:lang w:eastAsia="zh-CN"/>
              </w:rPr>
            </w:pPr>
            <w:r>
              <w:rPr>
                <w:rFonts w:hint="eastAsia"/>
                <w:spacing w:val="-13"/>
                <w:sz w:val="20"/>
                <w:szCs w:val="20"/>
                <w:lang w:eastAsia="zh-CN"/>
              </w:rPr>
              <w:t>过</w:t>
            </w:r>
          </w:p>
          <w:p>
            <w:pPr>
              <w:pStyle w:val="5"/>
              <w:spacing w:before="55" w:line="261" w:lineRule="auto"/>
              <w:ind w:right="210" w:firstLine="174" w:firstLineChars="100"/>
              <w:rPr>
                <w:rFonts w:hint="eastAsia"/>
                <w:spacing w:val="-13"/>
                <w:sz w:val="20"/>
                <w:szCs w:val="20"/>
                <w:lang w:eastAsia="zh-CN"/>
              </w:rPr>
            </w:pPr>
            <w:r>
              <w:rPr>
                <w:rFonts w:hint="eastAsia"/>
                <w:spacing w:val="-13"/>
                <w:sz w:val="20"/>
                <w:szCs w:val="20"/>
                <w:lang w:eastAsia="zh-CN"/>
              </w:rPr>
              <w:t>程</w:t>
            </w:r>
          </w:p>
          <w:p>
            <w:pPr>
              <w:pStyle w:val="5"/>
              <w:spacing w:before="55" w:line="261" w:lineRule="auto"/>
              <w:ind w:right="210" w:firstLine="124" w:firstLineChars="100"/>
            </w:pPr>
            <w:r>
              <w:rPr>
                <w:rFonts w:hint="eastAsia"/>
                <w:spacing w:val="-13"/>
                <w:sz w:val="15"/>
                <w:szCs w:val="15"/>
                <w:lang w:eastAsia="zh-CN"/>
              </w:rPr>
              <w:t>（</w:t>
            </w:r>
            <w:r>
              <w:rPr>
                <w:spacing w:val="-13"/>
                <w:sz w:val="15"/>
                <w:szCs w:val="15"/>
              </w:rPr>
              <w:t>60</w:t>
            </w:r>
            <w:r>
              <w:rPr>
                <w:spacing w:val="-8"/>
                <w:sz w:val="15"/>
                <w:szCs w:val="15"/>
              </w:rPr>
              <w:t>分)</w:t>
            </w:r>
          </w:p>
        </w:tc>
        <w:tc>
          <w:tcPr>
            <w:tcW w:w="57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5"/>
              <w:spacing w:before="55" w:line="284" w:lineRule="auto"/>
              <w:ind w:left="111" w:right="125"/>
            </w:pPr>
            <w:r>
              <w:rPr>
                <w:spacing w:val="-4"/>
              </w:rPr>
              <w:t>预算</w:t>
            </w:r>
            <w:r>
              <w:rPr>
                <w:spacing w:val="-6"/>
              </w:rPr>
              <w:t>管理</w:t>
            </w:r>
          </w:p>
          <w:p>
            <w:pPr>
              <w:pStyle w:val="5"/>
              <w:spacing w:before="288" w:line="283" w:lineRule="auto"/>
              <w:ind w:left="81" w:right="199" w:firstLine="70"/>
            </w:pPr>
            <w:r>
              <w:rPr>
                <w:spacing w:val="-13"/>
              </w:rPr>
              <w:t>(40</w:t>
            </w:r>
            <w:r>
              <w:rPr>
                <w:spacing w:val="-8"/>
              </w:rPr>
              <w:t>分)</w:t>
            </w:r>
          </w:p>
        </w:tc>
        <w:tc>
          <w:tcPr>
            <w:tcW w:w="659"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5"/>
              <w:spacing w:before="55" w:line="221" w:lineRule="auto"/>
              <w:ind w:left="151"/>
            </w:pPr>
            <w:r>
              <w:rPr>
                <w:spacing w:val="3"/>
              </w:rPr>
              <w:t>资金</w:t>
            </w:r>
          </w:p>
          <w:p>
            <w:pPr>
              <w:pStyle w:val="5"/>
              <w:spacing w:before="54" w:line="296" w:lineRule="auto"/>
              <w:ind w:left="151" w:right="136"/>
              <w:jc w:val="both"/>
            </w:pPr>
            <w:r>
              <w:rPr>
                <w:spacing w:val="10"/>
              </w:rPr>
              <w:t>使用</w:t>
            </w:r>
            <w:r>
              <w:rPr>
                <w:spacing w:val="-4"/>
              </w:rPr>
              <w:t>合规</w:t>
            </w:r>
            <w:r>
              <w:rPr>
                <w:spacing w:val="27"/>
                <w:w w:val="126"/>
              </w:rPr>
              <w:t>性</w:t>
            </w:r>
          </w:p>
        </w:tc>
        <w:tc>
          <w:tcPr>
            <w:tcW w:w="37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5"/>
              <w:spacing w:before="55"/>
              <w:ind w:left="133"/>
            </w:pPr>
            <w:r>
              <w:t>6</w:t>
            </w:r>
          </w:p>
        </w:tc>
        <w:tc>
          <w:tcPr>
            <w:tcW w:w="2756" w:type="dxa"/>
            <w:vAlign w:val="top"/>
          </w:tcPr>
          <w:p>
            <w:pPr>
              <w:pStyle w:val="5"/>
              <w:spacing w:before="271" w:line="290" w:lineRule="auto"/>
              <w:ind w:left="52" w:firstLine="39"/>
              <w:jc w:val="both"/>
            </w:pPr>
            <w:r>
              <w:rPr>
                <w:spacing w:val="-2"/>
              </w:rPr>
              <w:t>①支出符合国家财经法规和财务管</w:t>
            </w:r>
            <w:r>
              <w:t>理制度规定以及有关专项资金管理</w:t>
            </w:r>
            <w:r>
              <w:rPr>
                <w:spacing w:val="2"/>
              </w:rPr>
              <w:t>办法的规定；②资金拨付有完整的</w:t>
            </w:r>
            <w:r>
              <w:rPr>
                <w:spacing w:val="1"/>
              </w:rPr>
              <w:t>审批程序和手续；③项目支出按规</w:t>
            </w:r>
            <w:r>
              <w:rPr>
                <w:spacing w:val="2"/>
              </w:rPr>
              <w:t>定经过评估论证；④支出符合部门</w:t>
            </w:r>
            <w:r>
              <w:t>预算批复的用途；⑤资金使用无截</w:t>
            </w:r>
            <w:r>
              <w:rPr>
                <w:spacing w:val="-2"/>
              </w:rPr>
              <w:t>留、挤占、挪用、虚列支出等情况。</w:t>
            </w:r>
            <w:r>
              <w:rPr>
                <w:spacing w:val="2"/>
              </w:rPr>
              <w:t>以上情况每出现一例不符合要求的</w:t>
            </w:r>
            <w:r>
              <w:rPr>
                <w:spacing w:val="3"/>
              </w:rPr>
              <w:t>扣1分，扣完为止。</w:t>
            </w:r>
          </w:p>
        </w:tc>
        <w:tc>
          <w:tcPr>
            <w:tcW w:w="1977" w:type="dxa"/>
            <w:vAlign w:val="top"/>
          </w:tcPr>
          <w:p>
            <w:pPr>
              <w:rPr>
                <w:rFonts w:ascii="Arial"/>
                <w:sz w:val="21"/>
              </w:rPr>
            </w:pPr>
          </w:p>
        </w:tc>
        <w:tc>
          <w:tcPr>
            <w:tcW w:w="63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5"/>
              <w:spacing w:before="55" w:line="183" w:lineRule="auto"/>
              <w:ind w:left="140"/>
              <w:rPr>
                <w:rFonts w:hint="eastAsia" w:eastAsia="宋体"/>
                <w:lang w:val="en-US" w:eastAsia="zh-CN"/>
              </w:rPr>
            </w:pPr>
            <w:r>
              <w:rPr>
                <w:rFonts w:hint="eastAsia"/>
                <w:lang w:val="en-US" w:eastAsia="zh-CN"/>
              </w:rPr>
              <w:t>5</w:t>
            </w:r>
          </w:p>
        </w:tc>
      </w:tr>
    </w:tbl>
    <w:p>
      <w:pPr>
        <w:pStyle w:val="2"/>
      </w:pPr>
    </w:p>
    <w:p>
      <w:pPr>
        <w:sectPr>
          <w:pgSz w:w="12240" w:h="15840"/>
          <w:pgMar w:top="619" w:right="1059" w:bottom="400" w:left="1010" w:header="0" w:footer="0" w:gutter="0"/>
          <w:cols w:space="720" w:num="1"/>
        </w:sectPr>
      </w:pPr>
    </w:p>
    <w:p>
      <w:pPr>
        <w:spacing w:before="48"/>
      </w:pPr>
    </w:p>
    <w:p>
      <w:pPr>
        <w:spacing w:before="47"/>
      </w:pPr>
    </w:p>
    <w:p>
      <w:pPr>
        <w:spacing w:before="47"/>
      </w:pPr>
    </w:p>
    <w:p>
      <w:pPr>
        <w:spacing w:before="47"/>
      </w:pPr>
    </w:p>
    <w:tbl>
      <w:tblPr>
        <w:tblStyle w:val="6"/>
        <w:tblW w:w="7809" w:type="dxa"/>
        <w:tblInd w:w="1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589"/>
        <w:gridCol w:w="669"/>
        <w:gridCol w:w="380"/>
        <w:gridCol w:w="2574"/>
        <w:gridCol w:w="1917"/>
        <w:gridCol w:w="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04" w:type="dxa"/>
            <w:vAlign w:val="top"/>
          </w:tcPr>
          <w:p>
            <w:pPr>
              <w:pStyle w:val="5"/>
              <w:spacing w:before="54" w:line="221" w:lineRule="auto"/>
              <w:ind w:left="114"/>
            </w:pPr>
            <w:r>
              <w:rPr>
                <w:spacing w:val="-5"/>
              </w:rPr>
              <w:t>一级</w:t>
            </w:r>
          </w:p>
          <w:p>
            <w:pPr>
              <w:pStyle w:val="5"/>
              <w:spacing w:before="44" w:line="220" w:lineRule="auto"/>
              <w:ind w:left="114"/>
            </w:pPr>
            <w:r>
              <w:rPr>
                <w:spacing w:val="-3"/>
              </w:rPr>
              <w:t>指标</w:t>
            </w:r>
          </w:p>
        </w:tc>
        <w:tc>
          <w:tcPr>
            <w:tcW w:w="589" w:type="dxa"/>
            <w:vAlign w:val="top"/>
          </w:tcPr>
          <w:p>
            <w:pPr>
              <w:pStyle w:val="5"/>
              <w:spacing w:before="44" w:line="221" w:lineRule="auto"/>
              <w:ind w:left="110"/>
            </w:pPr>
            <w:r>
              <w:rPr>
                <w:spacing w:val="-3"/>
              </w:rPr>
              <w:t>二级</w:t>
            </w:r>
          </w:p>
          <w:p>
            <w:pPr>
              <w:pStyle w:val="5"/>
              <w:spacing w:before="64" w:line="220" w:lineRule="auto"/>
              <w:ind w:left="110"/>
            </w:pPr>
            <w:r>
              <w:rPr>
                <w:spacing w:val="-3"/>
              </w:rPr>
              <w:t>指标</w:t>
            </w:r>
          </w:p>
        </w:tc>
        <w:tc>
          <w:tcPr>
            <w:tcW w:w="669" w:type="dxa"/>
            <w:vAlign w:val="top"/>
          </w:tcPr>
          <w:p>
            <w:pPr>
              <w:pStyle w:val="5"/>
              <w:spacing w:before="54" w:line="221" w:lineRule="auto"/>
              <w:ind w:left="151"/>
            </w:pPr>
            <w:r>
              <w:rPr>
                <w:spacing w:val="-2"/>
              </w:rPr>
              <w:t>三级</w:t>
            </w:r>
          </w:p>
          <w:p>
            <w:pPr>
              <w:pStyle w:val="5"/>
              <w:spacing w:before="74" w:line="208" w:lineRule="auto"/>
              <w:ind w:left="151"/>
            </w:pPr>
            <w:r>
              <w:rPr>
                <w:spacing w:val="-3"/>
              </w:rPr>
              <w:t>指标</w:t>
            </w:r>
          </w:p>
        </w:tc>
        <w:tc>
          <w:tcPr>
            <w:tcW w:w="380" w:type="dxa"/>
            <w:textDirection w:val="tbRlV"/>
            <w:vAlign w:val="top"/>
          </w:tcPr>
          <w:p>
            <w:pPr>
              <w:pStyle w:val="5"/>
              <w:spacing w:before="113" w:line="201" w:lineRule="auto"/>
              <w:ind w:left="14"/>
            </w:pPr>
            <w:r>
              <w:t>分值</w:t>
            </w:r>
          </w:p>
        </w:tc>
        <w:tc>
          <w:tcPr>
            <w:tcW w:w="2574" w:type="dxa"/>
            <w:vAlign w:val="top"/>
          </w:tcPr>
          <w:p>
            <w:pPr>
              <w:pStyle w:val="5"/>
              <w:spacing w:before="177" w:line="218" w:lineRule="auto"/>
              <w:ind w:left="1055"/>
            </w:pPr>
            <w:r>
              <w:rPr>
                <w:b/>
                <w:bCs/>
                <w:spacing w:val="-3"/>
              </w:rPr>
              <w:t>评价标准</w:t>
            </w:r>
          </w:p>
        </w:tc>
        <w:tc>
          <w:tcPr>
            <w:tcW w:w="1917" w:type="dxa"/>
            <w:vAlign w:val="top"/>
          </w:tcPr>
          <w:p>
            <w:pPr>
              <w:pStyle w:val="5"/>
              <w:spacing w:before="182" w:line="219" w:lineRule="auto"/>
              <w:ind w:left="657"/>
            </w:pPr>
            <w:r>
              <w:rPr>
                <w:spacing w:val="4"/>
              </w:rPr>
              <w:t>指标说明</w:t>
            </w:r>
          </w:p>
        </w:tc>
        <w:tc>
          <w:tcPr>
            <w:tcW w:w="676" w:type="dxa"/>
            <w:textDirection w:val="tbRlV"/>
            <w:vAlign w:val="top"/>
          </w:tcPr>
          <w:p>
            <w:pPr>
              <w:pStyle w:val="5"/>
              <w:spacing w:before="100" w:line="200" w:lineRule="auto"/>
              <w:ind w:left="16"/>
            </w:pPr>
            <w: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8" w:hRule="atLeast"/>
        </w:trPr>
        <w:tc>
          <w:tcPr>
            <w:tcW w:w="1004" w:type="dxa"/>
            <w:vAlign w:val="top"/>
          </w:tcPr>
          <w:p>
            <w:pPr>
              <w:rPr>
                <w:rFonts w:ascii="Arial"/>
                <w:sz w:val="21"/>
              </w:rPr>
            </w:pPr>
          </w:p>
        </w:tc>
        <w:tc>
          <w:tcPr>
            <w:tcW w:w="589" w:type="dxa"/>
            <w:vAlign w:val="top"/>
          </w:tcPr>
          <w:p>
            <w:pPr>
              <w:rPr>
                <w:rFonts w:ascii="Arial"/>
                <w:sz w:val="21"/>
              </w:rPr>
            </w:pPr>
          </w:p>
        </w:tc>
        <w:tc>
          <w:tcPr>
            <w:tcW w:w="669" w:type="dxa"/>
            <w:vAlign w:val="top"/>
          </w:tcPr>
          <w:p>
            <w:pPr>
              <w:spacing w:line="244" w:lineRule="auto"/>
              <w:rPr>
                <w:rFonts w:ascii="Arial"/>
                <w:sz w:val="21"/>
              </w:rPr>
            </w:pPr>
          </w:p>
          <w:p>
            <w:pPr>
              <w:spacing w:line="245" w:lineRule="auto"/>
              <w:rPr>
                <w:rFonts w:ascii="Arial"/>
                <w:sz w:val="21"/>
              </w:rPr>
            </w:pPr>
          </w:p>
          <w:p>
            <w:pPr>
              <w:pStyle w:val="5"/>
              <w:spacing w:before="56" w:line="219" w:lineRule="auto"/>
              <w:ind w:left="151"/>
            </w:pPr>
            <w:r>
              <w:rPr>
                <w:spacing w:val="-2"/>
              </w:rPr>
              <w:t>预决</w:t>
            </w:r>
          </w:p>
          <w:p>
            <w:pPr>
              <w:pStyle w:val="5"/>
              <w:spacing w:before="68" w:line="219" w:lineRule="auto"/>
              <w:ind w:left="151"/>
            </w:pPr>
            <w:r>
              <w:rPr>
                <w:spacing w:val="-2"/>
              </w:rPr>
              <w:t>算信</w:t>
            </w:r>
          </w:p>
          <w:p>
            <w:pPr>
              <w:pStyle w:val="5"/>
              <w:spacing w:before="50" w:line="222" w:lineRule="auto"/>
              <w:ind w:left="151"/>
            </w:pPr>
            <w:r>
              <w:rPr>
                <w:spacing w:val="5"/>
              </w:rPr>
              <w:t>息公</w:t>
            </w:r>
          </w:p>
          <w:p>
            <w:pPr>
              <w:pStyle w:val="5"/>
              <w:spacing w:before="73" w:line="221" w:lineRule="auto"/>
              <w:ind w:left="151"/>
            </w:pPr>
            <w:r>
              <w:rPr>
                <w:spacing w:val="-2"/>
              </w:rPr>
              <w:t>开性</w:t>
            </w:r>
          </w:p>
        </w:tc>
        <w:tc>
          <w:tcPr>
            <w:tcW w:w="380"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5"/>
              <w:spacing w:before="55"/>
              <w:ind w:left="132"/>
            </w:pPr>
            <w:r>
              <w:t>5</w:t>
            </w:r>
          </w:p>
        </w:tc>
        <w:tc>
          <w:tcPr>
            <w:tcW w:w="2574" w:type="dxa"/>
            <w:vAlign w:val="top"/>
          </w:tcPr>
          <w:p>
            <w:pPr>
              <w:pStyle w:val="5"/>
              <w:spacing w:before="105" w:line="217" w:lineRule="auto"/>
              <w:ind w:left="72"/>
            </w:pPr>
            <w:r>
              <w:rPr>
                <w:spacing w:val="-1"/>
              </w:rPr>
              <w:t>①按规定内容公开预决算信息，1</w:t>
            </w:r>
          </w:p>
          <w:p>
            <w:pPr>
              <w:pStyle w:val="5"/>
              <w:spacing w:before="70" w:line="304" w:lineRule="auto"/>
              <w:ind w:left="72"/>
            </w:pPr>
            <w:r>
              <w:rPr>
                <w:spacing w:val="-1"/>
              </w:rPr>
              <w:t>分；②按规定时限公开预决算信息，</w:t>
            </w:r>
            <w:r>
              <w:t>1分；③基础数据信息和会计信息</w:t>
            </w:r>
          </w:p>
          <w:p>
            <w:pPr>
              <w:pStyle w:val="5"/>
              <w:spacing w:before="1" w:line="295" w:lineRule="auto"/>
              <w:ind w:left="72" w:right="84" w:firstLine="80"/>
            </w:pPr>
            <w:r>
              <w:rPr>
                <w:spacing w:val="1"/>
              </w:rPr>
              <w:t>资料真实，1分；④基础数据信息</w:t>
            </w:r>
            <w:r>
              <w:rPr>
                <w:spacing w:val="4"/>
              </w:rPr>
              <w:t>和会计信息资料完整，1分；⑤基</w:t>
            </w:r>
            <w:r>
              <w:rPr>
                <w:spacing w:val="-1"/>
              </w:rPr>
              <w:t>础数据信息和汇集信息资料准确，1</w:t>
            </w:r>
            <w:r>
              <w:rPr>
                <w:spacing w:val="2"/>
              </w:rPr>
              <w:t>分。</w:t>
            </w:r>
          </w:p>
        </w:tc>
        <w:tc>
          <w:tcPr>
            <w:tcW w:w="1917" w:type="dxa"/>
            <w:vAlign w:val="top"/>
          </w:tcPr>
          <w:p>
            <w:pPr>
              <w:spacing w:line="460" w:lineRule="auto"/>
              <w:rPr>
                <w:rFonts w:ascii="Arial"/>
                <w:sz w:val="21"/>
              </w:rPr>
            </w:pPr>
          </w:p>
          <w:p>
            <w:pPr>
              <w:pStyle w:val="5"/>
              <w:spacing w:before="55" w:line="305" w:lineRule="auto"/>
              <w:ind w:left="96" w:right="120" w:firstLine="50"/>
              <w:jc w:val="both"/>
            </w:pPr>
            <w:r>
              <w:rPr>
                <w:spacing w:val="1"/>
              </w:rPr>
              <w:t>预决算信息是指与部门</w:t>
            </w:r>
            <w:r>
              <w:rPr>
                <w:spacing w:val="4"/>
              </w:rPr>
              <w:t>预算、执行、决算、监</w:t>
            </w:r>
            <w:r>
              <w:rPr>
                <w:spacing w:val="6"/>
              </w:rPr>
              <w:t>督、绩效等管理相关的</w:t>
            </w:r>
            <w:r>
              <w:rPr>
                <w:spacing w:val="-2"/>
              </w:rPr>
              <w:t>信息。</w:t>
            </w:r>
          </w:p>
        </w:tc>
        <w:tc>
          <w:tcPr>
            <w:tcW w:w="676"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5"/>
              <w:spacing w:before="55"/>
              <w:ind w:left="13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1004" w:type="dxa"/>
            <w:vMerge w:val="restart"/>
            <w:tcBorders>
              <w:bottom w:val="nil"/>
            </w:tcBorders>
            <w:vAlign w:val="top"/>
          </w:tcPr>
          <w:p>
            <w:pPr>
              <w:spacing w:line="260"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line="261" w:lineRule="auto"/>
              <w:jc w:val="center"/>
              <w:rPr>
                <w:rFonts w:ascii="Arial"/>
                <w:sz w:val="21"/>
              </w:rPr>
            </w:pPr>
          </w:p>
          <w:p>
            <w:pPr>
              <w:spacing w:line="261" w:lineRule="auto"/>
              <w:jc w:val="center"/>
              <w:rPr>
                <w:rFonts w:ascii="Arial"/>
                <w:sz w:val="21"/>
              </w:rPr>
            </w:pPr>
          </w:p>
          <w:p>
            <w:pPr>
              <w:spacing w:line="261" w:lineRule="auto"/>
              <w:jc w:val="center"/>
              <w:rPr>
                <w:rFonts w:ascii="Arial"/>
                <w:sz w:val="21"/>
              </w:rPr>
            </w:pPr>
          </w:p>
          <w:p>
            <w:pPr>
              <w:spacing w:line="261" w:lineRule="auto"/>
              <w:jc w:val="center"/>
              <w:rPr>
                <w:rFonts w:ascii="Arial"/>
                <w:sz w:val="21"/>
              </w:rPr>
            </w:pPr>
          </w:p>
          <w:p>
            <w:pPr>
              <w:spacing w:line="261" w:lineRule="auto"/>
              <w:jc w:val="center"/>
              <w:rPr>
                <w:rFonts w:ascii="Arial"/>
                <w:sz w:val="21"/>
              </w:rPr>
            </w:pPr>
          </w:p>
          <w:p>
            <w:pPr>
              <w:spacing w:line="261" w:lineRule="auto"/>
              <w:jc w:val="center"/>
              <w:rPr>
                <w:rFonts w:ascii="Arial"/>
                <w:sz w:val="21"/>
              </w:rPr>
            </w:pPr>
          </w:p>
          <w:p>
            <w:pPr>
              <w:pStyle w:val="5"/>
              <w:spacing w:before="55" w:line="275" w:lineRule="auto"/>
              <w:ind w:left="114" w:right="108"/>
              <w:jc w:val="center"/>
            </w:pPr>
            <w:r>
              <w:rPr>
                <w:rFonts w:hint="eastAsia"/>
                <w:spacing w:val="10"/>
                <w:lang w:eastAsia="zh-CN"/>
              </w:rPr>
              <w:t>产</w:t>
            </w:r>
            <w:r>
              <w:rPr>
                <w:spacing w:val="10"/>
              </w:rPr>
              <w:t>出</w:t>
            </w:r>
            <w:r>
              <w:rPr>
                <w:spacing w:val="-2"/>
              </w:rPr>
              <w:t>及效</w:t>
            </w:r>
            <w:r>
              <w:rPr>
                <w:color w:val="303040"/>
              </w:rPr>
              <w:t>率</w:t>
            </w:r>
            <w:r>
              <w:rPr>
                <w:spacing w:val="-13"/>
              </w:rPr>
              <w:t>(30</w:t>
            </w:r>
            <w:r>
              <w:rPr>
                <w:spacing w:val="-8"/>
              </w:rPr>
              <w:t>分)</w:t>
            </w:r>
          </w:p>
        </w:tc>
        <w:tc>
          <w:tcPr>
            <w:tcW w:w="589" w:type="dxa"/>
            <w:vAlign w:val="top"/>
          </w:tcPr>
          <w:p>
            <w:pPr>
              <w:pStyle w:val="5"/>
              <w:spacing w:before="200" w:line="221" w:lineRule="auto"/>
              <w:ind w:left="110"/>
              <w:jc w:val="center"/>
            </w:pPr>
            <w:r>
              <w:rPr>
                <w:spacing w:val="-2"/>
              </w:rPr>
              <w:t>职责</w:t>
            </w:r>
          </w:p>
          <w:p>
            <w:pPr>
              <w:pStyle w:val="5"/>
              <w:spacing w:before="65" w:line="220" w:lineRule="auto"/>
              <w:ind w:left="110"/>
              <w:jc w:val="center"/>
            </w:pPr>
            <w:r>
              <w:rPr>
                <w:spacing w:val="-3"/>
              </w:rPr>
              <w:t>履行</w:t>
            </w:r>
          </w:p>
          <w:p>
            <w:pPr>
              <w:spacing w:line="292" w:lineRule="auto"/>
              <w:jc w:val="center"/>
              <w:rPr>
                <w:rFonts w:ascii="Arial"/>
                <w:sz w:val="21"/>
              </w:rPr>
            </w:pPr>
          </w:p>
          <w:p>
            <w:pPr>
              <w:pStyle w:val="5"/>
              <w:spacing w:before="55" w:line="272" w:lineRule="auto"/>
              <w:ind w:left="150" w:right="130" w:firstLine="50"/>
              <w:jc w:val="center"/>
            </w:pPr>
            <w:r>
              <w:rPr>
                <w:spacing w:val="-14"/>
                <w:w w:val="94"/>
              </w:rPr>
              <w:t>(8</w:t>
            </w:r>
            <w:r>
              <w:rPr>
                <w:spacing w:val="-8"/>
              </w:rPr>
              <w:t>分)</w:t>
            </w:r>
          </w:p>
        </w:tc>
        <w:tc>
          <w:tcPr>
            <w:tcW w:w="669" w:type="dxa"/>
            <w:vAlign w:val="top"/>
          </w:tcPr>
          <w:p>
            <w:pPr>
              <w:pStyle w:val="5"/>
              <w:spacing w:before="213" w:line="224" w:lineRule="auto"/>
              <w:ind w:left="151"/>
              <w:jc w:val="center"/>
            </w:pPr>
            <w:r>
              <w:rPr>
                <w:spacing w:val="7"/>
              </w:rPr>
              <w:t>重点</w:t>
            </w:r>
          </w:p>
          <w:p>
            <w:pPr>
              <w:pStyle w:val="5"/>
              <w:spacing w:before="50" w:line="220" w:lineRule="auto"/>
              <w:ind w:left="151"/>
              <w:jc w:val="center"/>
            </w:pPr>
            <w:r>
              <w:rPr>
                <w:spacing w:val="-3"/>
              </w:rPr>
              <w:t>工作</w:t>
            </w:r>
          </w:p>
          <w:p>
            <w:pPr>
              <w:pStyle w:val="5"/>
              <w:spacing w:before="67" w:line="220" w:lineRule="auto"/>
              <w:ind w:left="151"/>
              <w:jc w:val="center"/>
            </w:pPr>
            <w:r>
              <w:rPr>
                <w:spacing w:val="-3"/>
              </w:rPr>
              <w:t>实际</w:t>
            </w:r>
          </w:p>
          <w:p>
            <w:pPr>
              <w:pStyle w:val="5"/>
              <w:spacing w:before="66" w:line="219" w:lineRule="auto"/>
              <w:ind w:left="151"/>
              <w:jc w:val="center"/>
            </w:pPr>
            <w:r>
              <w:rPr>
                <w:spacing w:val="-2"/>
              </w:rPr>
              <w:t>完成</w:t>
            </w:r>
          </w:p>
          <w:p>
            <w:pPr>
              <w:pStyle w:val="5"/>
              <w:spacing w:before="59" w:line="219" w:lineRule="auto"/>
              <w:ind w:left="242"/>
              <w:jc w:val="center"/>
            </w:pPr>
            <w:r>
              <w:t>率</w:t>
            </w:r>
          </w:p>
        </w:tc>
        <w:tc>
          <w:tcPr>
            <w:tcW w:w="380" w:type="dxa"/>
            <w:vAlign w:val="top"/>
          </w:tcPr>
          <w:p>
            <w:pPr>
              <w:spacing w:line="348" w:lineRule="auto"/>
              <w:jc w:val="center"/>
              <w:rPr>
                <w:rFonts w:ascii="Arial"/>
                <w:sz w:val="21"/>
              </w:rPr>
            </w:pPr>
          </w:p>
          <w:p>
            <w:pPr>
              <w:spacing w:line="348" w:lineRule="auto"/>
              <w:jc w:val="center"/>
              <w:rPr>
                <w:rFonts w:ascii="Arial"/>
                <w:sz w:val="21"/>
              </w:rPr>
            </w:pPr>
          </w:p>
          <w:p>
            <w:pPr>
              <w:pStyle w:val="5"/>
              <w:spacing w:before="56"/>
              <w:ind w:left="132"/>
              <w:jc w:val="center"/>
            </w:pPr>
            <w:r>
              <w:t>8</w:t>
            </w:r>
          </w:p>
        </w:tc>
        <w:tc>
          <w:tcPr>
            <w:tcW w:w="2574" w:type="dxa"/>
            <w:vAlign w:val="top"/>
          </w:tcPr>
          <w:p>
            <w:pPr>
              <w:pStyle w:val="5"/>
              <w:spacing w:before="178" w:line="295" w:lineRule="auto"/>
              <w:ind w:left="102" w:right="113" w:firstLine="100"/>
              <w:jc w:val="center"/>
            </w:pPr>
            <w:r>
              <w:rPr>
                <w:spacing w:val="-1"/>
              </w:rPr>
              <w:t>根据县绩效办2021年对各部门为</w:t>
            </w:r>
            <w:r>
              <w:rPr>
                <w:spacing w:val="1"/>
              </w:rPr>
              <w:t>民办实事和部门重点工程与重点工</w:t>
            </w:r>
            <w:r>
              <w:rPr>
                <w:spacing w:val="-1"/>
              </w:rPr>
              <w:t>作考核分数折算。</w:t>
            </w:r>
          </w:p>
          <w:p>
            <w:pPr>
              <w:pStyle w:val="5"/>
              <w:spacing w:before="15" w:line="285" w:lineRule="auto"/>
              <w:ind w:left="93" w:right="132" w:firstLine="19"/>
              <w:jc w:val="center"/>
            </w:pPr>
            <w:r>
              <w:rPr>
                <w:spacing w:val="-1"/>
              </w:rPr>
              <w:t>该项得分=(绩效办对应部分考核得</w:t>
            </w:r>
            <w:r>
              <w:t>分/该部分总分)×8。</w:t>
            </w:r>
          </w:p>
        </w:tc>
        <w:tc>
          <w:tcPr>
            <w:tcW w:w="1917" w:type="dxa"/>
            <w:vAlign w:val="top"/>
          </w:tcPr>
          <w:p>
            <w:pPr>
              <w:jc w:val="center"/>
              <w:rPr>
                <w:rFonts w:ascii="Arial"/>
                <w:sz w:val="21"/>
              </w:rPr>
            </w:pPr>
          </w:p>
        </w:tc>
        <w:tc>
          <w:tcPr>
            <w:tcW w:w="676" w:type="dxa"/>
            <w:vAlign w:val="top"/>
          </w:tcPr>
          <w:p>
            <w:pPr>
              <w:spacing w:line="348" w:lineRule="auto"/>
              <w:jc w:val="center"/>
              <w:rPr>
                <w:rFonts w:ascii="Arial"/>
                <w:sz w:val="21"/>
              </w:rPr>
            </w:pPr>
          </w:p>
          <w:p>
            <w:pPr>
              <w:spacing w:line="348" w:lineRule="auto"/>
              <w:jc w:val="center"/>
              <w:rPr>
                <w:rFonts w:ascii="Arial"/>
                <w:sz w:val="21"/>
              </w:rPr>
            </w:pPr>
          </w:p>
          <w:p>
            <w:pPr>
              <w:pStyle w:val="5"/>
              <w:spacing w:before="56"/>
              <w:ind w:left="139"/>
              <w:jc w:val="center"/>
            </w:pPr>
            <w: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04" w:type="dxa"/>
            <w:vMerge w:val="continue"/>
            <w:tcBorders>
              <w:top w:val="nil"/>
              <w:bottom w:val="nil"/>
            </w:tcBorders>
            <w:vAlign w:val="top"/>
          </w:tcPr>
          <w:p>
            <w:pPr>
              <w:rPr>
                <w:rFonts w:ascii="Arial"/>
                <w:sz w:val="21"/>
              </w:rPr>
            </w:pPr>
          </w:p>
        </w:tc>
        <w:tc>
          <w:tcPr>
            <w:tcW w:w="58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5"/>
              <w:spacing w:before="55" w:line="221" w:lineRule="auto"/>
              <w:ind w:left="110"/>
            </w:pPr>
            <w:r>
              <w:rPr>
                <w:spacing w:val="-3"/>
              </w:rPr>
              <w:t>履职</w:t>
            </w:r>
          </w:p>
          <w:p>
            <w:pPr>
              <w:pStyle w:val="5"/>
              <w:spacing w:before="64" w:line="220" w:lineRule="auto"/>
              <w:ind w:left="110"/>
            </w:pPr>
            <w:r>
              <w:rPr>
                <w:spacing w:val="-3"/>
              </w:rPr>
              <w:t>效益</w:t>
            </w:r>
          </w:p>
          <w:p>
            <w:pPr>
              <w:spacing w:line="273" w:lineRule="auto"/>
              <w:rPr>
                <w:rFonts w:ascii="Arial"/>
                <w:sz w:val="21"/>
              </w:rPr>
            </w:pPr>
          </w:p>
          <w:p>
            <w:pPr>
              <w:pStyle w:val="5"/>
              <w:spacing w:before="55" w:line="293" w:lineRule="auto"/>
              <w:ind w:left="150" w:right="130" w:firstLine="50"/>
            </w:pPr>
            <w:r>
              <w:rPr>
                <w:spacing w:val="-13"/>
              </w:rPr>
              <w:t>(22</w:t>
            </w:r>
            <w:r>
              <w:rPr>
                <w:spacing w:val="-8"/>
              </w:rPr>
              <w:t>分)</w:t>
            </w:r>
          </w:p>
        </w:tc>
        <w:tc>
          <w:tcPr>
            <w:tcW w:w="669" w:type="dxa"/>
            <w:vAlign w:val="top"/>
          </w:tcPr>
          <w:p>
            <w:pPr>
              <w:pStyle w:val="5"/>
              <w:spacing w:before="152" w:line="220" w:lineRule="auto"/>
              <w:ind w:left="151"/>
            </w:pPr>
            <w:r>
              <w:rPr>
                <w:spacing w:val="-2"/>
              </w:rPr>
              <w:t>经济</w:t>
            </w:r>
          </w:p>
          <w:p>
            <w:pPr>
              <w:pStyle w:val="5"/>
              <w:spacing w:before="77" w:line="220" w:lineRule="auto"/>
              <w:ind w:left="151"/>
            </w:pPr>
            <w:r>
              <w:rPr>
                <w:spacing w:val="-3"/>
              </w:rPr>
              <w:t>效益</w:t>
            </w:r>
          </w:p>
        </w:tc>
        <w:tc>
          <w:tcPr>
            <w:tcW w:w="380" w:type="dxa"/>
            <w:vMerge w:val="restart"/>
            <w:tcBorders>
              <w:bottom w:val="nil"/>
            </w:tcBorders>
            <w:vAlign w:val="top"/>
          </w:tcPr>
          <w:p>
            <w:pPr>
              <w:spacing w:line="299" w:lineRule="auto"/>
              <w:rPr>
                <w:rFonts w:ascii="Arial"/>
                <w:sz w:val="21"/>
              </w:rPr>
            </w:pPr>
          </w:p>
          <w:p>
            <w:pPr>
              <w:spacing w:line="300" w:lineRule="auto"/>
              <w:rPr>
                <w:rFonts w:ascii="Arial"/>
                <w:sz w:val="21"/>
              </w:rPr>
            </w:pPr>
          </w:p>
          <w:p>
            <w:pPr>
              <w:pStyle w:val="5"/>
              <w:spacing w:before="55"/>
              <w:ind w:left="92"/>
            </w:pPr>
            <w:r>
              <w:rPr>
                <w:spacing w:val="-5"/>
              </w:rPr>
              <w:t>10</w:t>
            </w:r>
          </w:p>
        </w:tc>
        <w:tc>
          <w:tcPr>
            <w:tcW w:w="4491" w:type="dxa"/>
            <w:gridSpan w:val="2"/>
            <w:vMerge w:val="restart"/>
            <w:tcBorders>
              <w:bottom w:val="nil"/>
            </w:tcBorders>
            <w:vAlign w:val="top"/>
          </w:tcPr>
          <w:p>
            <w:pPr>
              <w:spacing w:line="283" w:lineRule="auto"/>
              <w:rPr>
                <w:rFonts w:ascii="Arial"/>
                <w:sz w:val="21"/>
              </w:rPr>
            </w:pPr>
          </w:p>
          <w:p>
            <w:pPr>
              <w:pStyle w:val="5"/>
              <w:spacing w:before="55" w:line="317" w:lineRule="auto"/>
              <w:ind w:left="93" w:right="105" w:firstLine="89"/>
              <w:jc w:val="both"/>
            </w:pPr>
            <w:r>
              <w:t>此两项指标为设置部门整体支出绩效评价指标时必须考虑的共性要素，可根据部门实际情况有选择的进行</w:t>
            </w:r>
            <w:r>
              <w:rPr>
                <w:spacing w:val="-1"/>
              </w:rPr>
              <w:t>设置，并将其细化为相应的个性化指标。</w:t>
            </w:r>
          </w:p>
        </w:tc>
        <w:tc>
          <w:tcPr>
            <w:tcW w:w="676" w:type="dxa"/>
            <w:vMerge w:val="restart"/>
            <w:tcBorders>
              <w:bottom w:val="nil"/>
            </w:tcBorders>
            <w:vAlign w:val="top"/>
          </w:tcPr>
          <w:p>
            <w:pPr>
              <w:pStyle w:val="5"/>
              <w:spacing w:before="142" w:line="125" w:lineRule="exact"/>
              <w:jc w:val="center"/>
              <w:rPr>
                <w:rFonts w:hint="eastAsia"/>
                <w:sz w:val="16"/>
                <w:szCs w:val="16"/>
                <w:lang w:val="en-US" w:eastAsia="zh-CN"/>
              </w:rPr>
            </w:pPr>
          </w:p>
          <w:p>
            <w:pPr>
              <w:pStyle w:val="5"/>
              <w:spacing w:before="142" w:line="125" w:lineRule="exact"/>
              <w:jc w:val="center"/>
              <w:rPr>
                <w:rFonts w:hint="eastAsia"/>
                <w:sz w:val="16"/>
                <w:szCs w:val="16"/>
                <w:lang w:val="en-US" w:eastAsia="zh-CN"/>
              </w:rPr>
            </w:pPr>
          </w:p>
          <w:p>
            <w:pPr>
              <w:pStyle w:val="5"/>
              <w:spacing w:before="142" w:line="125" w:lineRule="exact"/>
              <w:jc w:val="center"/>
              <w:rPr>
                <w:rFonts w:hint="default"/>
                <w:sz w:val="16"/>
                <w:szCs w:val="16"/>
                <w:lang w:val="en-US" w:eastAsia="zh-CN"/>
              </w:rPr>
            </w:pPr>
            <w:r>
              <w:rPr>
                <w:rFonts w:hint="eastAsia"/>
                <w:sz w:val="16"/>
                <w:szCs w:val="16"/>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04" w:type="dxa"/>
            <w:vMerge w:val="continue"/>
            <w:tcBorders>
              <w:top w:val="nil"/>
              <w:bottom w:val="nil"/>
            </w:tcBorders>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669" w:type="dxa"/>
            <w:vAlign w:val="top"/>
          </w:tcPr>
          <w:p>
            <w:pPr>
              <w:pStyle w:val="5"/>
              <w:spacing w:before="131" w:line="219" w:lineRule="auto"/>
              <w:ind w:left="151"/>
            </w:pPr>
            <w:r>
              <w:rPr>
                <w:spacing w:val="-2"/>
              </w:rPr>
              <w:t>社会</w:t>
            </w:r>
          </w:p>
          <w:p>
            <w:pPr>
              <w:pStyle w:val="5"/>
              <w:spacing w:before="79" w:line="220" w:lineRule="auto"/>
              <w:ind w:left="151"/>
            </w:pPr>
            <w:r>
              <w:rPr>
                <w:spacing w:val="-3"/>
              </w:rPr>
              <w:t>效益</w:t>
            </w:r>
          </w:p>
        </w:tc>
        <w:tc>
          <w:tcPr>
            <w:tcW w:w="380" w:type="dxa"/>
            <w:vMerge w:val="continue"/>
            <w:tcBorders>
              <w:top w:val="nil"/>
            </w:tcBorders>
            <w:vAlign w:val="top"/>
          </w:tcPr>
          <w:p>
            <w:pPr>
              <w:rPr>
                <w:rFonts w:ascii="Arial"/>
                <w:sz w:val="21"/>
              </w:rPr>
            </w:pPr>
          </w:p>
        </w:tc>
        <w:tc>
          <w:tcPr>
            <w:tcW w:w="4491" w:type="dxa"/>
            <w:gridSpan w:val="2"/>
            <w:vMerge w:val="continue"/>
            <w:tcBorders>
              <w:top w:val="nil"/>
            </w:tcBorders>
            <w:vAlign w:val="top"/>
          </w:tcPr>
          <w:p>
            <w:pPr>
              <w:rPr>
                <w:rFonts w:ascii="Arial"/>
                <w:sz w:val="21"/>
              </w:rPr>
            </w:pPr>
          </w:p>
        </w:tc>
        <w:tc>
          <w:tcPr>
            <w:tcW w:w="676" w:type="dxa"/>
            <w:vMerge w:val="continue"/>
            <w:tcBorders>
              <w:top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8" w:hRule="atLeast"/>
        </w:trPr>
        <w:tc>
          <w:tcPr>
            <w:tcW w:w="1004" w:type="dxa"/>
            <w:vMerge w:val="continue"/>
            <w:tcBorders>
              <w:top w:val="nil"/>
              <w:bottom w:val="nil"/>
            </w:tcBorders>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669"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5"/>
              <w:spacing w:before="56" w:line="220" w:lineRule="auto"/>
              <w:ind w:left="151"/>
            </w:pPr>
            <w:r>
              <w:rPr>
                <w:spacing w:val="-3"/>
              </w:rPr>
              <w:t>行政</w:t>
            </w:r>
          </w:p>
          <w:p>
            <w:pPr>
              <w:pStyle w:val="5"/>
              <w:spacing w:before="57" w:line="220" w:lineRule="auto"/>
              <w:ind w:left="151"/>
            </w:pPr>
            <w:r>
              <w:rPr>
                <w:spacing w:val="-3"/>
              </w:rPr>
              <w:t>效能</w:t>
            </w:r>
          </w:p>
        </w:tc>
        <w:tc>
          <w:tcPr>
            <w:tcW w:w="38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5"/>
              <w:spacing w:before="55"/>
              <w:ind w:left="132"/>
            </w:pPr>
            <w:r>
              <w:t>6</w:t>
            </w:r>
          </w:p>
        </w:tc>
        <w:tc>
          <w:tcPr>
            <w:tcW w:w="2574" w:type="dxa"/>
            <w:vAlign w:val="top"/>
          </w:tcPr>
          <w:p>
            <w:pPr>
              <w:spacing w:line="444" w:lineRule="auto"/>
              <w:rPr>
                <w:rFonts w:ascii="Arial"/>
                <w:sz w:val="21"/>
              </w:rPr>
            </w:pPr>
          </w:p>
          <w:p>
            <w:pPr>
              <w:pStyle w:val="5"/>
              <w:spacing w:before="56" w:line="219" w:lineRule="auto"/>
              <w:ind w:left="112"/>
            </w:pPr>
            <w:r>
              <w:rPr>
                <w:spacing w:val="-1"/>
              </w:rPr>
              <w:t>促进部门改进文风会风，加强经费</w:t>
            </w:r>
          </w:p>
          <w:p>
            <w:pPr>
              <w:pStyle w:val="5"/>
              <w:spacing w:before="69" w:line="219" w:lineRule="auto"/>
              <w:ind w:left="112"/>
            </w:pPr>
            <w:r>
              <w:rPr>
                <w:spacing w:val="-1"/>
              </w:rPr>
              <w:t>及资产管理，推动网上办事，提高</w:t>
            </w:r>
          </w:p>
          <w:p>
            <w:pPr>
              <w:pStyle w:val="5"/>
              <w:spacing w:before="67" w:line="219" w:lineRule="auto"/>
              <w:ind w:left="112"/>
            </w:pPr>
            <w:r>
              <w:rPr>
                <w:spacing w:val="-1"/>
              </w:rPr>
              <w:t>行政效率，降低行政成本效果较好</w:t>
            </w:r>
          </w:p>
          <w:p>
            <w:pPr>
              <w:pStyle w:val="5"/>
              <w:spacing w:before="59" w:line="220" w:lineRule="auto"/>
              <w:ind w:left="202"/>
            </w:pPr>
            <w:r>
              <w:t>的计6分；一般3分；无效果或者</w:t>
            </w:r>
          </w:p>
          <w:p>
            <w:pPr>
              <w:pStyle w:val="5"/>
              <w:spacing w:before="77" w:line="219" w:lineRule="auto"/>
              <w:ind w:left="112"/>
            </w:pPr>
            <w:r>
              <w:rPr>
                <w:spacing w:val="-1"/>
              </w:rPr>
              <w:t>效果不明显0分。</w:t>
            </w:r>
          </w:p>
        </w:tc>
        <w:tc>
          <w:tcPr>
            <w:tcW w:w="1917"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5"/>
              <w:spacing w:before="55" w:line="308" w:lineRule="auto"/>
              <w:ind w:left="86" w:right="376"/>
            </w:pPr>
            <w:r>
              <w:rPr>
                <w:spacing w:val="-1"/>
              </w:rPr>
              <w:t>根据部门自评材料评</w:t>
            </w:r>
            <w:r>
              <w:rPr>
                <w:spacing w:val="-2"/>
              </w:rPr>
              <w:t>定。</w:t>
            </w:r>
          </w:p>
        </w:tc>
        <w:tc>
          <w:tcPr>
            <w:tcW w:w="676" w:type="dxa"/>
            <w:vAlign w:val="top"/>
          </w:tcPr>
          <w:p>
            <w:pPr>
              <w:pStyle w:val="5"/>
              <w:spacing w:before="55" w:line="239" w:lineRule="auto"/>
              <w:rPr>
                <w:spacing w:val="-3"/>
                <w:sz w:val="16"/>
                <w:szCs w:val="16"/>
              </w:rPr>
            </w:pPr>
          </w:p>
          <w:p>
            <w:pPr>
              <w:pStyle w:val="5"/>
              <w:spacing w:before="55" w:line="239" w:lineRule="auto"/>
              <w:rPr>
                <w:spacing w:val="-3"/>
                <w:sz w:val="16"/>
                <w:szCs w:val="16"/>
              </w:rPr>
            </w:pPr>
          </w:p>
          <w:p>
            <w:pPr>
              <w:pStyle w:val="5"/>
              <w:spacing w:before="55" w:line="239" w:lineRule="auto"/>
              <w:rPr>
                <w:spacing w:val="-3"/>
                <w:sz w:val="16"/>
                <w:szCs w:val="16"/>
              </w:rPr>
            </w:pPr>
          </w:p>
          <w:p>
            <w:pPr>
              <w:pStyle w:val="5"/>
              <w:spacing w:before="55" w:line="239" w:lineRule="auto"/>
              <w:rPr>
                <w:spacing w:val="-3"/>
                <w:sz w:val="16"/>
                <w:szCs w:val="16"/>
              </w:rPr>
            </w:pPr>
          </w:p>
          <w:p>
            <w:pPr>
              <w:pStyle w:val="5"/>
              <w:spacing w:before="55" w:line="239" w:lineRule="auto"/>
            </w:pPr>
            <w:r>
              <w:rPr>
                <w:spacing w:val="-3"/>
                <w:sz w:val="16"/>
                <w:szCs w:val="16"/>
              </w:rPr>
              <w:t>5.</w:t>
            </w:r>
            <w:r>
              <w:rPr>
                <w:sz w:val="16"/>
                <w:szCs w:val="16"/>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3" w:hRule="atLeast"/>
        </w:trPr>
        <w:tc>
          <w:tcPr>
            <w:tcW w:w="1004" w:type="dxa"/>
            <w:vMerge w:val="continue"/>
            <w:tcBorders>
              <w:top w:val="nil"/>
            </w:tcBorders>
            <w:vAlign w:val="top"/>
          </w:tcPr>
          <w:p>
            <w:pPr>
              <w:rPr>
                <w:rFonts w:ascii="Arial"/>
                <w:sz w:val="21"/>
              </w:rPr>
            </w:pPr>
          </w:p>
        </w:tc>
        <w:tc>
          <w:tcPr>
            <w:tcW w:w="589" w:type="dxa"/>
            <w:vMerge w:val="continue"/>
            <w:tcBorders>
              <w:top w:val="nil"/>
            </w:tcBorders>
            <w:vAlign w:val="top"/>
          </w:tcPr>
          <w:p>
            <w:pPr>
              <w:rPr>
                <w:rFonts w:ascii="Arial"/>
                <w:sz w:val="21"/>
              </w:rPr>
            </w:pPr>
          </w:p>
        </w:tc>
        <w:tc>
          <w:tcPr>
            <w:tcW w:w="669" w:type="dxa"/>
            <w:vAlign w:val="top"/>
          </w:tcPr>
          <w:p>
            <w:pPr>
              <w:pStyle w:val="5"/>
              <w:spacing w:before="225" w:line="294" w:lineRule="auto"/>
              <w:ind w:left="151" w:right="175"/>
            </w:pPr>
            <w:r>
              <w:rPr>
                <w:spacing w:val="-4"/>
              </w:rPr>
              <w:t>社会</w:t>
            </w:r>
            <w:r>
              <w:rPr>
                <w:spacing w:val="-6"/>
              </w:rPr>
              <w:t>公众</w:t>
            </w:r>
          </w:p>
          <w:p>
            <w:pPr>
              <w:pStyle w:val="5"/>
              <w:spacing w:line="220" w:lineRule="auto"/>
              <w:ind w:left="151"/>
            </w:pPr>
            <w:r>
              <w:rPr>
                <w:spacing w:val="-3"/>
              </w:rPr>
              <w:t>或服</w:t>
            </w:r>
          </w:p>
          <w:p>
            <w:pPr>
              <w:pStyle w:val="5"/>
              <w:spacing w:before="65" w:line="219" w:lineRule="auto"/>
              <w:ind w:left="151"/>
            </w:pPr>
            <w:r>
              <w:rPr>
                <w:spacing w:val="-2"/>
              </w:rPr>
              <w:t>务对</w:t>
            </w:r>
          </w:p>
          <w:p>
            <w:pPr>
              <w:pStyle w:val="5"/>
              <w:spacing w:before="68" w:line="219" w:lineRule="auto"/>
              <w:ind w:left="151"/>
            </w:pPr>
            <w:r>
              <w:rPr>
                <w:spacing w:val="4"/>
              </w:rPr>
              <w:t>象满</w:t>
            </w:r>
          </w:p>
          <w:p>
            <w:pPr>
              <w:pStyle w:val="5"/>
              <w:spacing w:before="89" w:line="220" w:lineRule="auto"/>
              <w:ind w:left="151"/>
            </w:pPr>
            <w:r>
              <w:rPr>
                <w:spacing w:val="5"/>
              </w:rPr>
              <w:t>意度</w:t>
            </w:r>
          </w:p>
        </w:tc>
        <w:tc>
          <w:tcPr>
            <w:tcW w:w="380" w:type="dxa"/>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5"/>
              <w:spacing w:before="56"/>
              <w:ind w:left="132"/>
            </w:pPr>
            <w:r>
              <w:t>6</w:t>
            </w:r>
          </w:p>
        </w:tc>
        <w:tc>
          <w:tcPr>
            <w:tcW w:w="2574" w:type="dxa"/>
            <w:vAlign w:val="top"/>
          </w:tcPr>
          <w:p>
            <w:pPr>
              <w:spacing w:line="457" w:lineRule="auto"/>
              <w:rPr>
                <w:rFonts w:ascii="Arial"/>
                <w:sz w:val="21"/>
              </w:rPr>
            </w:pPr>
          </w:p>
          <w:p>
            <w:pPr>
              <w:pStyle w:val="5"/>
              <w:spacing w:before="56" w:line="219" w:lineRule="auto"/>
              <w:ind w:left="93"/>
            </w:pPr>
            <w:r>
              <w:rPr>
                <w:spacing w:val="7"/>
              </w:rPr>
              <w:t>90%(含)以上计6分；</w:t>
            </w:r>
          </w:p>
          <w:p>
            <w:pPr>
              <w:pStyle w:val="5"/>
              <w:spacing w:before="65" w:line="302" w:lineRule="auto"/>
              <w:ind w:left="93" w:right="647"/>
            </w:pPr>
            <w:r>
              <w:rPr>
                <w:spacing w:val="23"/>
              </w:rPr>
              <w:t>80%(含)-90%,计4分；70%(含)-80%,计2分；</w:t>
            </w:r>
            <w:r>
              <w:t>低于70%计0分。</w:t>
            </w:r>
          </w:p>
        </w:tc>
        <w:tc>
          <w:tcPr>
            <w:tcW w:w="1917" w:type="dxa"/>
            <w:vAlign w:val="top"/>
          </w:tcPr>
          <w:p>
            <w:pPr>
              <w:spacing w:line="317" w:lineRule="auto"/>
              <w:rPr>
                <w:rFonts w:ascii="Arial"/>
                <w:sz w:val="21"/>
              </w:rPr>
            </w:pPr>
          </w:p>
          <w:p>
            <w:pPr>
              <w:pStyle w:val="5"/>
              <w:spacing w:before="55" w:line="219" w:lineRule="auto"/>
              <w:ind w:left="146"/>
            </w:pPr>
            <w:r>
              <w:rPr>
                <w:spacing w:val="-1"/>
              </w:rPr>
              <w:t>社会公众或服务对象是</w:t>
            </w:r>
          </w:p>
          <w:p>
            <w:pPr>
              <w:pStyle w:val="5"/>
              <w:spacing w:before="68" w:line="294" w:lineRule="auto"/>
              <w:ind w:left="86" w:right="146" w:firstLine="139"/>
            </w:pPr>
            <w:r>
              <w:rPr>
                <w:spacing w:val="-1"/>
              </w:rPr>
              <w:t>指部门(单位)履行职</w:t>
            </w:r>
            <w:r>
              <w:rPr>
                <w:spacing w:val="4"/>
              </w:rPr>
              <w:t>责而影响到的部门、群</w:t>
            </w:r>
            <w:r>
              <w:rPr>
                <w:spacing w:val="-1"/>
              </w:rPr>
              <w:t>体或个人，一般采取社会调查的方式。</w:t>
            </w:r>
          </w:p>
        </w:tc>
        <w:tc>
          <w:tcPr>
            <w:tcW w:w="676"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5"/>
              <w:spacing w:before="56" w:line="239" w:lineRule="auto"/>
              <w:ind w:left="99"/>
            </w:pPr>
            <w:r>
              <w:rPr>
                <w:spacing w:val="-3"/>
              </w:rPr>
              <w:t>5.</w:t>
            </w:r>
            <w:r>
              <w:t>6</w:t>
            </w:r>
          </w:p>
        </w:tc>
      </w:tr>
    </w:tbl>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NmQxYjM4ZTM0ZjAwY2E5MzIxZDk1YTRhNGQ1OTQifQ=="/>
  </w:docVars>
  <w:rsids>
    <w:rsidRoot w:val="79C059DB"/>
    <w:rsid w:val="018F0A90"/>
    <w:rsid w:val="1F457D45"/>
    <w:rsid w:val="6D4459F5"/>
    <w:rsid w:val="79C0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17"/>
      <w:szCs w:val="17"/>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4895</Words>
  <Characters>5319</Characters>
  <Lines>0</Lines>
  <Paragraphs>0</Paragraphs>
  <TotalTime>10</TotalTime>
  <ScaleCrop>false</ScaleCrop>
  <LinksUpToDate>false</LinksUpToDate>
  <CharactersWithSpaces>5319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2025-10-15T07:59:00Z</dcterms:created>
  <dc:creator>Administrator</dc:creator>
  <cp:lastModifiedBy>蒋阔</cp:lastModifiedBy>
  <dcterms:modified xsi:type="dcterms:W3CDTF">2025-10-20T00:50:19Z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TemplateDocerSaveRecord">
    <vt:lpwstr>eyJoZGlkIjoiNDhjZGU1MmE1YTdjMGVkMjI1OWIzMDYzNWJmN2NlYTEiLCJ1c2VySWQiOiIyNzYzMjEzNCJ9</vt:lpwstr>
  </property>
  <property fmtid="{D5CDD505-2E9C-101B-9397-08002B2CF9AE}" pid="4" name="ICV">
    <vt:lpwstr>F7A7DB40005F4078B6171F77DA71EB66_12</vt:lpwstr>
  </property>
</Properties>
</file>