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48"/>
        <w:rPr>
          <w:rFonts w:hint="eastAsia" w:ascii="仿宋" w:hAnsi="仿宋" w:eastAsia="仿宋" w:cs="仿宋"/>
          <w:color w:val="auto"/>
        </w:rPr>
      </w:pPr>
      <w:r>
        <w:rPr>
          <w:rFonts w:hint="eastAsia" w:ascii="仿宋" w:hAnsi="仿宋" w:eastAsia="仿宋" w:cs="仿宋"/>
          <w:color w:val="auto"/>
        </w:rPr>
        <w:t>附件 5</w:t>
      </w: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rPr>
          <w:rFonts w:hint="eastAsia" w:ascii="仿宋" w:hAnsi="仿宋" w:eastAsia="仿宋" w:cs="仿宋"/>
          <w:color w:val="auto"/>
          <w:sz w:val="20"/>
        </w:rPr>
      </w:pPr>
    </w:p>
    <w:p>
      <w:pPr>
        <w:pStyle w:val="5"/>
        <w:spacing w:before="8"/>
        <w:rPr>
          <w:rFonts w:hint="eastAsia" w:ascii="仿宋" w:hAnsi="仿宋" w:eastAsia="仿宋" w:cs="仿宋"/>
          <w:color w:val="auto"/>
          <w:sz w:val="29"/>
        </w:rPr>
      </w:pPr>
    </w:p>
    <w:p>
      <w:pPr>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eastAsia="方正小标宋简体" w:cs="方正小标宋简体"/>
          <w:color w:val="auto"/>
          <w:sz w:val="52"/>
        </w:rPr>
      </w:pPr>
      <w:r>
        <w:rPr>
          <w:rFonts w:hint="eastAsia" w:ascii="方正小标宋简体" w:hAnsi="方正小标宋简体" w:eastAsia="方正小标宋简体" w:cs="方正小标宋简体"/>
          <w:color w:val="auto"/>
          <w:sz w:val="52"/>
        </w:rPr>
        <w:t>202</w:t>
      </w:r>
      <w:r>
        <w:rPr>
          <w:rFonts w:hint="eastAsia" w:ascii="方正小标宋简体" w:hAnsi="方正小标宋简体" w:eastAsia="方正小标宋简体" w:cs="方正小标宋简体"/>
          <w:color w:val="auto"/>
          <w:sz w:val="52"/>
          <w:lang w:val="en-US" w:eastAsia="zh-CN"/>
        </w:rPr>
        <w:t>4</w:t>
      </w:r>
      <w:r>
        <w:rPr>
          <w:rFonts w:hint="eastAsia" w:ascii="方正小标宋简体" w:hAnsi="方正小标宋简体" w:eastAsia="方正小标宋简体" w:cs="方正小标宋简体"/>
          <w:color w:val="auto"/>
          <w:sz w:val="52"/>
        </w:rPr>
        <w:t xml:space="preserve"> 年度</w:t>
      </w:r>
      <w:r>
        <w:rPr>
          <w:rFonts w:hint="eastAsia" w:ascii="方正小标宋简体" w:hAnsi="方正小标宋简体" w:eastAsia="方正小标宋简体" w:cs="方正小标宋简体"/>
          <w:color w:val="auto"/>
          <w:sz w:val="52"/>
          <w:lang w:val="en-US" w:eastAsia="zh-CN"/>
        </w:rPr>
        <w:t>祁东县金桥镇人民政府</w:t>
      </w:r>
      <w:r>
        <w:rPr>
          <w:rFonts w:hint="eastAsia" w:ascii="方正小标宋简体" w:hAnsi="方正小标宋简体" w:eastAsia="方正小标宋简体" w:cs="方正小标宋简体"/>
          <w:color w:val="auto"/>
          <w:sz w:val="52"/>
        </w:rPr>
        <w:t>部门整体支出</w:t>
      </w:r>
      <w:r>
        <w:rPr>
          <w:rFonts w:hint="eastAsia" w:ascii="方正小标宋简体" w:hAnsi="方正小标宋简体" w:eastAsia="方正小标宋简体" w:cs="方正小标宋简体"/>
          <w:color w:val="auto"/>
          <w:sz w:val="52"/>
        </w:rPr>
        <w:br w:type="textWrapping"/>
      </w:r>
      <w:r>
        <w:rPr>
          <w:rFonts w:hint="eastAsia" w:ascii="方正小标宋简体" w:hAnsi="方正小标宋简体" w:eastAsia="方正小标宋简体" w:cs="方正小标宋简体"/>
          <w:color w:val="auto"/>
          <w:sz w:val="52"/>
        </w:rPr>
        <w:t>绩效自评报告</w:t>
      </w:r>
    </w:p>
    <w:p>
      <w:pPr>
        <w:pStyle w:val="5"/>
        <w:rPr>
          <w:rFonts w:hint="eastAsia" w:ascii="仿宋" w:hAnsi="仿宋" w:eastAsia="仿宋" w:cs="仿宋"/>
          <w:color w:val="auto"/>
          <w:sz w:val="62"/>
        </w:rPr>
      </w:pPr>
    </w:p>
    <w:p>
      <w:pPr>
        <w:pStyle w:val="5"/>
        <w:rPr>
          <w:rFonts w:hint="eastAsia" w:ascii="仿宋" w:hAnsi="仿宋" w:eastAsia="仿宋" w:cs="仿宋"/>
          <w:color w:val="auto"/>
          <w:sz w:val="62"/>
        </w:rPr>
      </w:pPr>
    </w:p>
    <w:p>
      <w:pPr>
        <w:pStyle w:val="5"/>
        <w:rPr>
          <w:rFonts w:hint="eastAsia" w:ascii="仿宋" w:hAnsi="仿宋" w:eastAsia="仿宋" w:cs="仿宋"/>
          <w:color w:val="auto"/>
          <w:sz w:val="62"/>
        </w:rPr>
      </w:pPr>
    </w:p>
    <w:p>
      <w:pPr>
        <w:pStyle w:val="5"/>
        <w:rPr>
          <w:rFonts w:hint="eastAsia" w:ascii="仿宋" w:hAnsi="仿宋" w:eastAsia="仿宋" w:cs="仿宋"/>
          <w:color w:val="auto"/>
          <w:sz w:val="62"/>
        </w:rPr>
      </w:pPr>
    </w:p>
    <w:p>
      <w:pPr>
        <w:pStyle w:val="5"/>
        <w:rPr>
          <w:rFonts w:hint="eastAsia" w:ascii="仿宋" w:hAnsi="仿宋" w:eastAsia="仿宋" w:cs="仿宋"/>
          <w:color w:val="auto"/>
          <w:sz w:val="62"/>
        </w:rPr>
      </w:pPr>
    </w:p>
    <w:p>
      <w:pPr>
        <w:pStyle w:val="5"/>
        <w:spacing w:before="9"/>
        <w:rPr>
          <w:rFonts w:hint="eastAsia" w:ascii="仿宋" w:hAnsi="仿宋" w:eastAsia="仿宋" w:cs="仿宋"/>
          <w:color w:val="auto"/>
          <w:sz w:val="71"/>
        </w:rPr>
      </w:pPr>
    </w:p>
    <w:p>
      <w:pPr>
        <w:pStyle w:val="5"/>
        <w:tabs>
          <w:tab w:val="left" w:pos="5973"/>
        </w:tabs>
        <w:ind w:left="535"/>
        <w:jc w:val="center"/>
        <w:rPr>
          <w:rFonts w:hint="eastAsia" w:ascii="仿宋" w:hAnsi="仿宋" w:eastAsia="仿宋" w:cs="仿宋"/>
          <w:color w:val="auto"/>
        </w:rPr>
      </w:pPr>
      <w:r>
        <w:rPr>
          <w:rFonts w:hint="eastAsia" w:ascii="仿宋" w:hAnsi="仿宋" w:eastAsia="仿宋" w:cs="仿宋"/>
          <w:color w:val="auto"/>
        </w:rPr>
        <w:t>部门（单位）名称</w:t>
      </w:r>
      <w:r>
        <w:rPr>
          <w:rFonts w:hint="eastAsia" w:ascii="仿宋" w:hAnsi="仿宋" w:eastAsia="仿宋" w:cs="仿宋"/>
          <w:color w:val="auto"/>
          <w:spacing w:val="155"/>
        </w:rPr>
        <w:t xml:space="preserve"> </w:t>
      </w:r>
      <w:r>
        <w:rPr>
          <w:rFonts w:hint="eastAsia" w:ascii="仿宋" w:hAnsi="仿宋" w:eastAsia="仿宋" w:cs="仿宋"/>
          <w:color w:val="auto"/>
          <w:u w:val="single"/>
          <w:lang w:val="en-US" w:eastAsia="zh-CN"/>
        </w:rPr>
        <w:t>祁东县金桥镇人民政府</w:t>
      </w:r>
    </w:p>
    <w:p>
      <w:pPr>
        <w:pStyle w:val="5"/>
        <w:spacing w:before="190"/>
        <w:ind w:firstLine="3520" w:firstLineChars="1100"/>
        <w:rPr>
          <w:rFonts w:hint="eastAsia" w:ascii="楷体" w:hAnsi="楷体" w:eastAsia="楷体" w:cs="楷体"/>
          <w:color w:val="auto"/>
        </w:rPr>
      </w:pPr>
      <w:r>
        <w:rPr>
          <w:rFonts w:hint="eastAsia" w:ascii="楷体" w:hAnsi="楷体" w:eastAsia="楷体" w:cs="楷体"/>
          <w:color w:val="auto"/>
          <w:lang w:val="en-US" w:eastAsia="zh-CN"/>
        </w:rPr>
        <w:t>2025</w:t>
      </w:r>
      <w:r>
        <w:rPr>
          <w:rFonts w:hint="eastAsia" w:ascii="楷体" w:hAnsi="楷体" w:eastAsia="楷体" w:cs="楷体"/>
          <w:color w:val="auto"/>
        </w:rPr>
        <w:t>年</w:t>
      </w:r>
      <w:r>
        <w:rPr>
          <w:rFonts w:hint="eastAsia" w:ascii="楷体" w:hAnsi="楷体" w:eastAsia="楷体" w:cs="楷体"/>
          <w:color w:val="auto"/>
          <w:lang w:val="en-US" w:eastAsia="zh-CN"/>
        </w:rPr>
        <w:t>4</w:t>
      </w:r>
      <w:r>
        <w:rPr>
          <w:rFonts w:hint="eastAsia" w:ascii="楷体" w:hAnsi="楷体" w:eastAsia="楷体" w:cs="楷体"/>
          <w:color w:val="auto"/>
        </w:rPr>
        <w:t>月</w:t>
      </w:r>
      <w:r>
        <w:rPr>
          <w:rFonts w:hint="eastAsia" w:ascii="楷体" w:hAnsi="楷体" w:eastAsia="楷体" w:cs="楷体"/>
          <w:color w:val="auto"/>
          <w:lang w:val="en-US" w:eastAsia="zh-CN"/>
        </w:rPr>
        <w:t>14</w:t>
      </w:r>
      <w:r>
        <w:rPr>
          <w:rFonts w:hint="eastAsia" w:ascii="楷体" w:hAnsi="楷体" w:eastAsia="楷体" w:cs="楷体"/>
          <w:color w:val="auto"/>
        </w:rPr>
        <w:t>日</w:t>
      </w:r>
    </w:p>
    <w:p>
      <w:pPr>
        <w:pStyle w:val="5"/>
        <w:spacing w:before="4"/>
        <w:rPr>
          <w:rFonts w:hint="eastAsia" w:ascii="仿宋" w:hAnsi="仿宋" w:eastAsia="仿宋" w:cs="仿宋"/>
          <w:color w:val="auto"/>
          <w:sz w:val="31"/>
        </w:rPr>
      </w:pPr>
    </w:p>
    <w:p>
      <w:pPr>
        <w:pStyle w:val="5"/>
        <w:ind w:left="4031"/>
        <w:rPr>
          <w:rFonts w:hint="eastAsia" w:ascii="仿宋" w:hAnsi="仿宋" w:eastAsia="仿宋" w:cs="仿宋"/>
          <w:color w:val="auto"/>
        </w:rPr>
      </w:pPr>
      <w:r>
        <w:rPr>
          <w:rFonts w:hint="eastAsia" w:ascii="仿宋" w:hAnsi="仿宋" w:eastAsia="仿宋" w:cs="仿宋"/>
          <w:color w:val="auto"/>
        </w:rPr>
        <w:t>（此页为封面）</w:t>
      </w:r>
    </w:p>
    <w:p>
      <w:pPr>
        <w:spacing w:after="0"/>
        <w:rPr>
          <w:rFonts w:hint="eastAsia" w:ascii="仿宋" w:hAnsi="仿宋" w:eastAsia="仿宋" w:cs="仿宋"/>
          <w:color w:val="auto"/>
        </w:rPr>
        <w:sectPr>
          <w:pgSz w:w="11900" w:h="16840"/>
          <w:pgMar w:top="1440" w:right="1803" w:bottom="1440" w:left="1803" w:header="720" w:footer="992" w:gutter="0"/>
          <w:cols w:space="0" w:num="1"/>
          <w:rtlGutter w:val="0"/>
          <w:docGrid w:linePitch="0" w:charSpace="0"/>
        </w:sectPr>
      </w:pPr>
    </w:p>
    <w:p>
      <w:pPr>
        <w:pStyle w:val="3"/>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cs="方正小标宋简体"/>
          <w:color w:val="auto"/>
          <w:lang w:val="en-US" w:eastAsia="zh-CN"/>
        </w:rPr>
      </w:pPr>
      <w:r>
        <w:rPr>
          <w:rFonts w:hint="eastAsia" w:ascii="方正小标宋简体" w:hAnsi="方正小标宋简体" w:eastAsia="方正小标宋简体" w:cs="方正小标宋简体"/>
          <w:color w:val="auto"/>
        </w:rPr>
        <w:t>202</w:t>
      </w:r>
      <w:r>
        <w:rPr>
          <w:rFonts w:hint="eastAsia" w:ascii="方正小标宋简体" w:hAnsi="方正小标宋简体" w:cs="方正小标宋简体"/>
          <w:color w:val="auto"/>
          <w:lang w:val="en-US" w:eastAsia="zh-CN"/>
        </w:rPr>
        <w:t>4</w:t>
      </w:r>
      <w:r>
        <w:rPr>
          <w:rFonts w:hint="eastAsia" w:ascii="方正小标宋简体" w:hAnsi="方正小标宋简体" w:eastAsia="方正小标宋简体" w:cs="方正小标宋简体"/>
          <w:color w:val="auto"/>
        </w:rPr>
        <w:t xml:space="preserve"> 年度</w:t>
      </w:r>
      <w:r>
        <w:rPr>
          <w:rFonts w:hint="eastAsia" w:ascii="方正小标宋简体" w:hAnsi="方正小标宋简体" w:cs="方正小标宋简体"/>
          <w:color w:val="auto"/>
          <w:lang w:val="en-US" w:eastAsia="zh-CN"/>
        </w:rPr>
        <w:t>祁东县金桥镇人民政府</w:t>
      </w:r>
    </w:p>
    <w:p>
      <w:pPr>
        <w:pStyle w:val="3"/>
        <w:keepNext w:val="0"/>
        <w:keepLines w:val="0"/>
        <w:pageBreakBefore w:val="0"/>
        <w:widowControl w:val="0"/>
        <w:kinsoku/>
        <w:wordWrap/>
        <w:overflowPunct/>
        <w:topLinePunct w:val="0"/>
        <w:autoSpaceDE w:val="0"/>
        <w:autoSpaceDN w:val="0"/>
        <w:bidi w:val="0"/>
        <w:adjustRightInd/>
        <w:snapToGrid/>
        <w:spacing w:before="0" w:line="214" w:lineRule="auto"/>
        <w:ind w:left="0" w:right="0" w:firstLine="0"/>
        <w:jc w:val="center"/>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部门整体支出绩效自评报告</w:t>
      </w:r>
    </w:p>
    <w:p>
      <w:pPr>
        <w:pStyle w:val="5"/>
        <w:spacing w:before="5"/>
        <w:rPr>
          <w:rFonts w:hint="eastAsia" w:ascii="仿宋" w:hAnsi="仿宋" w:eastAsia="仿宋" w:cs="仿宋"/>
          <w:color w:val="auto"/>
          <w:sz w:val="51"/>
        </w:rPr>
      </w:pP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一、部门基本情况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二、一般公共预算支出情况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（一）基本支出情况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（二）项目支出情况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三、政府性基金预算支出情况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四、国有资本经营预算支出情况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五、社会保险基金预算支出情况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六、部门整体支出绩效情况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七、存在的问题及原因分析</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八、下一步改进措施</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九、部门整体支出绩效自评结果拟应用和公开情况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十、其他需要说明的情况</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仿宋" w:hAnsi="仿宋" w:eastAsia="仿宋" w:cs="仿宋"/>
          <w:color w:val="auto"/>
        </w:rPr>
      </w:pPr>
    </w:p>
    <w:p>
      <w:pPr>
        <w:rPr>
          <w:rFonts w:hint="eastAsia" w:ascii="仿宋" w:hAnsi="仿宋" w:eastAsia="仿宋" w:cs="仿宋"/>
          <w:color w:val="auto"/>
          <w:w w:val="95"/>
        </w:rPr>
      </w:pPr>
      <w:bookmarkStart w:id="0" w:name="_GoBack"/>
      <w:bookmarkEnd w:id="0"/>
      <w:r>
        <w:rPr>
          <w:rFonts w:hint="eastAsia" w:ascii="仿宋" w:hAnsi="仿宋" w:eastAsia="仿宋" w:cs="仿宋"/>
          <w:color w:val="auto"/>
          <w:w w:val="95"/>
        </w:rPr>
        <w:br w:type="page"/>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一、部门基本情况</w:t>
      </w:r>
    </w:p>
    <w:p>
      <w:pPr>
        <w:widowControl/>
        <w:shd w:val="clear" w:color="auto" w:fill="FFFFFF"/>
        <w:spacing w:line="600" w:lineRule="atLeast"/>
        <w:ind w:firstLine="562" w:firstLineChars="200"/>
        <w:rPr>
          <w:rFonts w:ascii="宋体" w:hAnsi="宋体" w:cs="宋体"/>
          <w:color w:val="333333"/>
          <w:sz w:val="28"/>
          <w:szCs w:val="28"/>
        </w:rPr>
      </w:pPr>
      <w:r>
        <w:rPr>
          <w:rFonts w:hint="eastAsia" w:ascii="宋体" w:hAnsi="宋体" w:cs="宋体"/>
          <w:b/>
          <w:bCs/>
          <w:color w:val="333333"/>
          <w:sz w:val="28"/>
          <w:szCs w:val="28"/>
        </w:rPr>
        <w:t>（一）主要职责</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 xml:space="preserve">1、负责制定本行政区域内经济建设和各项社会事业发展规划， </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 xml:space="preserve"> 并具体组织实施。依法管理经济和社会事务，抓好本乡的两个文明建设。负责本乡内的民主与法制建设，协调处理好各类矛盾关系。</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2、负责党的路线、方针、政策和国家各项法律法规在本行政区域内的宣传、贯彻、落实。加强基层党组织和政权建设，为本地方经济的发展和社会稳定提供政治、社会环境和组织保证。</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3、负责乡党委、人大主席团、人民政府、政协联络工委、纪律检查委员会、人民武装部及共青团、妇联等群团组织的日常工作。</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4.执行本级人民代表大会的决议和上级国家行政机关的决定和命令，发布决定和命令。</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5.执行本行政区域内的经济和社会发展计划、预算，管理本行政区域内的经济、教育、科学、文化、卫生、体育事业和财政、民政、公安、司法行政、计划生育等行政工作。</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6.保护社会主义的全民所有财产和劳动群众集体所有的财产，保护公民私人所有的合法财产，维护社会秩序，保障公民的人身权利、民主权利和其他权利。</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7.保障宪法和发现赋予妇女的男女平等，同工同酬和婚姻自由等各项权利。</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8.任免、培训、考核和奖惩行政工作人员。</w:t>
      </w:r>
    </w:p>
    <w:p>
      <w:pPr>
        <w:widowControl/>
        <w:shd w:val="clear" w:color="auto" w:fill="FFFFFF"/>
        <w:spacing w:line="600" w:lineRule="atLeast"/>
        <w:ind w:firstLine="560" w:firstLineChars="200"/>
        <w:rPr>
          <w:rFonts w:ascii="宋体" w:hAnsi="宋体" w:cs="宋体"/>
          <w:color w:val="333333"/>
          <w:sz w:val="28"/>
          <w:szCs w:val="28"/>
        </w:rPr>
      </w:pPr>
      <w:r>
        <w:rPr>
          <w:rFonts w:hint="eastAsia" w:ascii="宋体" w:hAnsi="宋体" w:cs="宋体"/>
          <w:color w:val="333333"/>
          <w:sz w:val="28"/>
          <w:szCs w:val="28"/>
        </w:rPr>
        <w:t>9.支持和协调上级有关部门派驻本乡单位的工作。</w:t>
      </w:r>
    </w:p>
    <w:p>
      <w:pPr>
        <w:widowControl/>
        <w:shd w:val="clear" w:color="auto" w:fill="FFFFFF"/>
        <w:spacing w:line="600" w:lineRule="atLeast"/>
        <w:ind w:firstLine="560" w:firstLineChars="200"/>
        <w:rPr>
          <w:rFonts w:hAnsi="楷体_GB2312" w:eastAsia="楷体_GB2312"/>
          <w:color w:val="333333"/>
          <w:sz w:val="28"/>
          <w:szCs w:val="28"/>
        </w:rPr>
      </w:pPr>
      <w:r>
        <w:rPr>
          <w:rFonts w:hint="eastAsia" w:ascii="宋体" w:hAnsi="宋体" w:cs="宋体"/>
          <w:color w:val="333333"/>
          <w:sz w:val="28"/>
          <w:szCs w:val="28"/>
        </w:rPr>
        <w:t>10.办理上级人民政府交办的其他事项</w:t>
      </w:r>
      <w:r>
        <w:rPr>
          <w:rFonts w:hAnsi="楷体_GB2312" w:eastAsia="楷体_GB2312"/>
          <w:color w:val="333333"/>
          <w:sz w:val="28"/>
          <w:szCs w:val="28"/>
        </w:rPr>
        <w:t>。</w:t>
      </w:r>
    </w:p>
    <w:p>
      <w:pPr>
        <w:widowControl/>
        <w:shd w:val="clear" w:color="auto" w:fill="FFFFFF"/>
        <w:spacing w:line="600" w:lineRule="atLeast"/>
        <w:rPr>
          <w:rFonts w:hAnsi="楷体_GB2312" w:eastAsia="楷体_GB2312"/>
          <w:b/>
          <w:bCs/>
          <w:color w:val="333333"/>
          <w:sz w:val="28"/>
          <w:szCs w:val="28"/>
        </w:rPr>
      </w:pPr>
      <w:r>
        <w:rPr>
          <w:rFonts w:hint="eastAsia" w:hAnsi="楷体_GB2312" w:eastAsia="楷体_GB2312"/>
          <w:b/>
          <w:bCs/>
          <w:color w:val="333333"/>
          <w:sz w:val="28"/>
          <w:szCs w:val="28"/>
        </w:rPr>
        <w:t xml:space="preserve"> </w:t>
      </w:r>
      <w:r>
        <w:rPr>
          <w:rFonts w:hAnsi="楷体_GB2312" w:eastAsia="楷体_GB2312"/>
          <w:b/>
          <w:bCs/>
          <w:color w:val="333333"/>
          <w:sz w:val="28"/>
          <w:szCs w:val="28"/>
        </w:rPr>
        <w:t>（</w:t>
      </w:r>
      <w:r>
        <w:rPr>
          <w:rFonts w:ascii="宋体" w:hAnsi="宋体" w:cs="宋体"/>
          <w:b/>
          <w:bCs/>
          <w:sz w:val="28"/>
          <w:szCs w:val="28"/>
        </w:rPr>
        <w:t>二）机构设置</w:t>
      </w:r>
    </w:p>
    <w:p>
      <w:pPr>
        <w:widowControl/>
        <w:shd w:val="clear" w:color="auto" w:fill="FFFFFF"/>
        <w:snapToGrid w:val="0"/>
        <w:spacing w:line="360" w:lineRule="auto"/>
        <w:ind w:firstLine="560" w:firstLineChars="200"/>
        <w:rPr>
          <w:rFonts w:ascii="宋体" w:hAnsi="宋体" w:cs="宋体"/>
          <w:color w:val="auto"/>
          <w:sz w:val="28"/>
          <w:szCs w:val="28"/>
        </w:rPr>
      </w:pPr>
      <w:r>
        <w:rPr>
          <w:rFonts w:hint="eastAsia" w:ascii="宋体" w:hAnsi="宋体" w:cs="宋体"/>
          <w:color w:val="auto"/>
          <w:kern w:val="0"/>
          <w:sz w:val="28"/>
          <w:szCs w:val="28"/>
          <w:lang w:eastAsia="zh-CN"/>
        </w:rPr>
        <w:t>金桥</w:t>
      </w:r>
      <w:r>
        <w:rPr>
          <w:rFonts w:hint="eastAsia" w:ascii="宋体" w:hAnsi="宋体" w:cs="宋体"/>
          <w:color w:val="auto"/>
          <w:kern w:val="0"/>
          <w:sz w:val="28"/>
          <w:szCs w:val="28"/>
        </w:rPr>
        <w:t>镇政府现设”六办”、“三中心”9个内设机构。“六办”即：党政办公室、党建办公室、经济发展办公室、社会事务办公室、自然资源和生态环境办公室、社会治安和应急管理办公室；“三中心”即：社会事务综合服务中心、农业综合服务中心、政务服务中心。</w:t>
      </w:r>
    </w:p>
    <w:p>
      <w:pPr>
        <w:pStyle w:val="7"/>
        <w:numPr>
          <w:ilvl w:val="0"/>
          <w:numId w:val="1"/>
        </w:numPr>
        <w:spacing w:before="0" w:beforeAutospacing="0" w:after="0" w:afterAutospacing="0" w:line="360" w:lineRule="auto"/>
        <w:ind w:firstLine="281" w:firstLineChars="100"/>
        <w:rPr>
          <w:b/>
          <w:bCs/>
          <w:kern w:val="2"/>
          <w:sz w:val="28"/>
          <w:szCs w:val="28"/>
        </w:rPr>
      </w:pPr>
      <w:r>
        <w:rPr>
          <w:rFonts w:hint="eastAsia"/>
          <w:b/>
          <w:bCs/>
          <w:kern w:val="2"/>
          <w:sz w:val="28"/>
          <w:szCs w:val="28"/>
        </w:rPr>
        <w:t>人员编制情况</w:t>
      </w:r>
    </w:p>
    <w:p>
      <w:pPr>
        <w:widowControl/>
        <w:snapToGrid w:val="0"/>
        <w:spacing w:line="360" w:lineRule="auto"/>
        <w:ind w:firstLine="560" w:firstLineChars="200"/>
        <w:rPr>
          <w:rFonts w:hint="eastAsia" w:ascii="宋体" w:hAnsi="宋体" w:cs="宋体"/>
          <w:color w:val="auto"/>
          <w:kern w:val="0"/>
          <w:sz w:val="28"/>
          <w:szCs w:val="28"/>
          <w:highlight w:val="none"/>
        </w:rPr>
      </w:pPr>
      <w:r>
        <w:rPr>
          <w:rFonts w:hint="eastAsia" w:ascii="宋体" w:hAnsi="宋体" w:cs="宋体"/>
          <w:color w:val="auto"/>
          <w:kern w:val="0"/>
          <w:sz w:val="28"/>
          <w:szCs w:val="28"/>
        </w:rPr>
        <w:t>祁东县</w:t>
      </w:r>
      <w:r>
        <w:rPr>
          <w:rFonts w:hint="eastAsia" w:ascii="宋体" w:hAnsi="宋体" w:cs="宋体"/>
          <w:color w:val="auto"/>
          <w:kern w:val="0"/>
          <w:sz w:val="28"/>
          <w:szCs w:val="28"/>
          <w:lang w:eastAsia="zh-CN"/>
        </w:rPr>
        <w:t>金桥</w:t>
      </w:r>
      <w:r>
        <w:rPr>
          <w:rFonts w:hint="eastAsia" w:ascii="宋体" w:hAnsi="宋体" w:cs="宋体"/>
          <w:color w:val="auto"/>
          <w:kern w:val="0"/>
          <w:sz w:val="28"/>
          <w:szCs w:val="28"/>
        </w:rPr>
        <w:t>镇人民政府是正科级全额拨款单位，至202</w:t>
      </w:r>
      <w:r>
        <w:rPr>
          <w:rFonts w:hint="eastAsia" w:cs="宋体"/>
          <w:color w:val="auto"/>
          <w:kern w:val="0"/>
          <w:sz w:val="28"/>
          <w:szCs w:val="28"/>
          <w:lang w:val="en-US" w:eastAsia="zh-CN"/>
        </w:rPr>
        <w:t>4</w:t>
      </w:r>
      <w:r>
        <w:rPr>
          <w:rFonts w:hint="eastAsia" w:ascii="宋体" w:hAnsi="宋体" w:cs="宋体"/>
          <w:color w:val="auto"/>
          <w:kern w:val="0"/>
          <w:sz w:val="28"/>
          <w:szCs w:val="28"/>
        </w:rPr>
        <w:t>年12月，</w:t>
      </w:r>
      <w:r>
        <w:rPr>
          <w:rFonts w:hint="eastAsia" w:ascii="宋体" w:hAnsi="宋体" w:cs="宋体"/>
          <w:color w:val="auto"/>
          <w:kern w:val="0"/>
          <w:sz w:val="28"/>
          <w:szCs w:val="28"/>
          <w:highlight w:val="none"/>
        </w:rPr>
        <w:t>共有编制</w:t>
      </w:r>
      <w:r>
        <w:rPr>
          <w:rFonts w:hint="eastAsia" w:cs="宋体"/>
          <w:color w:val="auto"/>
          <w:kern w:val="0"/>
          <w:sz w:val="28"/>
          <w:szCs w:val="28"/>
          <w:highlight w:val="none"/>
          <w:lang w:val="en-US" w:eastAsia="zh-CN"/>
        </w:rPr>
        <w:t>99</w:t>
      </w:r>
      <w:r>
        <w:rPr>
          <w:rFonts w:hint="eastAsia" w:ascii="宋体" w:hAnsi="宋体" w:cs="宋体"/>
          <w:color w:val="auto"/>
          <w:kern w:val="0"/>
          <w:sz w:val="28"/>
          <w:szCs w:val="28"/>
          <w:highlight w:val="none"/>
        </w:rPr>
        <w:t>人，</w:t>
      </w:r>
      <w:r>
        <w:rPr>
          <w:rFonts w:hint="eastAsia" w:ascii="宋体" w:hAnsi="宋体" w:cs="宋体"/>
          <w:color w:val="auto"/>
          <w:kern w:val="0"/>
          <w:sz w:val="28"/>
          <w:szCs w:val="28"/>
          <w:highlight w:val="none"/>
          <w:lang w:val="en-US" w:eastAsia="zh-CN"/>
        </w:rPr>
        <w:t>实有人数9</w:t>
      </w:r>
      <w:r>
        <w:rPr>
          <w:rFonts w:hint="eastAsia" w:cs="宋体"/>
          <w:color w:val="auto"/>
          <w:kern w:val="0"/>
          <w:sz w:val="28"/>
          <w:szCs w:val="28"/>
          <w:highlight w:val="none"/>
          <w:lang w:val="en-US" w:eastAsia="zh-CN"/>
        </w:rPr>
        <w:t>1</w:t>
      </w:r>
      <w:r>
        <w:rPr>
          <w:rFonts w:hint="eastAsia" w:ascii="宋体" w:hAnsi="宋体" w:cs="宋体"/>
          <w:color w:val="auto"/>
          <w:kern w:val="0"/>
          <w:sz w:val="28"/>
          <w:szCs w:val="28"/>
          <w:highlight w:val="none"/>
          <w:lang w:val="en-US" w:eastAsia="zh-CN"/>
        </w:rPr>
        <w:t>人，</w:t>
      </w:r>
      <w:r>
        <w:rPr>
          <w:rFonts w:hint="eastAsia" w:ascii="宋体" w:hAnsi="宋体" w:cs="宋体"/>
          <w:color w:val="auto"/>
          <w:kern w:val="0"/>
          <w:sz w:val="28"/>
          <w:szCs w:val="28"/>
          <w:highlight w:val="none"/>
        </w:rPr>
        <w:t>其中行政编制</w:t>
      </w:r>
      <w:r>
        <w:rPr>
          <w:rFonts w:hint="eastAsia" w:ascii="宋体" w:hAnsi="宋体" w:cs="宋体"/>
          <w:color w:val="auto"/>
          <w:kern w:val="0"/>
          <w:sz w:val="28"/>
          <w:szCs w:val="28"/>
          <w:highlight w:val="none"/>
          <w:lang w:val="en-US" w:eastAsia="zh-CN"/>
        </w:rPr>
        <w:t>3</w:t>
      </w:r>
      <w:r>
        <w:rPr>
          <w:rFonts w:hint="eastAsia" w:cs="宋体"/>
          <w:color w:val="auto"/>
          <w:kern w:val="0"/>
          <w:sz w:val="28"/>
          <w:szCs w:val="28"/>
          <w:highlight w:val="none"/>
          <w:lang w:val="en-US" w:eastAsia="zh-CN"/>
        </w:rPr>
        <w:t>2</w:t>
      </w:r>
      <w:r>
        <w:rPr>
          <w:rFonts w:hint="eastAsia" w:ascii="宋体" w:hAnsi="宋体" w:cs="宋体"/>
          <w:color w:val="auto"/>
          <w:kern w:val="0"/>
          <w:sz w:val="28"/>
          <w:szCs w:val="28"/>
          <w:highlight w:val="none"/>
        </w:rPr>
        <w:t>人</w:t>
      </w:r>
      <w:r>
        <w:rPr>
          <w:rFonts w:hint="eastAsia" w:ascii="宋体" w:hAnsi="宋体" w:cs="宋体"/>
          <w:color w:val="auto"/>
          <w:kern w:val="0"/>
          <w:sz w:val="28"/>
          <w:szCs w:val="28"/>
          <w:highlight w:val="none"/>
          <w:lang w:eastAsia="zh-CN"/>
        </w:rPr>
        <w:t>，</w:t>
      </w:r>
      <w:r>
        <w:rPr>
          <w:rFonts w:hint="eastAsia" w:ascii="宋体" w:hAnsi="宋体" w:cs="宋体"/>
          <w:color w:val="auto"/>
          <w:kern w:val="0"/>
          <w:sz w:val="28"/>
          <w:szCs w:val="28"/>
          <w:highlight w:val="none"/>
        </w:rPr>
        <w:t>事业编制</w:t>
      </w:r>
      <w:r>
        <w:rPr>
          <w:rFonts w:hint="eastAsia" w:cs="宋体"/>
          <w:color w:val="auto"/>
          <w:kern w:val="0"/>
          <w:sz w:val="28"/>
          <w:szCs w:val="28"/>
          <w:highlight w:val="none"/>
          <w:lang w:val="en-US" w:eastAsia="zh-CN"/>
        </w:rPr>
        <w:t>59</w:t>
      </w:r>
      <w:r>
        <w:rPr>
          <w:rFonts w:hint="eastAsia" w:ascii="宋体" w:hAnsi="宋体" w:cs="宋体"/>
          <w:color w:val="auto"/>
          <w:kern w:val="0"/>
          <w:sz w:val="28"/>
          <w:szCs w:val="28"/>
          <w:highlight w:val="none"/>
        </w:rPr>
        <w:t>人，退休人数</w:t>
      </w:r>
      <w:r>
        <w:rPr>
          <w:rFonts w:hint="eastAsia" w:ascii="宋体" w:hAnsi="宋体" w:cs="宋体"/>
          <w:color w:val="auto"/>
          <w:kern w:val="0"/>
          <w:sz w:val="28"/>
          <w:szCs w:val="28"/>
          <w:highlight w:val="none"/>
          <w:lang w:val="en-US" w:eastAsia="zh-CN"/>
        </w:rPr>
        <w:t>3</w:t>
      </w:r>
      <w:r>
        <w:rPr>
          <w:rFonts w:hint="eastAsia" w:cs="宋体"/>
          <w:color w:val="auto"/>
          <w:kern w:val="0"/>
          <w:sz w:val="28"/>
          <w:szCs w:val="28"/>
          <w:highlight w:val="none"/>
          <w:lang w:val="en-US" w:eastAsia="zh-CN"/>
        </w:rPr>
        <w:t>2</w:t>
      </w:r>
      <w:r>
        <w:rPr>
          <w:rFonts w:hint="eastAsia" w:ascii="宋体" w:hAnsi="宋体" w:cs="宋体"/>
          <w:color w:val="auto"/>
          <w:kern w:val="0"/>
          <w:sz w:val="28"/>
          <w:szCs w:val="28"/>
          <w:highlight w:val="none"/>
        </w:rPr>
        <w:t>人。</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一般公共预算支出情况</w:t>
      </w:r>
    </w:p>
    <w:p>
      <w:pPr>
        <w:pStyle w:val="5"/>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right="0"/>
        <w:jc w:val="both"/>
        <w:textAlignment w:val="auto"/>
        <w:rPr>
          <w:rFonts w:hint="eastAsia" w:ascii="楷体" w:hAnsi="楷体" w:eastAsia="楷体" w:cs="楷体"/>
          <w:b/>
          <w:bCs/>
          <w:color w:val="auto"/>
        </w:rPr>
      </w:pPr>
      <w:r>
        <w:rPr>
          <w:rFonts w:hint="eastAsia" w:ascii="楷体" w:hAnsi="楷体" w:eastAsia="楷体" w:cs="楷体"/>
          <w:b/>
          <w:bCs/>
          <w:color w:val="auto"/>
        </w:rPr>
        <w:t>基本支出情况</w:t>
      </w:r>
    </w:p>
    <w:p>
      <w:pPr>
        <w:pStyle w:val="7"/>
        <w:spacing w:before="0" w:beforeAutospacing="0" w:after="0" w:afterAutospacing="0" w:line="600" w:lineRule="exact"/>
        <w:ind w:firstLine="562" w:firstLineChars="200"/>
        <w:rPr>
          <w:b/>
          <w:bCs/>
          <w:kern w:val="2"/>
          <w:sz w:val="28"/>
          <w:szCs w:val="28"/>
        </w:rPr>
      </w:pPr>
      <w:r>
        <w:rPr>
          <w:rFonts w:hint="eastAsia"/>
          <w:b/>
          <w:bCs/>
          <w:kern w:val="2"/>
          <w:sz w:val="28"/>
          <w:szCs w:val="28"/>
          <w:lang w:val="en-US" w:eastAsia="zh-CN"/>
        </w:rPr>
        <w:t>1、</w:t>
      </w:r>
      <w:r>
        <w:rPr>
          <w:rFonts w:hint="eastAsia"/>
          <w:b/>
          <w:bCs/>
          <w:kern w:val="2"/>
          <w:sz w:val="28"/>
          <w:szCs w:val="28"/>
          <w:lang w:eastAsia="zh-CN"/>
        </w:rPr>
        <w:t>202</w:t>
      </w:r>
      <w:r>
        <w:rPr>
          <w:rFonts w:hint="eastAsia"/>
          <w:b/>
          <w:bCs/>
          <w:kern w:val="2"/>
          <w:sz w:val="28"/>
          <w:szCs w:val="28"/>
          <w:lang w:val="en-US" w:eastAsia="zh-CN"/>
        </w:rPr>
        <w:t>4</w:t>
      </w:r>
      <w:r>
        <w:rPr>
          <w:rFonts w:hint="eastAsia"/>
          <w:b/>
          <w:bCs/>
          <w:kern w:val="2"/>
          <w:sz w:val="28"/>
          <w:szCs w:val="28"/>
          <w:lang w:eastAsia="zh-CN"/>
        </w:rPr>
        <w:t>年度</w:t>
      </w:r>
      <w:r>
        <w:rPr>
          <w:rFonts w:hint="eastAsia"/>
          <w:b/>
          <w:bCs/>
          <w:kern w:val="2"/>
          <w:sz w:val="28"/>
          <w:szCs w:val="28"/>
        </w:rPr>
        <w:t xml:space="preserve">收入支出决算总体情况 </w:t>
      </w:r>
    </w:p>
    <w:p>
      <w:pPr>
        <w:pStyle w:val="7"/>
        <w:spacing w:before="0" w:beforeAutospacing="0" w:after="0" w:afterAutospacing="0" w:line="600" w:lineRule="exact"/>
        <w:ind w:firstLine="560" w:firstLineChars="200"/>
        <w:rPr>
          <w:rFonts w:hint="default" w:eastAsia="宋体"/>
          <w:color w:val="333333"/>
          <w:sz w:val="28"/>
          <w:szCs w:val="28"/>
          <w:lang w:val="en-US" w:eastAsia="zh-CN"/>
        </w:rPr>
      </w:pPr>
      <w:r>
        <w:rPr>
          <w:rFonts w:hint="eastAsia"/>
          <w:color w:val="auto"/>
          <w:sz w:val="28"/>
          <w:szCs w:val="28"/>
          <w:lang w:eastAsia="zh-CN"/>
        </w:rPr>
        <w:t>202</w:t>
      </w:r>
      <w:r>
        <w:rPr>
          <w:rFonts w:hint="eastAsia"/>
          <w:color w:val="auto"/>
          <w:sz w:val="28"/>
          <w:szCs w:val="28"/>
          <w:lang w:val="en-US" w:eastAsia="zh-CN"/>
        </w:rPr>
        <w:t>4</w:t>
      </w:r>
      <w:r>
        <w:rPr>
          <w:rFonts w:hint="eastAsia"/>
          <w:color w:val="auto"/>
          <w:sz w:val="28"/>
          <w:szCs w:val="28"/>
          <w:lang w:eastAsia="zh-CN"/>
        </w:rPr>
        <w:t>年度</w:t>
      </w:r>
      <w:r>
        <w:rPr>
          <w:rFonts w:hint="eastAsia"/>
          <w:color w:val="auto"/>
          <w:sz w:val="28"/>
          <w:szCs w:val="28"/>
        </w:rPr>
        <w:t>收入总计</w:t>
      </w:r>
      <w:r>
        <w:rPr>
          <w:rFonts w:hint="eastAsia"/>
          <w:color w:val="auto"/>
          <w:sz w:val="28"/>
          <w:szCs w:val="28"/>
          <w:lang w:val="en-US" w:eastAsia="zh-CN"/>
        </w:rPr>
        <w:t>2611.53</w:t>
      </w:r>
      <w:r>
        <w:rPr>
          <w:rFonts w:hint="eastAsia"/>
          <w:color w:val="auto"/>
          <w:sz w:val="28"/>
          <w:szCs w:val="28"/>
        </w:rPr>
        <w:t>万元，其中：</w:t>
      </w:r>
      <w:r>
        <w:rPr>
          <w:rFonts w:hint="eastAsia"/>
          <w:color w:val="auto"/>
          <w:sz w:val="28"/>
          <w:szCs w:val="28"/>
          <w:lang w:val="en-US" w:eastAsia="zh-CN"/>
        </w:rPr>
        <w:t>一般</w:t>
      </w:r>
      <w:r>
        <w:rPr>
          <w:rFonts w:hint="eastAsia"/>
          <w:color w:val="auto"/>
          <w:sz w:val="28"/>
          <w:szCs w:val="28"/>
        </w:rPr>
        <w:t>财政拨款收入</w:t>
      </w:r>
      <w:r>
        <w:rPr>
          <w:rFonts w:hint="eastAsia"/>
          <w:color w:val="auto"/>
          <w:sz w:val="28"/>
          <w:szCs w:val="28"/>
          <w:lang w:val="en-US" w:eastAsia="zh-CN"/>
        </w:rPr>
        <w:t>2409.31</w:t>
      </w:r>
      <w:r>
        <w:rPr>
          <w:rFonts w:hint="eastAsia"/>
          <w:color w:val="auto"/>
          <w:sz w:val="28"/>
          <w:szCs w:val="28"/>
        </w:rPr>
        <w:t>万元，政府性基金预算财政拨款收入</w:t>
      </w:r>
      <w:r>
        <w:rPr>
          <w:rFonts w:hint="eastAsia"/>
          <w:color w:val="auto"/>
          <w:sz w:val="28"/>
          <w:szCs w:val="28"/>
          <w:lang w:val="en-US" w:eastAsia="zh-CN"/>
        </w:rPr>
        <w:t>194.67</w:t>
      </w:r>
      <w:r>
        <w:rPr>
          <w:rFonts w:hint="eastAsia"/>
          <w:color w:val="auto"/>
          <w:sz w:val="28"/>
          <w:szCs w:val="28"/>
        </w:rPr>
        <w:t>万元</w:t>
      </w:r>
      <w:r>
        <w:rPr>
          <w:rFonts w:hint="eastAsia"/>
          <w:color w:val="auto"/>
          <w:sz w:val="28"/>
          <w:szCs w:val="28"/>
          <w:lang w:eastAsia="zh-CN"/>
        </w:rPr>
        <w:t>，</w:t>
      </w:r>
      <w:r>
        <w:rPr>
          <w:rFonts w:hint="eastAsia"/>
          <w:color w:val="auto"/>
          <w:sz w:val="28"/>
          <w:szCs w:val="28"/>
          <w:lang w:val="en-US" w:eastAsia="zh-CN"/>
        </w:rPr>
        <w:t>其他收入4万元。</w:t>
      </w:r>
    </w:p>
    <w:p>
      <w:pPr>
        <w:ind w:firstLine="560" w:firstLineChars="200"/>
        <w:jc w:val="left"/>
        <w:rPr>
          <w:rFonts w:hint="eastAsia" w:ascii="宋体" w:hAnsi="宋体" w:cs="宋体"/>
          <w:color w:val="333333"/>
          <w:sz w:val="28"/>
          <w:szCs w:val="28"/>
          <w:lang w:eastAsia="zh-CN"/>
        </w:rPr>
      </w:pPr>
      <w:r>
        <w:rPr>
          <w:rFonts w:hint="eastAsia" w:ascii="宋体" w:hAnsi="宋体" w:cs="宋体"/>
          <w:color w:val="333333"/>
          <w:sz w:val="28"/>
          <w:szCs w:val="28"/>
          <w:lang w:eastAsia="zh-CN"/>
        </w:rPr>
        <w:t>202</w:t>
      </w:r>
      <w:r>
        <w:rPr>
          <w:rFonts w:hint="eastAsia" w:cs="宋体"/>
          <w:color w:val="333333"/>
          <w:sz w:val="28"/>
          <w:szCs w:val="28"/>
          <w:lang w:val="en-US" w:eastAsia="zh-CN"/>
        </w:rPr>
        <w:t>3</w:t>
      </w:r>
      <w:r>
        <w:rPr>
          <w:rFonts w:hint="eastAsia" w:ascii="宋体" w:hAnsi="宋体" w:cs="宋体"/>
          <w:color w:val="333333"/>
          <w:sz w:val="28"/>
          <w:szCs w:val="28"/>
          <w:lang w:eastAsia="zh-CN"/>
        </w:rPr>
        <w:t>年度</w:t>
      </w:r>
      <w:r>
        <w:rPr>
          <w:rFonts w:hint="eastAsia" w:ascii="宋体" w:hAnsi="宋体" w:cs="宋体"/>
          <w:color w:val="333333"/>
          <w:sz w:val="28"/>
          <w:szCs w:val="28"/>
        </w:rPr>
        <w:t>支出总计</w:t>
      </w:r>
      <w:r>
        <w:rPr>
          <w:rFonts w:hint="eastAsia"/>
          <w:color w:val="auto"/>
          <w:sz w:val="28"/>
          <w:szCs w:val="28"/>
          <w:lang w:val="en-US" w:eastAsia="zh-CN"/>
        </w:rPr>
        <w:t>2611.53</w:t>
      </w:r>
      <w:r>
        <w:rPr>
          <w:rFonts w:hint="eastAsia" w:ascii="宋体" w:hAnsi="宋体" w:cs="宋体"/>
          <w:color w:val="333333"/>
          <w:kern w:val="0"/>
          <w:sz w:val="28"/>
          <w:szCs w:val="28"/>
        </w:rPr>
        <w:t>万元</w:t>
      </w:r>
      <w:r>
        <w:rPr>
          <w:rFonts w:hint="eastAsia" w:ascii="宋体" w:hAnsi="宋体" w:cs="宋体"/>
          <w:color w:val="333333"/>
          <w:sz w:val="28"/>
          <w:szCs w:val="28"/>
        </w:rPr>
        <w:t>，其中：工资福利支出</w:t>
      </w:r>
      <w:r>
        <w:rPr>
          <w:rFonts w:hint="eastAsia" w:cs="宋体"/>
          <w:color w:val="333333"/>
          <w:sz w:val="28"/>
          <w:szCs w:val="28"/>
          <w:lang w:val="en-US" w:eastAsia="zh-CN"/>
        </w:rPr>
        <w:t>1242.37</w:t>
      </w:r>
      <w:r>
        <w:rPr>
          <w:rFonts w:hint="eastAsia" w:ascii="宋体" w:hAnsi="宋体" w:cs="宋体"/>
          <w:color w:val="333333"/>
          <w:sz w:val="28"/>
          <w:szCs w:val="28"/>
        </w:rPr>
        <w:t>万元、一般商品和服务支出</w:t>
      </w:r>
      <w:r>
        <w:rPr>
          <w:rFonts w:hint="eastAsia" w:cs="宋体"/>
          <w:color w:val="333333"/>
          <w:sz w:val="28"/>
          <w:szCs w:val="28"/>
          <w:lang w:val="en-US" w:eastAsia="zh-CN"/>
        </w:rPr>
        <w:t>432.71</w:t>
      </w:r>
      <w:r>
        <w:rPr>
          <w:rFonts w:hint="eastAsia" w:ascii="宋体" w:hAnsi="宋体" w:cs="宋体"/>
          <w:color w:val="333333"/>
          <w:sz w:val="28"/>
          <w:szCs w:val="28"/>
        </w:rPr>
        <w:t>万元、对个人和家庭的补助</w:t>
      </w:r>
      <w:r>
        <w:rPr>
          <w:rFonts w:hint="eastAsia" w:cs="宋体"/>
          <w:color w:val="333333"/>
          <w:sz w:val="28"/>
          <w:szCs w:val="28"/>
          <w:lang w:val="en-US" w:eastAsia="zh-CN"/>
        </w:rPr>
        <w:t>310.78</w:t>
      </w:r>
      <w:r>
        <w:rPr>
          <w:rFonts w:hint="eastAsia" w:ascii="宋体" w:hAnsi="宋体" w:cs="宋体"/>
          <w:color w:val="333333"/>
          <w:sz w:val="28"/>
          <w:szCs w:val="28"/>
        </w:rPr>
        <w:t>万元，资本性支出</w:t>
      </w:r>
      <w:r>
        <w:rPr>
          <w:rFonts w:hint="eastAsia" w:cs="宋体"/>
          <w:color w:val="333333"/>
          <w:sz w:val="28"/>
          <w:szCs w:val="28"/>
          <w:lang w:val="en-US" w:eastAsia="zh-CN"/>
        </w:rPr>
        <w:t>625.66</w:t>
      </w:r>
      <w:r>
        <w:rPr>
          <w:rFonts w:hint="eastAsia" w:ascii="宋体" w:hAnsi="宋体" w:cs="宋体"/>
          <w:color w:val="333333"/>
          <w:sz w:val="28"/>
          <w:szCs w:val="28"/>
        </w:rPr>
        <w:t>元</w:t>
      </w:r>
      <w:r>
        <w:rPr>
          <w:rFonts w:hint="eastAsia" w:ascii="宋体" w:hAnsi="宋体" w:cs="宋体"/>
          <w:color w:val="333333"/>
          <w:sz w:val="28"/>
          <w:szCs w:val="28"/>
          <w:lang w:eastAsia="zh-CN"/>
        </w:rPr>
        <w:t>。</w:t>
      </w:r>
    </w:p>
    <w:p>
      <w:pPr>
        <w:pStyle w:val="7"/>
        <w:spacing w:before="0" w:beforeAutospacing="0" w:after="0" w:afterAutospacing="0" w:line="600" w:lineRule="exact"/>
        <w:ind w:firstLine="562" w:firstLineChars="200"/>
        <w:rPr>
          <w:b/>
          <w:bCs/>
          <w:kern w:val="2"/>
          <w:sz w:val="28"/>
          <w:szCs w:val="28"/>
        </w:rPr>
      </w:pPr>
      <w:r>
        <w:rPr>
          <w:rFonts w:hint="eastAsia"/>
          <w:b/>
          <w:bCs/>
          <w:kern w:val="2"/>
          <w:sz w:val="28"/>
          <w:szCs w:val="28"/>
          <w:lang w:val="en-US" w:eastAsia="zh-CN"/>
        </w:rPr>
        <w:t>2、</w:t>
      </w:r>
      <w:r>
        <w:rPr>
          <w:rFonts w:hint="eastAsia"/>
          <w:b/>
          <w:bCs/>
          <w:kern w:val="2"/>
          <w:sz w:val="28"/>
          <w:szCs w:val="28"/>
          <w:lang w:eastAsia="zh-CN"/>
        </w:rPr>
        <w:t>202</w:t>
      </w:r>
      <w:r>
        <w:rPr>
          <w:rFonts w:hint="eastAsia"/>
          <w:b/>
          <w:bCs/>
          <w:kern w:val="2"/>
          <w:sz w:val="28"/>
          <w:szCs w:val="28"/>
          <w:lang w:val="en-US" w:eastAsia="zh-CN"/>
        </w:rPr>
        <w:t>4</w:t>
      </w:r>
      <w:r>
        <w:rPr>
          <w:rFonts w:hint="eastAsia"/>
          <w:b/>
          <w:bCs/>
          <w:kern w:val="2"/>
          <w:sz w:val="28"/>
          <w:szCs w:val="28"/>
          <w:lang w:eastAsia="zh-CN"/>
        </w:rPr>
        <w:t>年度</w:t>
      </w:r>
      <w:r>
        <w:rPr>
          <w:rFonts w:hint="eastAsia"/>
          <w:b/>
          <w:bCs/>
          <w:kern w:val="2"/>
          <w:sz w:val="28"/>
          <w:szCs w:val="28"/>
        </w:rPr>
        <w:t>财政拨款收入支出决算情况</w:t>
      </w:r>
    </w:p>
    <w:p>
      <w:pPr>
        <w:pStyle w:val="7"/>
        <w:spacing w:before="0" w:beforeAutospacing="0" w:after="0" w:afterAutospacing="0" w:line="600" w:lineRule="exact"/>
        <w:ind w:firstLine="560" w:firstLineChars="200"/>
        <w:rPr>
          <w:rFonts w:hint="default" w:eastAsia="宋体"/>
          <w:color w:val="333333"/>
          <w:sz w:val="28"/>
          <w:szCs w:val="28"/>
          <w:lang w:val="en-US" w:eastAsia="zh-CN"/>
        </w:rPr>
      </w:pPr>
      <w:r>
        <w:rPr>
          <w:rFonts w:hint="eastAsia"/>
          <w:kern w:val="2"/>
          <w:sz w:val="28"/>
          <w:szCs w:val="28"/>
          <w:lang w:eastAsia="zh-CN"/>
        </w:rPr>
        <w:t>202</w:t>
      </w:r>
      <w:r>
        <w:rPr>
          <w:rFonts w:hint="eastAsia"/>
          <w:kern w:val="2"/>
          <w:sz w:val="28"/>
          <w:szCs w:val="28"/>
          <w:lang w:val="en-US" w:eastAsia="zh-CN"/>
        </w:rPr>
        <w:t>4</w:t>
      </w:r>
      <w:r>
        <w:rPr>
          <w:rFonts w:hint="eastAsia"/>
          <w:kern w:val="2"/>
          <w:sz w:val="28"/>
          <w:szCs w:val="28"/>
          <w:lang w:eastAsia="zh-CN"/>
        </w:rPr>
        <w:t>年度</w:t>
      </w:r>
      <w:r>
        <w:rPr>
          <w:rFonts w:hint="eastAsia"/>
          <w:color w:val="333333"/>
          <w:sz w:val="28"/>
          <w:szCs w:val="28"/>
        </w:rPr>
        <w:t>财政拨款收入合计</w:t>
      </w:r>
      <w:r>
        <w:rPr>
          <w:rFonts w:hint="eastAsia"/>
          <w:color w:val="auto"/>
          <w:sz w:val="28"/>
          <w:szCs w:val="28"/>
          <w:lang w:val="en-US" w:eastAsia="zh-CN"/>
        </w:rPr>
        <w:t>2607.53万</w:t>
      </w:r>
      <w:r>
        <w:rPr>
          <w:rFonts w:hint="eastAsia"/>
          <w:color w:val="333333"/>
          <w:sz w:val="28"/>
          <w:szCs w:val="28"/>
        </w:rPr>
        <w:t>元，其中：一般公共预算财政拨款收入</w:t>
      </w:r>
      <w:r>
        <w:rPr>
          <w:rFonts w:hint="eastAsia"/>
          <w:color w:val="auto"/>
          <w:sz w:val="28"/>
          <w:szCs w:val="28"/>
          <w:lang w:val="en-US" w:eastAsia="zh-CN"/>
        </w:rPr>
        <w:t>2409.31</w:t>
      </w:r>
      <w:r>
        <w:rPr>
          <w:rFonts w:hint="eastAsia"/>
          <w:color w:val="333333"/>
          <w:sz w:val="28"/>
          <w:szCs w:val="28"/>
        </w:rPr>
        <w:t>万元</w:t>
      </w:r>
      <w:r>
        <w:rPr>
          <w:rFonts w:hint="eastAsia"/>
          <w:sz w:val="28"/>
          <w:szCs w:val="28"/>
        </w:rPr>
        <w:t>，</w:t>
      </w:r>
      <w:r>
        <w:rPr>
          <w:rFonts w:hint="eastAsia"/>
          <w:color w:val="333333"/>
          <w:sz w:val="28"/>
          <w:szCs w:val="28"/>
        </w:rPr>
        <w:t>政府性基金财政拨款收入</w:t>
      </w:r>
      <w:r>
        <w:rPr>
          <w:rFonts w:hint="eastAsia"/>
          <w:color w:val="auto"/>
          <w:sz w:val="28"/>
          <w:szCs w:val="28"/>
          <w:lang w:val="en-US" w:eastAsia="zh-CN"/>
        </w:rPr>
        <w:t>194.67</w:t>
      </w:r>
      <w:r>
        <w:rPr>
          <w:rFonts w:hint="eastAsia"/>
          <w:color w:val="333333"/>
          <w:sz w:val="28"/>
          <w:szCs w:val="28"/>
        </w:rPr>
        <w:t>万元</w:t>
      </w:r>
      <w:r>
        <w:rPr>
          <w:rFonts w:hint="eastAsia"/>
          <w:color w:val="333333"/>
          <w:sz w:val="28"/>
          <w:szCs w:val="28"/>
          <w:lang w:eastAsia="zh-CN"/>
        </w:rPr>
        <w:t>，</w:t>
      </w:r>
      <w:r>
        <w:rPr>
          <w:rFonts w:hint="eastAsia"/>
          <w:color w:val="333333"/>
          <w:sz w:val="28"/>
          <w:szCs w:val="28"/>
          <w:lang w:val="en-US" w:eastAsia="zh-CN"/>
        </w:rPr>
        <w:t>国有资本经营预算财政拨款收入3.55万元。</w:t>
      </w:r>
    </w:p>
    <w:p>
      <w:pPr>
        <w:pStyle w:val="7"/>
        <w:spacing w:before="0" w:beforeAutospacing="0" w:after="0" w:afterAutospacing="0" w:line="600" w:lineRule="exact"/>
        <w:ind w:firstLine="560" w:firstLineChars="200"/>
        <w:rPr>
          <w:color w:val="333333"/>
          <w:sz w:val="28"/>
          <w:szCs w:val="28"/>
        </w:rPr>
      </w:pPr>
    </w:p>
    <w:p>
      <w:pPr>
        <w:pStyle w:val="7"/>
        <w:spacing w:before="0" w:beforeAutospacing="0" w:after="0" w:afterAutospacing="0" w:line="600" w:lineRule="exact"/>
        <w:ind w:firstLine="560" w:firstLineChars="200"/>
        <w:rPr>
          <w:rFonts w:hint="default" w:eastAsia="宋体"/>
          <w:color w:val="333333"/>
          <w:sz w:val="28"/>
          <w:szCs w:val="28"/>
          <w:lang w:val="en-US" w:eastAsia="zh-CN"/>
        </w:rPr>
      </w:pPr>
      <w:r>
        <w:rPr>
          <w:rFonts w:hint="eastAsia"/>
          <w:kern w:val="2"/>
          <w:sz w:val="28"/>
          <w:szCs w:val="28"/>
          <w:lang w:eastAsia="zh-CN"/>
        </w:rPr>
        <w:t>202</w:t>
      </w:r>
      <w:r>
        <w:rPr>
          <w:rFonts w:hint="eastAsia"/>
          <w:kern w:val="2"/>
          <w:sz w:val="28"/>
          <w:szCs w:val="28"/>
          <w:lang w:val="en-US" w:eastAsia="zh-CN"/>
        </w:rPr>
        <w:t>4</w:t>
      </w:r>
      <w:r>
        <w:rPr>
          <w:rFonts w:hint="eastAsia"/>
          <w:kern w:val="2"/>
          <w:sz w:val="28"/>
          <w:szCs w:val="28"/>
          <w:lang w:eastAsia="zh-CN"/>
        </w:rPr>
        <w:t>年度</w:t>
      </w:r>
      <w:r>
        <w:rPr>
          <w:rFonts w:hint="eastAsia"/>
          <w:color w:val="333333"/>
          <w:sz w:val="28"/>
          <w:szCs w:val="28"/>
        </w:rPr>
        <w:t>财政拨款</w:t>
      </w:r>
      <w:r>
        <w:rPr>
          <w:rFonts w:hint="eastAsia"/>
          <w:color w:val="333333"/>
          <w:sz w:val="28"/>
          <w:szCs w:val="28"/>
          <w:lang w:val="en-US" w:eastAsia="zh-CN"/>
        </w:rPr>
        <w:t>支出</w:t>
      </w:r>
      <w:r>
        <w:rPr>
          <w:rFonts w:hint="eastAsia"/>
          <w:color w:val="333333"/>
          <w:sz w:val="28"/>
          <w:szCs w:val="28"/>
        </w:rPr>
        <w:t>合计</w:t>
      </w:r>
      <w:r>
        <w:rPr>
          <w:rFonts w:hint="eastAsia"/>
          <w:color w:val="auto"/>
          <w:sz w:val="28"/>
          <w:szCs w:val="28"/>
          <w:lang w:val="en-US" w:eastAsia="zh-CN"/>
        </w:rPr>
        <w:t>2607.53万</w:t>
      </w:r>
      <w:r>
        <w:rPr>
          <w:rFonts w:hint="eastAsia"/>
          <w:color w:val="333333"/>
          <w:sz w:val="28"/>
          <w:szCs w:val="28"/>
        </w:rPr>
        <w:t>元，其中：一般公共预算财政拨款</w:t>
      </w:r>
      <w:r>
        <w:rPr>
          <w:rFonts w:hint="eastAsia"/>
          <w:color w:val="333333"/>
          <w:sz w:val="28"/>
          <w:szCs w:val="28"/>
          <w:lang w:val="en-US" w:eastAsia="zh-CN"/>
        </w:rPr>
        <w:t>支出</w:t>
      </w:r>
      <w:r>
        <w:rPr>
          <w:rFonts w:hint="eastAsia"/>
          <w:color w:val="auto"/>
          <w:sz w:val="28"/>
          <w:szCs w:val="28"/>
          <w:lang w:val="en-US" w:eastAsia="zh-CN"/>
        </w:rPr>
        <w:t>2409.31</w:t>
      </w:r>
      <w:r>
        <w:rPr>
          <w:rFonts w:hint="eastAsia"/>
          <w:color w:val="333333"/>
          <w:sz w:val="28"/>
          <w:szCs w:val="28"/>
        </w:rPr>
        <w:t>万元</w:t>
      </w:r>
      <w:r>
        <w:rPr>
          <w:rFonts w:hint="eastAsia"/>
          <w:sz w:val="28"/>
          <w:szCs w:val="28"/>
        </w:rPr>
        <w:t>，</w:t>
      </w:r>
      <w:r>
        <w:rPr>
          <w:rFonts w:hint="eastAsia"/>
          <w:color w:val="333333"/>
          <w:sz w:val="28"/>
          <w:szCs w:val="28"/>
        </w:rPr>
        <w:t>政府性基金财政拨款</w:t>
      </w:r>
      <w:r>
        <w:rPr>
          <w:rFonts w:hint="eastAsia"/>
          <w:color w:val="333333"/>
          <w:sz w:val="28"/>
          <w:szCs w:val="28"/>
          <w:lang w:val="en-US" w:eastAsia="zh-CN"/>
        </w:rPr>
        <w:t>支出</w:t>
      </w:r>
      <w:r>
        <w:rPr>
          <w:rFonts w:hint="eastAsia"/>
          <w:color w:val="auto"/>
          <w:sz w:val="28"/>
          <w:szCs w:val="28"/>
          <w:lang w:val="en-US" w:eastAsia="zh-CN"/>
        </w:rPr>
        <w:t>194.67</w:t>
      </w:r>
      <w:r>
        <w:rPr>
          <w:rFonts w:hint="eastAsia"/>
          <w:color w:val="333333"/>
          <w:sz w:val="28"/>
          <w:szCs w:val="28"/>
        </w:rPr>
        <w:t>万元</w:t>
      </w:r>
      <w:r>
        <w:rPr>
          <w:rFonts w:hint="eastAsia"/>
          <w:color w:val="333333"/>
          <w:sz w:val="28"/>
          <w:szCs w:val="28"/>
          <w:lang w:eastAsia="zh-CN"/>
        </w:rPr>
        <w:t>，</w:t>
      </w:r>
      <w:r>
        <w:rPr>
          <w:rFonts w:hint="eastAsia"/>
          <w:color w:val="333333"/>
          <w:sz w:val="28"/>
          <w:szCs w:val="28"/>
          <w:lang w:val="en-US" w:eastAsia="zh-CN"/>
        </w:rPr>
        <w:t>国有资本经营预算财政拨款支出3.55万元。</w:t>
      </w:r>
    </w:p>
    <w:p>
      <w:pPr>
        <w:pStyle w:val="7"/>
        <w:adjustRightInd w:val="0"/>
        <w:snapToGrid w:val="0"/>
        <w:spacing w:before="0" w:beforeAutospacing="0" w:after="0" w:afterAutospacing="0" w:line="600" w:lineRule="exact"/>
        <w:ind w:firstLine="562" w:firstLineChars="200"/>
        <w:rPr>
          <w:b/>
          <w:bCs/>
          <w:kern w:val="2"/>
          <w:sz w:val="28"/>
          <w:szCs w:val="28"/>
        </w:rPr>
      </w:pPr>
      <w:r>
        <w:rPr>
          <w:rFonts w:hint="eastAsia"/>
          <w:b/>
          <w:bCs/>
          <w:kern w:val="2"/>
          <w:sz w:val="28"/>
          <w:szCs w:val="28"/>
          <w:lang w:val="en-US" w:eastAsia="zh-CN"/>
        </w:rPr>
        <w:t>3、</w:t>
      </w:r>
      <w:r>
        <w:rPr>
          <w:rFonts w:hint="eastAsia"/>
          <w:b/>
          <w:bCs/>
          <w:kern w:val="2"/>
          <w:sz w:val="28"/>
          <w:szCs w:val="28"/>
          <w:lang w:eastAsia="zh-CN"/>
        </w:rPr>
        <w:t>202</w:t>
      </w:r>
      <w:r>
        <w:rPr>
          <w:rFonts w:hint="eastAsia"/>
          <w:b/>
          <w:bCs/>
          <w:kern w:val="2"/>
          <w:sz w:val="28"/>
          <w:szCs w:val="28"/>
          <w:lang w:val="en-US" w:eastAsia="zh-CN"/>
        </w:rPr>
        <w:t>4</w:t>
      </w:r>
      <w:r>
        <w:rPr>
          <w:rFonts w:hint="eastAsia"/>
          <w:b/>
          <w:bCs/>
          <w:kern w:val="2"/>
          <w:sz w:val="28"/>
          <w:szCs w:val="28"/>
          <w:lang w:eastAsia="zh-CN"/>
        </w:rPr>
        <w:t>年度</w:t>
      </w:r>
      <w:r>
        <w:rPr>
          <w:rFonts w:hint="eastAsia"/>
          <w:b/>
          <w:bCs/>
          <w:kern w:val="2"/>
          <w:sz w:val="28"/>
          <w:szCs w:val="28"/>
        </w:rPr>
        <w:t>财政拨款</w:t>
      </w:r>
      <w:r>
        <w:rPr>
          <w:rFonts w:hint="eastAsia"/>
          <w:b/>
          <w:bCs/>
          <w:kern w:val="2"/>
          <w:sz w:val="28"/>
          <w:szCs w:val="28"/>
          <w:lang w:val="en-US" w:eastAsia="zh-CN"/>
        </w:rPr>
        <w:t>基本</w:t>
      </w:r>
      <w:r>
        <w:rPr>
          <w:rFonts w:hint="eastAsia"/>
          <w:b/>
          <w:bCs/>
          <w:kern w:val="2"/>
          <w:sz w:val="28"/>
          <w:szCs w:val="28"/>
        </w:rPr>
        <w:t>支出分类情况</w:t>
      </w:r>
    </w:p>
    <w:p>
      <w:pPr>
        <w:pStyle w:val="7"/>
        <w:adjustRightInd w:val="0"/>
        <w:snapToGrid w:val="0"/>
        <w:spacing w:before="0" w:beforeAutospacing="0" w:after="0" w:afterAutospacing="0" w:line="600" w:lineRule="exact"/>
        <w:ind w:firstLine="560" w:firstLineChars="200"/>
        <w:rPr>
          <w:rFonts w:hint="eastAsia" w:ascii="黑体" w:hAnsi="黑体" w:eastAsia="黑体"/>
          <w:sz w:val="32"/>
          <w:szCs w:val="32"/>
        </w:rPr>
      </w:pPr>
      <w:r>
        <w:rPr>
          <w:rFonts w:hint="eastAsia"/>
          <w:color w:val="auto"/>
          <w:kern w:val="2"/>
          <w:sz w:val="28"/>
          <w:szCs w:val="28"/>
        </w:rPr>
        <w:t>基本支出</w:t>
      </w:r>
      <w:r>
        <w:rPr>
          <w:rFonts w:hint="eastAsia"/>
          <w:color w:val="auto"/>
          <w:kern w:val="2"/>
          <w:sz w:val="28"/>
          <w:szCs w:val="28"/>
          <w:lang w:val="en-US" w:eastAsia="zh-CN"/>
        </w:rPr>
        <w:t>1483.79</w:t>
      </w:r>
      <w:r>
        <w:rPr>
          <w:rFonts w:hint="eastAsia"/>
          <w:color w:val="auto"/>
          <w:kern w:val="2"/>
          <w:sz w:val="28"/>
          <w:szCs w:val="28"/>
        </w:rPr>
        <w:t>万元</w:t>
      </w:r>
      <w:r>
        <w:rPr>
          <w:rFonts w:hint="eastAsia"/>
          <w:color w:val="auto"/>
          <w:sz w:val="28"/>
          <w:szCs w:val="28"/>
        </w:rPr>
        <w:t>，</w:t>
      </w:r>
      <w:r>
        <w:rPr>
          <w:rFonts w:hint="eastAsia"/>
          <w:color w:val="auto"/>
          <w:kern w:val="2"/>
          <w:sz w:val="28"/>
          <w:szCs w:val="28"/>
        </w:rPr>
        <w:t>其中：（1）工资福利支出</w:t>
      </w:r>
      <w:r>
        <w:rPr>
          <w:rFonts w:hint="eastAsia"/>
          <w:color w:val="auto"/>
          <w:kern w:val="2"/>
          <w:sz w:val="28"/>
          <w:szCs w:val="28"/>
          <w:lang w:val="en-US" w:eastAsia="zh-CN"/>
        </w:rPr>
        <w:t>1242.37万</w:t>
      </w:r>
      <w:r>
        <w:rPr>
          <w:rFonts w:hint="eastAsia"/>
          <w:color w:val="auto"/>
          <w:kern w:val="2"/>
          <w:sz w:val="28"/>
          <w:szCs w:val="28"/>
        </w:rPr>
        <w:t>元，包括基本工资、津贴补贴、奖金、社会保障缴费、住房公积金、职业年金、绩效工资、其他工资福利支出；（2）商品和服务支出</w:t>
      </w:r>
      <w:r>
        <w:rPr>
          <w:rFonts w:hint="eastAsia" w:cs="宋体"/>
          <w:color w:val="auto"/>
          <w:sz w:val="28"/>
          <w:szCs w:val="28"/>
          <w:lang w:val="en-US" w:eastAsia="zh-CN"/>
        </w:rPr>
        <w:t>233.85</w:t>
      </w:r>
      <w:r>
        <w:rPr>
          <w:rFonts w:hint="eastAsia"/>
          <w:color w:val="auto"/>
          <w:kern w:val="2"/>
          <w:sz w:val="28"/>
          <w:szCs w:val="28"/>
        </w:rPr>
        <w:t>万元，包括办公费、印刷费、水费、电费、差旅费、维修（护）费、会议费、培训费、劳务费、工会经费、其他交通费；（3）对个人和家庭补助支出</w:t>
      </w:r>
      <w:r>
        <w:rPr>
          <w:rFonts w:hint="eastAsia" w:cs="宋体"/>
          <w:color w:val="auto"/>
          <w:sz w:val="28"/>
          <w:szCs w:val="28"/>
          <w:lang w:val="en-US" w:eastAsia="zh-CN"/>
        </w:rPr>
        <w:t>7.57</w:t>
      </w:r>
      <w:r>
        <w:rPr>
          <w:rFonts w:hint="eastAsia"/>
          <w:color w:val="auto"/>
          <w:kern w:val="2"/>
          <w:sz w:val="28"/>
          <w:szCs w:val="28"/>
        </w:rPr>
        <w:t>万元，包括离休费、抚恤金、生活补助、其他对个人和家庭的补助支出。</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楷体" w:hAnsi="楷体" w:eastAsia="楷体" w:cs="楷体"/>
          <w:b/>
          <w:bCs/>
          <w:color w:val="auto"/>
        </w:rPr>
      </w:pPr>
    </w:p>
    <w:p>
      <w:pPr>
        <w:pStyle w:val="5"/>
        <w:keepNext w:val="0"/>
        <w:keepLines w:val="0"/>
        <w:pageBreakBefore w:val="0"/>
        <w:widowControl w:val="0"/>
        <w:numPr>
          <w:ilvl w:val="0"/>
          <w:numId w:val="3"/>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楷体" w:hAnsi="楷体" w:eastAsia="楷体" w:cs="楷体"/>
          <w:b/>
          <w:bCs/>
          <w:color w:val="auto"/>
        </w:rPr>
      </w:pPr>
      <w:r>
        <w:rPr>
          <w:rFonts w:hint="eastAsia" w:ascii="楷体" w:hAnsi="楷体" w:eastAsia="楷体" w:cs="楷体"/>
          <w:b/>
          <w:bCs/>
          <w:color w:val="auto"/>
        </w:rPr>
        <w:t>项目支出情况</w:t>
      </w:r>
    </w:p>
    <w:p>
      <w:pPr>
        <w:pStyle w:val="7"/>
        <w:adjustRightInd w:val="0"/>
        <w:snapToGrid w:val="0"/>
        <w:spacing w:before="0" w:beforeAutospacing="0" w:after="0" w:afterAutospacing="0" w:line="600" w:lineRule="exact"/>
        <w:ind w:firstLine="562" w:firstLineChars="200"/>
        <w:rPr>
          <w:rFonts w:hint="eastAsia"/>
          <w:b/>
          <w:bCs/>
          <w:kern w:val="2"/>
          <w:sz w:val="28"/>
          <w:szCs w:val="28"/>
          <w:lang w:val="en-US" w:eastAsia="zh-CN"/>
        </w:rPr>
      </w:pPr>
      <w:r>
        <w:rPr>
          <w:rFonts w:hint="eastAsia"/>
          <w:b/>
          <w:bCs/>
          <w:kern w:val="2"/>
          <w:sz w:val="28"/>
          <w:szCs w:val="28"/>
          <w:lang w:val="en-US" w:eastAsia="zh-CN"/>
        </w:rPr>
        <w:t>1．项目资金实际使用情况分析</w:t>
      </w:r>
    </w:p>
    <w:p>
      <w:pPr>
        <w:ind w:firstLine="560" w:firstLineChars="200"/>
        <w:rPr>
          <w:rFonts w:hint="default" w:ascii="宋体" w:hAnsi="宋体" w:eastAsia="宋体" w:cs="宋体"/>
          <w:color w:val="auto"/>
          <w:kern w:val="0"/>
          <w:sz w:val="28"/>
          <w:szCs w:val="28"/>
          <w:lang w:val="en-US" w:eastAsia="zh-CN"/>
        </w:rPr>
      </w:pPr>
      <w:r>
        <w:rPr>
          <w:rFonts w:hint="eastAsia" w:ascii="宋体" w:hAnsi="宋体" w:cs="宋体"/>
          <w:color w:val="auto"/>
          <w:kern w:val="0"/>
          <w:sz w:val="28"/>
          <w:szCs w:val="28"/>
          <w:lang w:eastAsia="zh-CN"/>
        </w:rPr>
        <w:t>202</w:t>
      </w:r>
      <w:r>
        <w:rPr>
          <w:rFonts w:hint="eastAsia" w:cs="宋体"/>
          <w:color w:val="auto"/>
          <w:kern w:val="0"/>
          <w:sz w:val="28"/>
          <w:szCs w:val="28"/>
          <w:lang w:val="en-US" w:eastAsia="zh-CN"/>
        </w:rPr>
        <w:t>4</w:t>
      </w:r>
      <w:r>
        <w:rPr>
          <w:rFonts w:hint="eastAsia" w:ascii="宋体" w:hAnsi="宋体" w:cs="宋体"/>
          <w:color w:val="auto"/>
          <w:kern w:val="0"/>
          <w:sz w:val="28"/>
          <w:szCs w:val="28"/>
          <w:lang w:eastAsia="zh-CN"/>
        </w:rPr>
        <w:t>年度</w:t>
      </w:r>
      <w:r>
        <w:rPr>
          <w:rFonts w:hint="eastAsia" w:ascii="宋体" w:hAnsi="宋体" w:cs="宋体"/>
          <w:color w:val="auto"/>
          <w:kern w:val="0"/>
          <w:sz w:val="28"/>
          <w:szCs w:val="28"/>
        </w:rPr>
        <w:t>项目支出</w:t>
      </w:r>
      <w:r>
        <w:rPr>
          <w:rFonts w:hint="eastAsia" w:cs="宋体"/>
          <w:color w:val="auto"/>
          <w:kern w:val="0"/>
          <w:sz w:val="28"/>
          <w:szCs w:val="28"/>
          <w:lang w:val="en-US" w:eastAsia="zh-CN"/>
        </w:rPr>
        <w:t>1127.74</w:t>
      </w:r>
      <w:r>
        <w:rPr>
          <w:rFonts w:hint="eastAsia" w:ascii="宋体" w:hAnsi="宋体" w:cs="宋体"/>
          <w:color w:val="auto"/>
          <w:kern w:val="0"/>
          <w:sz w:val="28"/>
          <w:szCs w:val="28"/>
        </w:rPr>
        <w:t>万元，主要项目包括：一般公共服务支出</w:t>
      </w:r>
      <w:r>
        <w:rPr>
          <w:rFonts w:hint="eastAsia" w:cs="宋体"/>
          <w:color w:val="auto"/>
          <w:kern w:val="0"/>
          <w:sz w:val="28"/>
          <w:szCs w:val="28"/>
          <w:lang w:val="en-US" w:eastAsia="zh-CN"/>
        </w:rPr>
        <w:t>81.34</w:t>
      </w:r>
      <w:r>
        <w:rPr>
          <w:rFonts w:hint="eastAsia" w:ascii="宋体" w:hAnsi="宋体" w:cs="宋体"/>
          <w:color w:val="auto"/>
          <w:kern w:val="0"/>
          <w:sz w:val="28"/>
          <w:szCs w:val="28"/>
        </w:rPr>
        <w:t>万元、</w:t>
      </w:r>
      <w:r>
        <w:rPr>
          <w:rFonts w:hint="eastAsia" w:cs="宋体"/>
          <w:color w:val="auto"/>
          <w:kern w:val="0"/>
          <w:sz w:val="28"/>
          <w:szCs w:val="28"/>
          <w:lang w:val="en-US" w:eastAsia="zh-CN"/>
        </w:rPr>
        <w:t>公共安全支出4万元、</w:t>
      </w:r>
      <w:r>
        <w:rPr>
          <w:rFonts w:hint="eastAsia" w:ascii="宋体" w:hAnsi="宋体" w:cs="宋体"/>
          <w:color w:val="auto"/>
          <w:kern w:val="0"/>
          <w:sz w:val="28"/>
          <w:szCs w:val="28"/>
        </w:rPr>
        <w:t>文化旅游体育与传媒支出</w:t>
      </w:r>
      <w:r>
        <w:rPr>
          <w:rFonts w:hint="eastAsia" w:cs="宋体"/>
          <w:color w:val="auto"/>
          <w:kern w:val="0"/>
          <w:sz w:val="28"/>
          <w:szCs w:val="28"/>
          <w:lang w:val="en-US" w:eastAsia="zh-CN"/>
        </w:rPr>
        <w:t>21</w:t>
      </w:r>
      <w:r>
        <w:rPr>
          <w:rFonts w:hint="eastAsia" w:ascii="宋体" w:hAnsi="宋体" w:cs="宋体"/>
          <w:color w:val="auto"/>
          <w:kern w:val="0"/>
          <w:sz w:val="28"/>
          <w:szCs w:val="28"/>
        </w:rPr>
        <w:t>万元、</w:t>
      </w:r>
      <w:r>
        <w:rPr>
          <w:rFonts w:hint="eastAsia" w:cs="宋体"/>
          <w:color w:val="auto"/>
          <w:kern w:val="0"/>
          <w:sz w:val="28"/>
          <w:szCs w:val="28"/>
          <w:lang w:val="en-US" w:eastAsia="zh-CN"/>
        </w:rPr>
        <w:t>社会保障和就业支出55.12万元、</w:t>
      </w:r>
      <w:r>
        <w:rPr>
          <w:rFonts w:hint="eastAsia" w:ascii="宋体" w:hAnsi="宋体" w:cs="宋体"/>
          <w:color w:val="auto"/>
          <w:kern w:val="0"/>
          <w:sz w:val="28"/>
          <w:szCs w:val="28"/>
        </w:rPr>
        <w:t>节能环保支出</w:t>
      </w:r>
      <w:r>
        <w:rPr>
          <w:rFonts w:hint="eastAsia" w:cs="宋体"/>
          <w:color w:val="auto"/>
          <w:kern w:val="0"/>
          <w:sz w:val="28"/>
          <w:szCs w:val="28"/>
          <w:lang w:val="en-US" w:eastAsia="zh-CN"/>
        </w:rPr>
        <w:t>7.12</w:t>
      </w:r>
      <w:r>
        <w:rPr>
          <w:rFonts w:hint="eastAsia" w:ascii="宋体" w:hAnsi="宋体" w:cs="宋体"/>
          <w:color w:val="auto"/>
          <w:kern w:val="0"/>
          <w:sz w:val="28"/>
          <w:szCs w:val="28"/>
        </w:rPr>
        <w:t>万元、城乡社区支出</w:t>
      </w:r>
      <w:r>
        <w:rPr>
          <w:rFonts w:hint="eastAsia" w:cs="宋体"/>
          <w:color w:val="auto"/>
          <w:kern w:val="0"/>
          <w:sz w:val="28"/>
          <w:szCs w:val="28"/>
          <w:lang w:val="en-US" w:eastAsia="zh-CN"/>
        </w:rPr>
        <w:t>305.67</w:t>
      </w:r>
      <w:r>
        <w:rPr>
          <w:rFonts w:hint="eastAsia" w:ascii="宋体" w:hAnsi="宋体" w:cs="宋体"/>
          <w:color w:val="auto"/>
          <w:kern w:val="0"/>
          <w:sz w:val="28"/>
          <w:szCs w:val="28"/>
        </w:rPr>
        <w:t>万元、农林水支出</w:t>
      </w:r>
      <w:r>
        <w:rPr>
          <w:rFonts w:hint="eastAsia" w:cs="宋体"/>
          <w:color w:val="auto"/>
          <w:kern w:val="0"/>
          <w:sz w:val="28"/>
          <w:szCs w:val="28"/>
          <w:lang w:val="en-US" w:eastAsia="zh-CN"/>
        </w:rPr>
        <w:t>606.99</w:t>
      </w:r>
      <w:r>
        <w:rPr>
          <w:rFonts w:hint="eastAsia" w:ascii="宋体" w:hAnsi="宋体" w:cs="宋体"/>
          <w:color w:val="auto"/>
          <w:kern w:val="0"/>
          <w:sz w:val="28"/>
          <w:szCs w:val="28"/>
        </w:rPr>
        <w:t>万元、交通运输支出</w:t>
      </w:r>
      <w:r>
        <w:rPr>
          <w:rFonts w:hint="eastAsia" w:cs="宋体"/>
          <w:color w:val="auto"/>
          <w:kern w:val="0"/>
          <w:sz w:val="28"/>
          <w:szCs w:val="28"/>
          <w:lang w:val="en-US" w:eastAsia="zh-CN"/>
        </w:rPr>
        <w:t>27.5</w:t>
      </w:r>
      <w:r>
        <w:rPr>
          <w:rFonts w:hint="eastAsia" w:ascii="宋体" w:hAnsi="宋体" w:cs="宋体"/>
          <w:color w:val="auto"/>
          <w:kern w:val="0"/>
          <w:sz w:val="28"/>
          <w:szCs w:val="28"/>
        </w:rPr>
        <w:t>万元、</w:t>
      </w:r>
      <w:r>
        <w:rPr>
          <w:rFonts w:hint="eastAsia" w:cs="宋体"/>
          <w:color w:val="auto"/>
          <w:kern w:val="0"/>
          <w:sz w:val="28"/>
          <w:szCs w:val="28"/>
          <w:lang w:val="en-US" w:eastAsia="zh-CN"/>
        </w:rPr>
        <w:t>商业服务等支出0.79万元、国有资本经营预算支出3.55万元、</w:t>
      </w:r>
      <w:r>
        <w:rPr>
          <w:rFonts w:hint="eastAsia" w:ascii="宋体" w:hAnsi="宋体" w:cs="宋体"/>
          <w:color w:val="auto"/>
          <w:kern w:val="0"/>
          <w:sz w:val="28"/>
          <w:szCs w:val="28"/>
        </w:rPr>
        <w:t>灾害防治及应急管理支出</w:t>
      </w:r>
      <w:r>
        <w:rPr>
          <w:rFonts w:hint="eastAsia" w:cs="宋体"/>
          <w:color w:val="auto"/>
          <w:kern w:val="0"/>
          <w:sz w:val="28"/>
          <w:szCs w:val="28"/>
          <w:lang w:val="en-US" w:eastAsia="zh-CN"/>
        </w:rPr>
        <w:t>7.66</w:t>
      </w:r>
      <w:r>
        <w:rPr>
          <w:rFonts w:hint="eastAsia" w:ascii="宋体" w:hAnsi="宋体" w:cs="宋体"/>
          <w:color w:val="auto"/>
          <w:kern w:val="0"/>
          <w:sz w:val="28"/>
          <w:szCs w:val="28"/>
        </w:rPr>
        <w:t>万元</w:t>
      </w: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其他支出7万元。</w:t>
      </w:r>
    </w:p>
    <w:p>
      <w:pPr>
        <w:pStyle w:val="7"/>
        <w:adjustRightInd w:val="0"/>
        <w:snapToGrid w:val="0"/>
        <w:spacing w:before="0" w:beforeAutospacing="0" w:after="0" w:afterAutospacing="0" w:line="600" w:lineRule="exact"/>
        <w:ind w:firstLine="562" w:firstLineChars="200"/>
        <w:rPr>
          <w:rFonts w:hint="eastAsia"/>
          <w:b/>
          <w:bCs/>
          <w:kern w:val="2"/>
          <w:sz w:val="28"/>
          <w:szCs w:val="28"/>
          <w:lang w:val="en-US" w:eastAsia="zh-CN"/>
        </w:rPr>
      </w:pPr>
      <w:r>
        <w:rPr>
          <w:rFonts w:hint="eastAsia"/>
          <w:b/>
          <w:bCs/>
          <w:kern w:val="2"/>
          <w:sz w:val="28"/>
          <w:szCs w:val="28"/>
          <w:lang w:val="en-US" w:eastAsia="zh-CN"/>
        </w:rPr>
        <w:t>2.项目资金管理情况分析</w:t>
      </w:r>
    </w:p>
    <w:p>
      <w:pPr>
        <w:ind w:firstLine="560" w:firstLineChars="200"/>
        <w:rPr>
          <w:rFonts w:hint="eastAsia" w:ascii="宋体" w:hAnsi="宋体" w:cs="宋体"/>
          <w:color w:val="333333"/>
          <w:kern w:val="0"/>
          <w:sz w:val="28"/>
          <w:szCs w:val="28"/>
        </w:rPr>
      </w:pPr>
      <w:r>
        <w:rPr>
          <w:rFonts w:hint="eastAsia" w:ascii="宋体" w:hAnsi="宋体" w:cs="宋体"/>
          <w:color w:val="333333"/>
          <w:kern w:val="0"/>
          <w:sz w:val="28"/>
          <w:szCs w:val="28"/>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政府性基金预算支出情况</w:t>
      </w:r>
    </w:p>
    <w:p>
      <w:pPr>
        <w:pStyle w:val="7"/>
        <w:spacing w:before="0" w:beforeAutospacing="0" w:after="0" w:afterAutospacing="0" w:line="600" w:lineRule="exact"/>
        <w:ind w:firstLine="560" w:firstLineChars="200"/>
        <w:rPr>
          <w:rFonts w:hint="eastAsia"/>
          <w:color w:val="333333"/>
          <w:sz w:val="28"/>
          <w:szCs w:val="28"/>
          <w:lang w:val="en-US" w:eastAsia="zh-CN"/>
        </w:rPr>
      </w:pPr>
      <w:r>
        <w:rPr>
          <w:rFonts w:hint="eastAsia"/>
          <w:kern w:val="2"/>
          <w:sz w:val="28"/>
          <w:szCs w:val="28"/>
          <w:lang w:eastAsia="zh-CN"/>
        </w:rPr>
        <w:t>202</w:t>
      </w:r>
      <w:r>
        <w:rPr>
          <w:rFonts w:hint="eastAsia"/>
          <w:kern w:val="2"/>
          <w:sz w:val="28"/>
          <w:szCs w:val="28"/>
          <w:lang w:val="en-US" w:eastAsia="zh-CN"/>
        </w:rPr>
        <w:t>4</w:t>
      </w:r>
      <w:r>
        <w:rPr>
          <w:rFonts w:hint="eastAsia"/>
          <w:kern w:val="2"/>
          <w:sz w:val="28"/>
          <w:szCs w:val="28"/>
          <w:lang w:eastAsia="zh-CN"/>
        </w:rPr>
        <w:t>年度</w:t>
      </w:r>
      <w:r>
        <w:rPr>
          <w:rFonts w:hint="eastAsia"/>
          <w:color w:val="333333"/>
          <w:sz w:val="28"/>
          <w:szCs w:val="28"/>
        </w:rPr>
        <w:t>政府性基金预算财政拨款收入</w:t>
      </w:r>
      <w:r>
        <w:rPr>
          <w:rFonts w:hint="eastAsia"/>
          <w:color w:val="auto"/>
          <w:sz w:val="28"/>
          <w:szCs w:val="28"/>
          <w:lang w:val="en-US" w:eastAsia="zh-CN"/>
        </w:rPr>
        <w:t>194.67</w:t>
      </w:r>
      <w:r>
        <w:rPr>
          <w:rFonts w:hint="eastAsia"/>
          <w:color w:val="333333"/>
          <w:sz w:val="28"/>
          <w:szCs w:val="28"/>
        </w:rPr>
        <w:t>万元</w:t>
      </w:r>
      <w:r>
        <w:rPr>
          <w:rFonts w:hint="eastAsia"/>
          <w:color w:val="333333"/>
          <w:sz w:val="28"/>
          <w:szCs w:val="28"/>
          <w:lang w:eastAsia="zh-CN"/>
        </w:rPr>
        <w:t>，</w:t>
      </w:r>
      <w:r>
        <w:rPr>
          <w:rFonts w:hint="eastAsia"/>
          <w:color w:val="333333"/>
          <w:sz w:val="28"/>
          <w:szCs w:val="28"/>
          <w:lang w:val="en-US" w:eastAsia="zh-CN"/>
        </w:rPr>
        <w:t>其中项目支出194.67万元。</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600" w:lineRule="exact"/>
        <w:ind w:left="0" w:leftChars="0" w:right="0" w:firstLine="0" w:firstLineChars="0"/>
        <w:jc w:val="both"/>
        <w:textAlignment w:val="auto"/>
        <w:rPr>
          <w:rFonts w:hint="eastAsia" w:ascii="黑体" w:hAnsi="黑体" w:eastAsia="黑体" w:cs="黑体"/>
          <w:color w:val="auto"/>
        </w:rPr>
      </w:pPr>
      <w:r>
        <w:rPr>
          <w:rFonts w:hint="eastAsia" w:ascii="黑体" w:hAnsi="黑体" w:eastAsia="黑体" w:cs="黑体"/>
          <w:color w:val="auto"/>
        </w:rPr>
        <w:t>国有资本经营预算支出情况</w:t>
      </w:r>
    </w:p>
    <w:p>
      <w:pPr>
        <w:pStyle w:val="7"/>
        <w:spacing w:before="0" w:beforeAutospacing="0" w:after="0" w:afterAutospacing="0" w:line="600" w:lineRule="exact"/>
        <w:ind w:firstLine="560" w:firstLineChars="200"/>
        <w:rPr>
          <w:rFonts w:hint="eastAsia"/>
          <w:color w:val="333333"/>
          <w:sz w:val="28"/>
          <w:szCs w:val="28"/>
          <w:lang w:val="en-US" w:eastAsia="zh-CN"/>
        </w:rPr>
      </w:pPr>
      <w:r>
        <w:rPr>
          <w:rFonts w:hint="eastAsia"/>
          <w:kern w:val="2"/>
          <w:sz w:val="28"/>
          <w:szCs w:val="28"/>
          <w:lang w:eastAsia="zh-CN"/>
        </w:rPr>
        <w:t>202</w:t>
      </w:r>
      <w:r>
        <w:rPr>
          <w:rFonts w:hint="eastAsia"/>
          <w:kern w:val="2"/>
          <w:sz w:val="28"/>
          <w:szCs w:val="28"/>
          <w:lang w:val="en-US" w:eastAsia="zh-CN"/>
        </w:rPr>
        <w:t>4</w:t>
      </w:r>
      <w:r>
        <w:rPr>
          <w:rFonts w:hint="eastAsia"/>
          <w:kern w:val="2"/>
          <w:sz w:val="28"/>
          <w:szCs w:val="28"/>
          <w:lang w:eastAsia="zh-CN"/>
        </w:rPr>
        <w:t>年度</w:t>
      </w:r>
      <w:r>
        <w:rPr>
          <w:rFonts w:hint="eastAsia"/>
          <w:color w:val="333333"/>
          <w:sz w:val="28"/>
          <w:szCs w:val="28"/>
          <w:lang w:val="en-US" w:eastAsia="zh-CN"/>
        </w:rPr>
        <w:t>国有资本经营</w:t>
      </w:r>
      <w:r>
        <w:rPr>
          <w:rFonts w:hint="eastAsia"/>
          <w:color w:val="333333"/>
          <w:sz w:val="28"/>
          <w:szCs w:val="28"/>
        </w:rPr>
        <w:t>预算财政拨款收入</w:t>
      </w:r>
      <w:r>
        <w:rPr>
          <w:rFonts w:hint="eastAsia"/>
          <w:color w:val="auto"/>
          <w:sz w:val="28"/>
          <w:szCs w:val="28"/>
          <w:lang w:val="en-US" w:eastAsia="zh-CN"/>
        </w:rPr>
        <w:t>3.55</w:t>
      </w:r>
      <w:r>
        <w:rPr>
          <w:rFonts w:hint="eastAsia"/>
          <w:color w:val="333333"/>
          <w:sz w:val="28"/>
          <w:szCs w:val="28"/>
        </w:rPr>
        <w:t>万元</w:t>
      </w:r>
      <w:r>
        <w:rPr>
          <w:rFonts w:hint="eastAsia"/>
          <w:color w:val="333333"/>
          <w:sz w:val="28"/>
          <w:szCs w:val="28"/>
          <w:lang w:eastAsia="zh-CN"/>
        </w:rPr>
        <w:t>，</w:t>
      </w:r>
      <w:r>
        <w:rPr>
          <w:rFonts w:hint="eastAsia"/>
          <w:color w:val="333333"/>
          <w:sz w:val="28"/>
          <w:szCs w:val="28"/>
          <w:lang w:val="en-US" w:eastAsia="zh-CN"/>
        </w:rPr>
        <w:t>其中项目支出3.55万元。</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五、社会保险基金预算支出情况</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560" w:firstLineChars="200"/>
        <w:jc w:val="both"/>
        <w:textAlignment w:val="auto"/>
        <w:rPr>
          <w:rFonts w:hint="eastAsia"/>
        </w:rPr>
      </w:pPr>
      <w:r>
        <w:rPr>
          <w:rFonts w:hint="eastAsia" w:ascii="宋体" w:hAnsi="宋体" w:eastAsia="宋体" w:cs="宋体"/>
          <w:kern w:val="2"/>
          <w:sz w:val="28"/>
          <w:szCs w:val="28"/>
          <w:lang w:val="en-US" w:eastAsia="zh-CN" w:bidi="ar-SA"/>
        </w:rPr>
        <w:t>本单位本年度无社会保险基金预算支出情况支出情况</w:t>
      </w:r>
    </w:p>
    <w:p>
      <w:pPr>
        <w:widowControl/>
        <w:spacing w:line="600" w:lineRule="exact"/>
        <w:ind w:firstLine="645"/>
        <w:jc w:val="left"/>
        <w:rPr>
          <w:rFonts w:ascii="黑体" w:hAnsi="黑体" w:eastAsia="黑体"/>
          <w:sz w:val="32"/>
          <w:szCs w:val="32"/>
        </w:rPr>
      </w:pPr>
      <w:r>
        <w:rPr>
          <w:rFonts w:ascii="黑体" w:hAnsi="黑体" w:eastAsia="黑体"/>
          <w:sz w:val="32"/>
          <w:szCs w:val="32"/>
        </w:rPr>
        <w:t>四、部门</w:t>
      </w:r>
      <w:r>
        <w:rPr>
          <w:rFonts w:hint="eastAsia" w:ascii="黑体" w:hAnsi="黑体" w:eastAsia="黑体"/>
          <w:sz w:val="32"/>
          <w:szCs w:val="32"/>
        </w:rPr>
        <w:t>整体支出绩效情况</w:t>
      </w:r>
    </w:p>
    <w:p>
      <w:pPr>
        <w:ind w:firstLine="560" w:firstLineChars="200"/>
        <w:rPr>
          <w:rFonts w:ascii="宋体" w:hAnsi="宋体" w:cs="宋体"/>
          <w:color w:val="333333"/>
          <w:kern w:val="0"/>
          <w:sz w:val="28"/>
          <w:szCs w:val="28"/>
        </w:rPr>
      </w:pPr>
      <w:r>
        <w:rPr>
          <w:rFonts w:hint="eastAsia" w:ascii="宋体" w:hAnsi="宋体" w:cs="宋体"/>
          <w:sz w:val="28"/>
          <w:szCs w:val="28"/>
          <w:lang w:eastAsia="zh-CN"/>
        </w:rPr>
        <w:t>202</w:t>
      </w:r>
      <w:r>
        <w:rPr>
          <w:rFonts w:hint="eastAsia" w:cs="宋体"/>
          <w:sz w:val="28"/>
          <w:szCs w:val="28"/>
          <w:lang w:val="en-US" w:eastAsia="zh-CN"/>
        </w:rPr>
        <w:t>4</w:t>
      </w:r>
      <w:r>
        <w:rPr>
          <w:rFonts w:hint="eastAsia" w:ascii="宋体" w:hAnsi="宋体" w:cs="宋体"/>
          <w:sz w:val="28"/>
          <w:szCs w:val="28"/>
          <w:lang w:eastAsia="zh-CN"/>
        </w:rPr>
        <w:t>年</w:t>
      </w:r>
      <w:r>
        <w:rPr>
          <w:rFonts w:hint="eastAsia" w:ascii="宋体" w:hAnsi="宋体" w:cs="宋体"/>
          <w:color w:val="333333"/>
          <w:kern w:val="0"/>
          <w:sz w:val="28"/>
          <w:szCs w:val="28"/>
        </w:rPr>
        <w:t>，我镇积极履职，强化管理，较好地完成了年度工作目标。</w:t>
      </w:r>
      <w:r>
        <w:rPr>
          <w:rFonts w:hint="eastAsia" w:ascii="宋体" w:hAnsi="宋体" w:cs="宋体"/>
          <w:color w:val="333333"/>
          <w:kern w:val="0"/>
          <w:sz w:val="28"/>
          <w:szCs w:val="28"/>
          <w:lang w:val="en-US" w:eastAsia="zh-CN"/>
        </w:rPr>
        <w:t>祁东县金桥</w:t>
      </w:r>
      <w:r>
        <w:rPr>
          <w:rFonts w:hint="eastAsia" w:ascii="宋体" w:hAnsi="宋体" w:cs="宋体"/>
          <w:color w:val="333333"/>
          <w:kern w:val="0"/>
          <w:sz w:val="28"/>
          <w:szCs w:val="28"/>
        </w:rPr>
        <w:t>镇</w:t>
      </w:r>
      <w:r>
        <w:rPr>
          <w:rFonts w:hint="eastAsia" w:ascii="宋体" w:hAnsi="宋体" w:cs="宋体"/>
          <w:color w:val="333333"/>
          <w:kern w:val="0"/>
          <w:sz w:val="28"/>
          <w:szCs w:val="28"/>
          <w:lang w:val="en-US" w:eastAsia="zh-CN"/>
        </w:rPr>
        <w:t>人民</w:t>
      </w:r>
      <w:r>
        <w:rPr>
          <w:rFonts w:hint="eastAsia" w:ascii="宋体" w:hAnsi="宋体" w:cs="宋体"/>
          <w:color w:val="333333"/>
          <w:kern w:val="0"/>
          <w:sz w:val="28"/>
          <w:szCs w:val="28"/>
        </w:rPr>
        <w:t>政府</w:t>
      </w:r>
      <w:r>
        <w:rPr>
          <w:rFonts w:hint="eastAsia" w:ascii="宋体" w:hAnsi="宋体" w:cs="宋体"/>
          <w:color w:val="333333"/>
          <w:kern w:val="0"/>
          <w:sz w:val="28"/>
          <w:szCs w:val="28"/>
          <w:lang w:eastAsia="zh-CN"/>
        </w:rPr>
        <w:t>202</w:t>
      </w:r>
      <w:r>
        <w:rPr>
          <w:rFonts w:hint="eastAsia" w:cs="宋体"/>
          <w:color w:val="333333"/>
          <w:kern w:val="0"/>
          <w:sz w:val="28"/>
          <w:szCs w:val="28"/>
          <w:lang w:val="en-US" w:eastAsia="zh-CN"/>
        </w:rPr>
        <w:t>4</w:t>
      </w:r>
      <w:r>
        <w:rPr>
          <w:rFonts w:hint="eastAsia" w:ascii="宋体" w:hAnsi="宋体" w:cs="宋体"/>
          <w:color w:val="333333"/>
          <w:kern w:val="0"/>
          <w:sz w:val="28"/>
          <w:szCs w:val="28"/>
          <w:lang w:eastAsia="zh-CN"/>
        </w:rPr>
        <w:t>年度</w:t>
      </w:r>
      <w:r>
        <w:rPr>
          <w:rFonts w:hint="eastAsia" w:ascii="宋体" w:hAnsi="宋体" w:cs="宋体"/>
          <w:color w:val="333333"/>
          <w:kern w:val="0"/>
          <w:sz w:val="28"/>
          <w:szCs w:val="28"/>
        </w:rPr>
        <w:t>部门整体支出</w:t>
      </w:r>
      <w:r>
        <w:rPr>
          <w:rFonts w:hint="eastAsia"/>
          <w:color w:val="auto"/>
          <w:sz w:val="28"/>
          <w:szCs w:val="28"/>
          <w:lang w:val="en-US" w:eastAsia="zh-CN"/>
        </w:rPr>
        <w:t>2611.53</w:t>
      </w:r>
      <w:r>
        <w:rPr>
          <w:rFonts w:hint="eastAsia" w:ascii="宋体" w:hAnsi="宋体" w:cs="宋体"/>
          <w:color w:val="333333"/>
          <w:kern w:val="0"/>
          <w:sz w:val="28"/>
          <w:szCs w:val="28"/>
        </w:rPr>
        <w:t>万元，其中单位基本支出</w:t>
      </w:r>
      <w:r>
        <w:rPr>
          <w:rFonts w:hint="eastAsia"/>
          <w:color w:val="auto"/>
          <w:kern w:val="2"/>
          <w:sz w:val="28"/>
          <w:szCs w:val="28"/>
          <w:lang w:val="en-US" w:eastAsia="zh-CN"/>
        </w:rPr>
        <w:t>1483.79</w:t>
      </w:r>
      <w:r>
        <w:rPr>
          <w:rFonts w:hint="eastAsia" w:ascii="宋体" w:hAnsi="宋体" w:cs="宋体"/>
          <w:color w:val="333333"/>
          <w:kern w:val="0"/>
          <w:sz w:val="28"/>
          <w:szCs w:val="28"/>
        </w:rPr>
        <w:t>万元、项目支出</w:t>
      </w:r>
      <w:r>
        <w:rPr>
          <w:rFonts w:hint="eastAsia" w:cs="宋体"/>
          <w:color w:val="auto"/>
          <w:kern w:val="0"/>
          <w:sz w:val="28"/>
          <w:szCs w:val="28"/>
          <w:lang w:val="en-US" w:eastAsia="zh-CN"/>
        </w:rPr>
        <w:t>1127.74</w:t>
      </w:r>
      <w:r>
        <w:rPr>
          <w:rFonts w:hint="eastAsia" w:ascii="宋体" w:hAnsi="宋体" w:cs="宋体"/>
          <w:color w:val="333333"/>
          <w:kern w:val="0"/>
          <w:sz w:val="28"/>
          <w:szCs w:val="28"/>
        </w:rPr>
        <w:t>万元；整体支出绩效目标完成率100%，其中单位基本支出完成率100%，项目支出完成率100%。</w:t>
      </w:r>
    </w:p>
    <w:p>
      <w:pPr>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我镇</w:t>
      </w:r>
      <w:r>
        <w:rPr>
          <w:rFonts w:hint="eastAsia" w:ascii="宋体" w:hAnsi="宋体" w:cs="宋体"/>
          <w:color w:val="auto"/>
          <w:sz w:val="28"/>
          <w:szCs w:val="28"/>
          <w:highlight w:val="none"/>
          <w:lang w:eastAsia="zh-CN"/>
        </w:rPr>
        <w:t>202</w:t>
      </w:r>
      <w:r>
        <w:rPr>
          <w:rFonts w:hint="eastAsia" w:cs="宋体"/>
          <w:color w:val="auto"/>
          <w:sz w:val="28"/>
          <w:szCs w:val="28"/>
          <w:highlight w:val="none"/>
          <w:lang w:val="en-US" w:eastAsia="zh-CN"/>
        </w:rPr>
        <w:t>4</w:t>
      </w:r>
      <w:r>
        <w:rPr>
          <w:rFonts w:hint="eastAsia" w:ascii="宋体" w:hAnsi="宋体" w:cs="宋体"/>
          <w:color w:val="auto"/>
          <w:sz w:val="28"/>
          <w:szCs w:val="28"/>
          <w:highlight w:val="none"/>
          <w:lang w:eastAsia="zh-CN"/>
        </w:rPr>
        <w:t>年度</w:t>
      </w:r>
      <w:r>
        <w:rPr>
          <w:rFonts w:hint="eastAsia" w:ascii="宋体" w:hAnsi="宋体" w:cs="宋体"/>
          <w:color w:val="auto"/>
          <w:sz w:val="28"/>
          <w:szCs w:val="28"/>
          <w:highlight w:val="none"/>
        </w:rPr>
        <w:t>绩效自评得分为9</w:t>
      </w:r>
      <w:r>
        <w:rPr>
          <w:rFonts w:hint="eastAsia" w:ascii="宋体" w:hAnsi="宋体" w:cs="宋体"/>
          <w:color w:val="auto"/>
          <w:sz w:val="28"/>
          <w:szCs w:val="28"/>
          <w:highlight w:val="none"/>
          <w:lang w:val="en-US" w:eastAsia="zh-CN"/>
        </w:rPr>
        <w:t>7.5</w:t>
      </w:r>
      <w:r>
        <w:rPr>
          <w:rFonts w:hint="eastAsia" w:ascii="宋体" w:hAnsi="宋体" w:cs="宋体"/>
          <w:color w:val="auto"/>
          <w:sz w:val="28"/>
          <w:szCs w:val="28"/>
          <w:highlight w:val="none"/>
        </w:rPr>
        <w:t>分。部门整体支出绩效情况详见附件2。</w:t>
      </w:r>
    </w:p>
    <w:p>
      <w:pPr>
        <w:adjustRightInd w:val="0"/>
        <w:snapToGrid w:val="0"/>
        <w:spacing w:line="360" w:lineRule="auto"/>
        <w:ind w:firstLine="560" w:firstLineChars="200"/>
        <w:rPr>
          <w:rFonts w:ascii="宋体" w:hAnsi="宋体" w:cs="宋体"/>
          <w:color w:val="333333"/>
          <w:kern w:val="0"/>
          <w:sz w:val="28"/>
          <w:szCs w:val="28"/>
        </w:rPr>
      </w:pPr>
      <w:r>
        <w:rPr>
          <w:rFonts w:hint="eastAsia" w:ascii="宋体" w:hAnsi="宋体" w:cs="宋体"/>
          <w:color w:val="333333"/>
          <w:kern w:val="0"/>
          <w:sz w:val="28"/>
          <w:szCs w:val="28"/>
        </w:rPr>
        <w:t>其产出和效益情况概述如下：</w:t>
      </w:r>
    </w:p>
    <w:p>
      <w:pPr>
        <w:numPr>
          <w:ilvl w:val="0"/>
          <w:numId w:val="4"/>
        </w:numPr>
        <w:adjustRightInd w:val="0"/>
        <w:snapToGrid w:val="0"/>
        <w:spacing w:line="360" w:lineRule="auto"/>
        <w:ind w:left="70" w:leftChars="0" w:firstLine="560" w:firstLineChars="0"/>
        <w:rPr>
          <w:rFonts w:ascii="宋体" w:hAnsi="宋体" w:cs="宋体"/>
          <w:color w:val="333333"/>
          <w:kern w:val="0"/>
          <w:sz w:val="28"/>
          <w:szCs w:val="28"/>
        </w:rPr>
      </w:pPr>
      <w:r>
        <w:rPr>
          <w:rFonts w:hint="eastAsia" w:ascii="宋体" w:hAnsi="宋体" w:cs="宋体"/>
          <w:color w:val="333333"/>
          <w:kern w:val="0"/>
          <w:sz w:val="28"/>
          <w:szCs w:val="28"/>
        </w:rPr>
        <w:t>保证了工资及津补贴的正常发放，提高了职工的福利待遇，充分发挥了所有职工的工作积极性。</w:t>
      </w:r>
    </w:p>
    <w:p>
      <w:pPr>
        <w:numPr>
          <w:ilvl w:val="0"/>
          <w:numId w:val="4"/>
        </w:numPr>
        <w:adjustRightInd w:val="0"/>
        <w:snapToGrid w:val="0"/>
        <w:spacing w:line="360" w:lineRule="auto"/>
        <w:ind w:left="70" w:leftChars="0" w:firstLine="560" w:firstLineChars="0"/>
        <w:rPr>
          <w:rFonts w:ascii="宋体" w:hAnsi="宋体" w:cs="宋体"/>
          <w:color w:val="333333"/>
          <w:kern w:val="0"/>
          <w:sz w:val="28"/>
          <w:szCs w:val="28"/>
        </w:rPr>
      </w:pPr>
      <w:r>
        <w:rPr>
          <w:rFonts w:hint="eastAsia" w:ascii="宋体" w:hAnsi="宋体" w:cs="宋体"/>
          <w:color w:val="333333"/>
          <w:kern w:val="0"/>
          <w:sz w:val="28"/>
          <w:szCs w:val="28"/>
        </w:rPr>
        <w:t>保证了单位公用经费的正常支出，极大地提高了机构各项职能的运转效率。</w:t>
      </w:r>
    </w:p>
    <w:p>
      <w:pPr>
        <w:adjustRightInd w:val="0"/>
        <w:snapToGrid w:val="0"/>
        <w:spacing w:line="360" w:lineRule="auto"/>
        <w:ind w:firstLine="560" w:firstLineChars="200"/>
        <w:rPr>
          <w:rFonts w:ascii="宋体" w:hAnsi="宋体" w:cs="宋体"/>
          <w:color w:val="333333"/>
          <w:kern w:val="0"/>
          <w:sz w:val="28"/>
          <w:szCs w:val="28"/>
        </w:rPr>
      </w:pPr>
      <w:r>
        <w:rPr>
          <w:rFonts w:hint="eastAsia" w:ascii="宋体" w:hAnsi="宋体" w:cs="宋体"/>
          <w:bCs/>
          <w:sz w:val="28"/>
          <w:szCs w:val="28"/>
        </w:rPr>
        <w:t>3、改善了城乡居民的生产生活条件，</w:t>
      </w:r>
      <w:r>
        <w:rPr>
          <w:rFonts w:hint="eastAsia" w:ascii="宋体" w:hAnsi="宋体" w:cs="宋体"/>
          <w:color w:val="333333"/>
          <w:kern w:val="0"/>
          <w:sz w:val="28"/>
          <w:szCs w:val="28"/>
        </w:rPr>
        <w:t>加快了道路交通、生态治理、水资源保护、美丽乡村等方面的城乡基本公共设施工程建设，</w:t>
      </w:r>
      <w:r>
        <w:rPr>
          <w:rFonts w:hint="eastAsia" w:ascii="宋体" w:hAnsi="宋体" w:cs="宋体"/>
          <w:bCs/>
          <w:sz w:val="28"/>
          <w:szCs w:val="28"/>
        </w:rPr>
        <w:t>努力提升人民群众的幸福感、获得感、满足感。</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color w:val="000000"/>
          <w:kern w:val="0"/>
          <w:sz w:val="28"/>
          <w:szCs w:val="28"/>
        </w:rPr>
        <w:t>4、推动了行政区域内的民政、卫生、体育、计划生育、文化教育等社会公益事业的综合性工作，提升</w:t>
      </w:r>
      <w:r>
        <w:rPr>
          <w:rFonts w:hint="eastAsia" w:ascii="宋体" w:hAnsi="宋体" w:cs="宋体"/>
          <w:bCs/>
          <w:sz w:val="28"/>
          <w:szCs w:val="28"/>
        </w:rPr>
        <w:t>精神文明建设质量。</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七、存在的问题及原因分析</w:t>
      </w:r>
    </w:p>
    <w:p>
      <w:pPr>
        <w:pStyle w:val="7"/>
        <w:adjustRightInd w:val="0"/>
        <w:snapToGrid w:val="0"/>
        <w:spacing w:before="0" w:beforeAutospacing="0" w:after="0" w:afterAutospacing="0" w:line="360" w:lineRule="auto"/>
        <w:ind w:firstLine="560" w:firstLineChars="200"/>
        <w:jc w:val="both"/>
        <w:rPr>
          <w:kern w:val="2"/>
          <w:sz w:val="28"/>
          <w:szCs w:val="28"/>
        </w:rPr>
      </w:pPr>
      <w:r>
        <w:rPr>
          <w:rFonts w:hint="eastAsia"/>
          <w:kern w:val="2"/>
          <w:sz w:val="28"/>
          <w:szCs w:val="28"/>
        </w:rPr>
        <w:t>存在的问题：</w:t>
      </w:r>
    </w:p>
    <w:p>
      <w:pPr>
        <w:pStyle w:val="7"/>
        <w:adjustRightInd w:val="0"/>
        <w:snapToGrid w:val="0"/>
        <w:spacing w:before="0" w:beforeAutospacing="0" w:after="0" w:afterAutospacing="0" w:line="360" w:lineRule="auto"/>
        <w:ind w:firstLine="560" w:firstLineChars="200"/>
        <w:jc w:val="both"/>
        <w:rPr>
          <w:kern w:val="2"/>
          <w:sz w:val="28"/>
          <w:szCs w:val="28"/>
        </w:rPr>
      </w:pPr>
      <w:r>
        <w:rPr>
          <w:rFonts w:hint="eastAsia"/>
          <w:kern w:val="2"/>
          <w:sz w:val="28"/>
          <w:szCs w:val="28"/>
        </w:rPr>
        <w:t>1.预算控制率有待降低。除政策性因素以外，由于部分临时、紧急或突发的工作任务导致年中追加预算。</w:t>
      </w:r>
    </w:p>
    <w:p>
      <w:pPr>
        <w:pStyle w:val="7"/>
        <w:adjustRightInd w:val="0"/>
        <w:snapToGrid w:val="0"/>
        <w:spacing w:before="0" w:beforeAutospacing="0" w:after="0" w:afterAutospacing="0" w:line="360" w:lineRule="auto"/>
        <w:ind w:firstLine="560" w:firstLineChars="200"/>
        <w:jc w:val="both"/>
        <w:rPr>
          <w:rFonts w:hint="eastAsia" w:ascii="宋体" w:hAnsi="宋体" w:eastAsia="宋体" w:cs="宋体"/>
          <w:sz w:val="30"/>
          <w:szCs w:val="30"/>
        </w:rPr>
      </w:pPr>
      <w:r>
        <w:rPr>
          <w:rFonts w:hint="eastAsia"/>
          <w:kern w:val="2"/>
          <w:sz w:val="28"/>
          <w:szCs w:val="28"/>
        </w:rPr>
        <w:t>2. 专项资金少，资金压力大。</w:t>
      </w:r>
      <w:r>
        <w:rPr>
          <w:rFonts w:hint="eastAsia" w:ascii="宋体" w:hAnsi="宋体" w:eastAsia="宋体" w:cs="宋体"/>
          <w:sz w:val="30"/>
          <w:szCs w:val="30"/>
        </w:rPr>
        <w:t>针对我镇经济基础薄弱、资金压力大的现状，农业发展、乡村产业振兴尚需进一步的加强。</w:t>
      </w:r>
    </w:p>
    <w:p>
      <w:pPr>
        <w:pStyle w:val="7"/>
        <w:adjustRightInd w:val="0"/>
        <w:snapToGrid w:val="0"/>
        <w:spacing w:before="0" w:beforeAutospacing="0" w:after="0" w:afterAutospacing="0" w:line="360" w:lineRule="auto"/>
        <w:ind w:firstLine="560" w:firstLineChars="200"/>
        <w:jc w:val="both"/>
        <w:rPr>
          <w:rFonts w:hint="eastAsia" w:ascii="黑体" w:hAnsi="黑体" w:eastAsia="黑体" w:cs="黑体"/>
          <w:color w:val="auto"/>
        </w:rPr>
      </w:pPr>
      <w:r>
        <w:rPr>
          <w:rFonts w:hint="eastAsia"/>
          <w:kern w:val="2"/>
          <w:sz w:val="28"/>
          <w:szCs w:val="28"/>
        </w:rPr>
        <w:t>3.公用经费和三公经费控制有一定难度，基本为刚性支出。</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八、下一步改进措施</w:t>
      </w:r>
    </w:p>
    <w:p>
      <w:pPr>
        <w:pStyle w:val="7"/>
        <w:adjustRightInd w:val="0"/>
        <w:snapToGrid w:val="0"/>
        <w:spacing w:before="0" w:beforeAutospacing="0" w:after="0" w:afterAutospacing="0" w:line="360" w:lineRule="auto"/>
        <w:ind w:firstLine="420"/>
        <w:jc w:val="both"/>
        <w:rPr>
          <w:sz w:val="28"/>
          <w:szCs w:val="28"/>
        </w:rPr>
      </w:pPr>
      <w:r>
        <w:rPr>
          <w:rFonts w:hint="eastAsia"/>
          <w:sz w:val="28"/>
          <w:szCs w:val="28"/>
        </w:rPr>
        <w:t>下一步改进措施及建议有：</w:t>
      </w:r>
    </w:p>
    <w:p>
      <w:pPr>
        <w:pStyle w:val="7"/>
        <w:adjustRightInd w:val="0"/>
        <w:snapToGrid w:val="0"/>
        <w:spacing w:before="0" w:beforeAutospacing="0" w:after="0" w:afterAutospacing="0" w:line="360" w:lineRule="auto"/>
        <w:ind w:firstLine="420"/>
        <w:jc w:val="both"/>
        <w:rPr>
          <w:sz w:val="28"/>
          <w:szCs w:val="28"/>
        </w:rPr>
      </w:pPr>
      <w:r>
        <w:rPr>
          <w:rFonts w:hint="eastAsia"/>
          <w:sz w:val="28"/>
          <w:szCs w:val="28"/>
        </w:rPr>
        <w:t>1、细化预算编制，精益求精做好预算编制工作。同时进一步加强内设机构的预算管理意识，严格按照预算编制的相关制度和指标要求进行操作。</w:t>
      </w:r>
    </w:p>
    <w:p>
      <w:pPr>
        <w:pStyle w:val="7"/>
        <w:adjustRightInd w:val="0"/>
        <w:snapToGrid w:val="0"/>
        <w:spacing w:before="0" w:beforeAutospacing="0" w:after="0" w:afterAutospacing="0" w:line="360" w:lineRule="auto"/>
        <w:ind w:firstLine="420"/>
        <w:jc w:val="both"/>
        <w:rPr>
          <w:sz w:val="28"/>
          <w:szCs w:val="28"/>
        </w:rPr>
      </w:pPr>
      <w:r>
        <w:rPr>
          <w:rFonts w:hint="eastAsia"/>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7"/>
        <w:adjustRightInd w:val="0"/>
        <w:snapToGrid w:val="0"/>
        <w:spacing w:before="0" w:beforeAutospacing="0" w:after="0" w:afterAutospacing="0" w:line="360" w:lineRule="auto"/>
        <w:ind w:firstLine="420"/>
        <w:jc w:val="both"/>
        <w:rPr>
          <w:sz w:val="28"/>
          <w:szCs w:val="28"/>
        </w:rPr>
      </w:pPr>
      <w:r>
        <w:rPr>
          <w:rFonts w:hint="eastAsia"/>
          <w:sz w:val="28"/>
          <w:szCs w:val="28"/>
        </w:rPr>
        <w:t>3、完善资金监管制度，抓好“三公”经费控制。严格执行政府采购相关的制度，编制政府采购年初预算和计划，规范各类资产的购置审批制度、资产采购制度、使用管理制度。严格控制“三公”经费的规模和比例，把关“三公”经费支出的审核、审批，杜绝挪用和挤占。</w:t>
      </w:r>
    </w:p>
    <w:p>
      <w:pPr>
        <w:pStyle w:val="7"/>
        <w:adjustRightInd w:val="0"/>
        <w:snapToGrid w:val="0"/>
        <w:spacing w:before="0" w:beforeAutospacing="0" w:after="0" w:afterAutospacing="0" w:line="360" w:lineRule="auto"/>
        <w:ind w:firstLine="420"/>
        <w:jc w:val="both"/>
        <w:rPr>
          <w:rFonts w:hint="eastAsia" w:ascii="黑体" w:hAnsi="黑体" w:eastAsia="黑体" w:cs="黑体"/>
          <w:color w:val="auto"/>
        </w:rPr>
      </w:pPr>
      <w:r>
        <w:rPr>
          <w:sz w:val="28"/>
          <w:szCs w:val="28"/>
        </w:rPr>
        <w:t>4、对相关人员加强培训，特别是针对《预算法》、《行政事业单位会计制度》等学习培训，规范部门预算收支核算，切实提高部门预算收支管理水平。</w:t>
      </w:r>
    </w:p>
    <w:p>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九、部门整体支出绩效自评结果拟应用和公开情况</w:t>
      </w:r>
    </w:p>
    <w:p>
      <w:pPr>
        <w:ind w:firstLine="420" w:firstLineChars="150"/>
        <w:rPr>
          <w:rFonts w:hint="eastAsia" w:ascii="黑体" w:hAnsi="黑体" w:eastAsia="黑体" w:cs="黑体"/>
          <w:color w:val="auto"/>
        </w:rPr>
      </w:pPr>
      <w:r>
        <w:rPr>
          <w:rFonts w:hint="eastAsia" w:ascii="宋体" w:hAnsi="宋体" w:cs="宋体"/>
          <w:kern w:val="0"/>
          <w:sz w:val="28"/>
          <w:szCs w:val="28"/>
        </w:rPr>
        <w:t>根据预算绩效管理要求，我镇认真贯彻国家和省、市关于预算绩效管理工作的有关要求，确定部门预算项目和预算额度，清晰描述预算项目开支范围和内容，确定预算项目的绩效目标、绩效指标和评价标准，为预算绩效控制、绩效分析、绩效评价打下好的基础，并建立了绩效管理贯穿预算全过程的机制。我镇根据整体支出绩效评定指标对各项量化评价，自评指标得分9</w:t>
      </w:r>
      <w:r>
        <w:rPr>
          <w:rFonts w:hint="eastAsia" w:ascii="宋体" w:hAnsi="宋体" w:cs="宋体"/>
          <w:kern w:val="0"/>
          <w:sz w:val="28"/>
          <w:szCs w:val="28"/>
          <w:lang w:val="en-US" w:eastAsia="zh-CN"/>
        </w:rPr>
        <w:t>7.5</w:t>
      </w:r>
      <w:r>
        <w:rPr>
          <w:rFonts w:hint="eastAsia" w:ascii="宋体" w:hAnsi="宋体" w:cs="宋体"/>
          <w:kern w:val="0"/>
          <w:sz w:val="28"/>
          <w:szCs w:val="28"/>
        </w:rPr>
        <w:t>分，并将按照规定</w:t>
      </w:r>
      <w:r>
        <w:rPr>
          <w:rFonts w:hint="eastAsia" w:ascii="宋体" w:hAnsi="宋体" w:cs="宋体"/>
          <w:kern w:val="0"/>
          <w:sz w:val="28"/>
          <w:szCs w:val="28"/>
          <w:lang w:val="en-US" w:eastAsia="zh-CN"/>
        </w:rPr>
        <w:t>于</w:t>
      </w:r>
      <w:r>
        <w:rPr>
          <w:rFonts w:hint="eastAsia" w:cs="宋体"/>
          <w:kern w:val="0"/>
          <w:sz w:val="28"/>
          <w:szCs w:val="28"/>
          <w:lang w:val="en-US" w:eastAsia="zh-CN"/>
        </w:rPr>
        <w:t>6</w:t>
      </w:r>
      <w:r>
        <w:rPr>
          <w:rFonts w:hint="eastAsia" w:ascii="宋体" w:hAnsi="宋体" w:cs="宋体"/>
          <w:kern w:val="0"/>
          <w:sz w:val="28"/>
          <w:szCs w:val="28"/>
        </w:rPr>
        <w:t>月</w:t>
      </w:r>
      <w:r>
        <w:rPr>
          <w:rFonts w:hint="eastAsia" w:ascii="宋体" w:hAnsi="宋体" w:cs="宋体"/>
          <w:kern w:val="0"/>
          <w:sz w:val="28"/>
          <w:szCs w:val="28"/>
          <w:lang w:val="en-US" w:eastAsia="zh-CN"/>
        </w:rPr>
        <w:t>30</w:t>
      </w:r>
      <w:r>
        <w:rPr>
          <w:rFonts w:hint="eastAsia" w:ascii="宋体" w:hAnsi="宋体" w:cs="宋体"/>
          <w:kern w:val="0"/>
          <w:sz w:val="28"/>
          <w:szCs w:val="28"/>
        </w:rPr>
        <w:t>日前进行公开。</w:t>
      </w:r>
    </w:p>
    <w:p>
      <w:pPr>
        <w:pStyle w:val="5"/>
        <w:keepNext w:val="0"/>
        <w:keepLines w:val="0"/>
        <w:pageBreakBefore w:val="0"/>
        <w:widowControl w:val="0"/>
        <w:numPr>
          <w:ilvl w:val="0"/>
          <w:numId w:val="5"/>
        </w:numPr>
        <w:kinsoku/>
        <w:wordWrap/>
        <w:overflowPunct/>
        <w:topLinePunct w:val="0"/>
        <w:autoSpaceDE w:val="0"/>
        <w:autoSpaceDN w:val="0"/>
        <w:bidi w:val="0"/>
        <w:adjustRightInd/>
        <w:snapToGrid/>
        <w:spacing w:before="0" w:line="600" w:lineRule="exact"/>
        <w:ind w:left="0" w:right="0"/>
        <w:jc w:val="both"/>
        <w:textAlignment w:val="auto"/>
        <w:rPr>
          <w:rFonts w:hint="eastAsia" w:ascii="黑体" w:hAnsi="黑体" w:eastAsia="黑体" w:cs="黑体"/>
          <w:color w:val="auto"/>
        </w:rPr>
      </w:pPr>
      <w:r>
        <w:rPr>
          <w:rFonts w:hint="eastAsia" w:ascii="黑体" w:hAnsi="黑体" w:eastAsia="黑体" w:cs="黑体"/>
          <w:color w:val="auto"/>
        </w:rPr>
        <w:t>其他需要说明的情况</w:t>
      </w:r>
    </w:p>
    <w:p>
      <w:pPr>
        <w:widowControl/>
        <w:spacing w:line="560" w:lineRule="exact"/>
        <w:ind w:firstLine="645"/>
        <w:jc w:val="left"/>
        <w:rPr>
          <w:rFonts w:ascii="仿宋_GB2312" w:hAnsi="黑体" w:eastAsia="仿宋_GB2312"/>
          <w:sz w:val="32"/>
          <w:szCs w:val="32"/>
        </w:rPr>
      </w:pPr>
      <w:r>
        <w:rPr>
          <w:rFonts w:hint="eastAsia" w:ascii="仿宋_GB2312" w:hAnsi="黑体" w:eastAsia="仿宋_GB2312"/>
          <w:sz w:val="32"/>
          <w:szCs w:val="32"/>
        </w:rPr>
        <w:t>附表：1、部门整体支出绩效评价指标评分表</w:t>
      </w:r>
    </w:p>
    <w:p>
      <w:pPr>
        <w:widowControl/>
        <w:spacing w:line="560" w:lineRule="exact"/>
        <w:ind w:firstLine="1600" w:firstLineChars="500"/>
        <w:jc w:val="left"/>
      </w:pPr>
      <w:r>
        <w:rPr>
          <w:rFonts w:hint="eastAsia" w:ascii="仿宋_GB2312" w:hAnsi="黑体" w:eastAsia="仿宋_GB2312"/>
          <w:sz w:val="32"/>
          <w:szCs w:val="32"/>
        </w:rPr>
        <w:t>2、部门整体支出绩效评价基础数据表</w:t>
      </w: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hint="eastAsia" w:eastAsia="方正小标宋_GBK"/>
          <w:kern w:val="0"/>
          <w:sz w:val="24"/>
        </w:rPr>
      </w:pPr>
    </w:p>
    <w:p>
      <w:pPr>
        <w:jc w:val="left"/>
        <w:rPr>
          <w:rFonts w:eastAsia="方正小标宋_GBK"/>
          <w:kern w:val="0"/>
          <w:sz w:val="24"/>
        </w:rPr>
      </w:pPr>
      <w:r>
        <w:rPr>
          <w:rFonts w:hint="eastAsia" w:eastAsia="方正小标宋_GBK"/>
          <w:kern w:val="0"/>
          <w:sz w:val="24"/>
        </w:rPr>
        <w:t>附表1：</w:t>
      </w:r>
    </w:p>
    <w:p>
      <w:pPr>
        <w:jc w:val="center"/>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支出绩效评价指标</w:t>
      </w:r>
      <w:r>
        <w:rPr>
          <w:rFonts w:hint="eastAsia" w:eastAsia="方正小标宋_GBK"/>
          <w:kern w:val="0"/>
          <w:sz w:val="36"/>
          <w:szCs w:val="36"/>
        </w:rPr>
        <w:t>评分</w:t>
      </w:r>
      <w:r>
        <w:rPr>
          <w:rFonts w:eastAsia="方正小标宋_GBK"/>
          <w:kern w:val="0"/>
          <w:sz w:val="36"/>
          <w:szCs w:val="36"/>
        </w:rPr>
        <w:t>表</w:t>
      </w:r>
    </w:p>
    <w:p>
      <w:pPr>
        <w:rPr>
          <w:rFonts w:hint="default" w:eastAsia="仿宋_GB2312"/>
          <w:kern w:val="0"/>
          <w:sz w:val="24"/>
          <w:lang w:val="en-US" w:eastAsia="zh-CN"/>
        </w:rPr>
      </w:pPr>
      <w:r>
        <w:rPr>
          <w:rFonts w:eastAsia="仿宋_GB2312"/>
          <w:kern w:val="0"/>
          <w:sz w:val="24"/>
        </w:rPr>
        <w:t>填报单位</w:t>
      </w:r>
      <w:r>
        <w:rPr>
          <w:rFonts w:hint="eastAsia" w:eastAsia="仿宋_GB2312"/>
          <w:kern w:val="0"/>
          <w:sz w:val="24"/>
          <w:lang w:eastAsia="zh-CN"/>
        </w:rPr>
        <w:t>：</w:t>
      </w:r>
      <w:r>
        <w:rPr>
          <w:rFonts w:hint="eastAsia" w:eastAsia="仿宋_GB2312"/>
          <w:kern w:val="0"/>
          <w:sz w:val="24"/>
        </w:rPr>
        <w:t>祁东县</w:t>
      </w:r>
      <w:r>
        <w:rPr>
          <w:rFonts w:hint="eastAsia" w:eastAsia="仿宋_GB2312"/>
          <w:kern w:val="0"/>
          <w:sz w:val="24"/>
          <w:lang w:val="en-US" w:eastAsia="zh-CN"/>
        </w:rPr>
        <w:t>金桥</w:t>
      </w:r>
      <w:r>
        <w:rPr>
          <w:rFonts w:hint="eastAsia" w:eastAsia="仿宋_GB2312"/>
          <w:kern w:val="0"/>
          <w:sz w:val="24"/>
        </w:rPr>
        <w:t xml:space="preserve">镇人民政府 </w:t>
      </w:r>
      <w:r>
        <w:rPr>
          <w:rFonts w:hint="eastAsia" w:eastAsia="仿宋_GB2312"/>
          <w:kern w:val="0"/>
          <w:sz w:val="24"/>
          <w:lang w:val="en-US" w:eastAsia="zh-CN"/>
        </w:rPr>
        <w:t xml:space="preserve">  </w:t>
      </w:r>
      <w:r>
        <w:rPr>
          <w:rFonts w:hint="eastAsia" w:eastAsia="仿宋_GB2312"/>
          <w:kern w:val="0"/>
          <w:sz w:val="24"/>
        </w:rPr>
        <w:t>填报人：</w:t>
      </w:r>
      <w:r>
        <w:rPr>
          <w:rFonts w:hint="eastAsia" w:eastAsia="仿宋_GB2312"/>
          <w:kern w:val="0"/>
          <w:sz w:val="24"/>
          <w:lang w:val="en-US" w:eastAsia="zh-CN"/>
        </w:rPr>
        <w:t>翁晴</w:t>
      </w:r>
      <w:r>
        <w:rPr>
          <w:rFonts w:hint="eastAsia"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电话：</w:t>
      </w:r>
      <w:r>
        <w:rPr>
          <w:rFonts w:hint="eastAsia" w:eastAsia="仿宋_GB2312"/>
          <w:kern w:val="0"/>
          <w:sz w:val="24"/>
          <w:lang w:val="en-US" w:eastAsia="zh-CN"/>
        </w:rPr>
        <w:t>17872007119</w:t>
      </w:r>
    </w:p>
    <w:tbl>
      <w:tblPr>
        <w:tblStyle w:val="8"/>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48"/>
        <w:gridCol w:w="844"/>
        <w:gridCol w:w="488"/>
        <w:gridCol w:w="2845"/>
        <w:gridCol w:w="3296"/>
        <w:gridCol w:w="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763" w:type="dxa"/>
            <w:noWrap w:val="0"/>
            <w:vAlign w:val="center"/>
          </w:tcPr>
          <w:p>
            <w:pPr>
              <w:widowControl/>
              <w:spacing w:line="280" w:lineRule="exact"/>
              <w:jc w:val="left"/>
              <w:rPr>
                <w:rFonts w:ascii="黑体" w:eastAsia="黑体"/>
                <w:kern w:val="0"/>
                <w:sz w:val="20"/>
                <w:szCs w:val="20"/>
              </w:rPr>
            </w:pPr>
            <w:r>
              <w:rPr>
                <w:rFonts w:hint="eastAsia" w:ascii="黑体" w:eastAsia="黑体"/>
                <w:kern w:val="0"/>
                <w:sz w:val="20"/>
                <w:szCs w:val="20"/>
              </w:rPr>
              <w:t>一级指标</w:t>
            </w:r>
          </w:p>
        </w:tc>
        <w:tc>
          <w:tcPr>
            <w:tcW w:w="751"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二级指标</w:t>
            </w:r>
          </w:p>
        </w:tc>
        <w:tc>
          <w:tcPr>
            <w:tcW w:w="848"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三级</w:t>
            </w:r>
          </w:p>
          <w:p>
            <w:pPr>
              <w:widowControl/>
              <w:spacing w:line="280" w:lineRule="exact"/>
              <w:jc w:val="center"/>
              <w:rPr>
                <w:rFonts w:ascii="黑体" w:eastAsia="黑体"/>
                <w:kern w:val="0"/>
                <w:sz w:val="20"/>
                <w:szCs w:val="20"/>
              </w:rPr>
            </w:pPr>
            <w:r>
              <w:rPr>
                <w:rFonts w:hint="eastAsia" w:ascii="黑体" w:eastAsia="黑体"/>
                <w:kern w:val="0"/>
                <w:sz w:val="20"/>
                <w:szCs w:val="20"/>
              </w:rPr>
              <w:t>指标</w:t>
            </w:r>
          </w:p>
        </w:tc>
        <w:tc>
          <w:tcPr>
            <w:tcW w:w="489"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分值</w:t>
            </w:r>
          </w:p>
        </w:tc>
        <w:tc>
          <w:tcPr>
            <w:tcW w:w="2880"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评价标准</w:t>
            </w:r>
          </w:p>
        </w:tc>
        <w:tc>
          <w:tcPr>
            <w:tcW w:w="3337"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指标说明</w:t>
            </w:r>
          </w:p>
        </w:tc>
        <w:tc>
          <w:tcPr>
            <w:tcW w:w="489" w:type="dxa"/>
            <w:noWrap w:val="0"/>
            <w:vAlign w:val="center"/>
          </w:tcPr>
          <w:p>
            <w:pPr>
              <w:widowControl/>
              <w:spacing w:line="280" w:lineRule="exact"/>
              <w:jc w:val="center"/>
              <w:rPr>
                <w:rFonts w:ascii="黑体" w:eastAsia="黑体"/>
                <w:kern w:val="0"/>
                <w:sz w:val="20"/>
                <w:szCs w:val="20"/>
              </w:rPr>
            </w:pPr>
            <w:r>
              <w:rPr>
                <w:rFonts w:hint="eastAsia" w:ascii="黑体" w:eastAsia="黑体"/>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763"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投入</w:t>
            </w:r>
          </w:p>
          <w:p>
            <w:pPr>
              <w:widowControl/>
              <w:spacing w:line="280" w:lineRule="exact"/>
              <w:jc w:val="center"/>
              <w:rPr>
                <w:rFonts w:hint="eastAsia" w:eastAsia="仿宋_GB2312"/>
                <w:kern w:val="0"/>
                <w:sz w:val="20"/>
                <w:szCs w:val="20"/>
              </w:rPr>
            </w:pPr>
            <w:r>
              <w:rPr>
                <w:rFonts w:hint="eastAsia" w:eastAsia="仿宋_GB2312"/>
                <w:kern w:val="0"/>
                <w:sz w:val="20"/>
                <w:szCs w:val="20"/>
              </w:rPr>
              <w:t>（10分）</w:t>
            </w:r>
          </w:p>
        </w:tc>
        <w:tc>
          <w:tcPr>
            <w:tcW w:w="751"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预算配置</w:t>
            </w:r>
          </w:p>
          <w:p>
            <w:pPr>
              <w:widowControl/>
              <w:spacing w:line="280" w:lineRule="exact"/>
              <w:jc w:val="center"/>
              <w:rPr>
                <w:rFonts w:hint="eastAsia" w:eastAsia="仿宋_GB2312"/>
                <w:kern w:val="0"/>
                <w:sz w:val="20"/>
                <w:szCs w:val="20"/>
              </w:rPr>
            </w:pPr>
            <w:r>
              <w:rPr>
                <w:rFonts w:hint="eastAsia" w:eastAsia="仿宋_GB2312"/>
                <w:kern w:val="0"/>
                <w:sz w:val="20"/>
                <w:szCs w:val="20"/>
              </w:rPr>
              <w:t>（</w:t>
            </w:r>
            <w:r>
              <w:rPr>
                <w:rFonts w:eastAsia="仿宋_GB2312"/>
                <w:kern w:val="0"/>
                <w:sz w:val="20"/>
                <w:szCs w:val="20"/>
              </w:rPr>
              <w:t>10</w:t>
            </w:r>
            <w:r>
              <w:rPr>
                <w:rFonts w:hint="eastAsia" w:eastAsia="仿宋_GB2312"/>
                <w:kern w:val="0"/>
                <w:sz w:val="20"/>
                <w:szCs w:val="20"/>
              </w:rPr>
              <w:t>分）</w:t>
            </w: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在职人员控制率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以100%为标准。在职人员控制率</w:t>
            </w:r>
            <w:r>
              <w:rPr>
                <w:rFonts w:hint="eastAsia" w:ascii="宋体" w:hAnsi="宋体" w:cs="宋体"/>
                <w:kern w:val="0"/>
                <w:sz w:val="20"/>
                <w:szCs w:val="20"/>
              </w:rPr>
              <w:t>≦</w:t>
            </w:r>
            <w:r>
              <w:rPr>
                <w:rFonts w:eastAsia="仿宋_GB2312"/>
                <w:kern w:val="0"/>
                <w:sz w:val="20"/>
                <w:szCs w:val="20"/>
              </w:rPr>
              <w:t>100%，计5分；每超过一个百分点扣0.5分，扣完为止。</w:t>
            </w:r>
          </w:p>
        </w:tc>
        <w:tc>
          <w:tcPr>
            <w:tcW w:w="3337"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在职人员控制率=（在职人员数/编制数）×100%，在职人员数：部门（单位）实际在职人数，以财政</w:t>
            </w:r>
            <w:r>
              <w:rPr>
                <w:rFonts w:hint="eastAsia" w:eastAsia="仿宋_GB2312"/>
                <w:kern w:val="0"/>
                <w:sz w:val="20"/>
                <w:szCs w:val="20"/>
              </w:rPr>
              <w:t>局</w:t>
            </w:r>
            <w:r>
              <w:rPr>
                <w:rFonts w:eastAsia="仿宋_GB2312"/>
                <w:kern w:val="0"/>
                <w:sz w:val="20"/>
                <w:szCs w:val="20"/>
              </w:rPr>
              <w:t>确定的部门决算编制口径为准。</w:t>
            </w:r>
          </w:p>
          <w:p>
            <w:pPr>
              <w:widowControl/>
              <w:spacing w:line="280" w:lineRule="exact"/>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89" w:type="dxa"/>
            <w:noWrap w:val="0"/>
            <w:vAlign w:val="center"/>
          </w:tcPr>
          <w:p>
            <w:pPr>
              <w:widowControl/>
              <w:spacing w:line="280" w:lineRule="exact"/>
              <w:jc w:val="left"/>
              <w:rPr>
                <w:rFonts w:hint="eastAsia"/>
                <w:kern w:val="0"/>
                <w:sz w:val="24"/>
                <w:lang w:val="en-US" w:eastAsia="zh-CN"/>
              </w:rPr>
            </w:pPr>
            <w:r>
              <w:rPr>
                <w:kern w:val="0"/>
                <w:sz w:val="24"/>
              </w:rPr>
              <w:t>　</w:t>
            </w:r>
            <w:r>
              <w:rPr>
                <w:rFonts w:hint="eastAsia"/>
                <w:kern w:val="0"/>
                <w:sz w:val="24"/>
                <w:lang w:val="en-US" w:eastAsia="zh-CN"/>
              </w:rPr>
              <w:t>5</w:t>
            </w:r>
          </w:p>
          <w:p>
            <w:pPr>
              <w:widowControl/>
              <w:spacing w:line="280" w:lineRule="exact"/>
              <w:jc w:val="left"/>
              <w:rPr>
                <w:rFonts w:hint="eastAsia" w:ascii="Times New Roman" w:hAnsi="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“三公经费”变动率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“三公经费”变动率</w:t>
            </w:r>
            <w:r>
              <w:rPr>
                <w:rFonts w:hint="eastAsia" w:ascii="宋体" w:hAnsi="宋体" w:cs="宋体"/>
                <w:kern w:val="0"/>
                <w:sz w:val="20"/>
                <w:szCs w:val="20"/>
              </w:rPr>
              <w:t>≦</w:t>
            </w:r>
            <w:r>
              <w:rPr>
                <w:rFonts w:eastAsia="仿宋_GB2312"/>
                <w:kern w:val="0"/>
                <w:sz w:val="20"/>
                <w:szCs w:val="20"/>
              </w:rPr>
              <w:t>0,计</w:t>
            </w:r>
            <w:r>
              <w:rPr>
                <w:rFonts w:hint="eastAsia" w:eastAsia="仿宋_GB2312"/>
                <w:color w:val="0000FF"/>
                <w:kern w:val="0"/>
                <w:sz w:val="20"/>
                <w:szCs w:val="20"/>
              </w:rPr>
              <w:t>5</w:t>
            </w:r>
            <w:r>
              <w:rPr>
                <w:rFonts w:eastAsia="仿宋_GB2312"/>
                <w:kern w:val="0"/>
                <w:sz w:val="20"/>
                <w:szCs w:val="20"/>
              </w:rPr>
              <w:t>分；“三公经费”＞0，每超过一个百分点扣0.8分，扣完为止。</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“三公经费”变动率=[（本年度“三公经费”预算数-上年度“三公经费”预算数）/上年度“三公经费”预算数]×100%</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过</w:t>
            </w:r>
            <w:r>
              <w:rPr>
                <w:rFonts w:hint="eastAsia" w:eastAsia="仿宋_GB2312"/>
                <w:kern w:val="0"/>
                <w:sz w:val="20"/>
                <w:szCs w:val="20"/>
              </w:rPr>
              <w:t>程</w:t>
            </w:r>
            <w:r>
              <w:rPr>
                <w:rFonts w:eastAsia="仿宋_GB2312"/>
                <w:kern w:val="0"/>
                <w:sz w:val="20"/>
                <w:szCs w:val="20"/>
              </w:rPr>
              <w:t xml:space="preserve">                                                                                                                                </w:t>
            </w:r>
          </w:p>
          <w:p>
            <w:pPr>
              <w:widowControl/>
              <w:spacing w:line="280" w:lineRule="exact"/>
              <w:jc w:val="center"/>
              <w:rPr>
                <w:rFonts w:hint="eastAsia" w:eastAsia="仿宋_GB2312"/>
                <w:kern w:val="0"/>
                <w:sz w:val="20"/>
                <w:szCs w:val="20"/>
              </w:rPr>
            </w:pPr>
            <w:r>
              <w:rPr>
                <w:rFonts w:hint="eastAsia" w:eastAsia="仿宋_GB2312"/>
                <w:kern w:val="0"/>
                <w:sz w:val="20"/>
                <w:szCs w:val="20"/>
              </w:rPr>
              <w:t>（60分）</w:t>
            </w:r>
          </w:p>
          <w:p>
            <w:pPr>
              <w:spacing w:line="280" w:lineRule="exact"/>
              <w:jc w:val="left"/>
              <w:rPr>
                <w:rFonts w:eastAsia="仿宋_GB2312"/>
                <w:kern w:val="0"/>
                <w:sz w:val="20"/>
                <w:szCs w:val="20"/>
              </w:rPr>
            </w:pPr>
          </w:p>
          <w:p>
            <w:pPr>
              <w:spacing w:line="280" w:lineRule="exact"/>
              <w:jc w:val="left"/>
              <w:rPr>
                <w:rFonts w:eastAsia="仿宋_GB2312"/>
                <w:kern w:val="0"/>
                <w:sz w:val="20"/>
                <w:szCs w:val="20"/>
              </w:rPr>
            </w:pPr>
          </w:p>
        </w:tc>
        <w:tc>
          <w:tcPr>
            <w:tcW w:w="751"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预算执行</w:t>
            </w:r>
          </w:p>
          <w:p>
            <w:pPr>
              <w:widowControl/>
              <w:spacing w:line="280" w:lineRule="exact"/>
              <w:jc w:val="center"/>
              <w:rPr>
                <w:rFonts w:hint="eastAsia" w:eastAsia="仿宋_GB2312"/>
                <w:kern w:val="0"/>
                <w:sz w:val="20"/>
                <w:szCs w:val="20"/>
              </w:rPr>
            </w:pPr>
            <w:r>
              <w:rPr>
                <w:rFonts w:hint="eastAsia" w:eastAsia="仿宋_GB2312"/>
                <w:kern w:val="0"/>
                <w:sz w:val="20"/>
                <w:szCs w:val="20"/>
              </w:rPr>
              <w:t>（20分）</w:t>
            </w: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预算完成率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100%计满分，每低于5%扣2分，扣完为止。</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预算完成率=（上年结转+年初预算+本年追加预算-年末结余）/（上年结转+年初预算+本年追加预算）×100%。</w:t>
            </w:r>
          </w:p>
        </w:tc>
        <w:tc>
          <w:tcPr>
            <w:tcW w:w="489" w:type="dxa"/>
            <w:noWrap w:val="0"/>
            <w:vAlign w:val="center"/>
          </w:tcPr>
          <w:p>
            <w:pPr>
              <w:widowControl/>
              <w:spacing w:line="280" w:lineRule="exact"/>
              <w:jc w:val="left"/>
              <w:rPr>
                <w:rFonts w:ascii="Times New Roman" w:hAnsi="Times New Roman"/>
                <w:kern w:val="0"/>
                <w:sz w:val="24"/>
                <w:szCs w:val="24"/>
                <w:lang w:val="en-US" w:eastAsia="zh-CN" w:bidi="ar-SA"/>
              </w:rPr>
            </w:pPr>
            <w:r>
              <w:rPr>
                <w:rFonts w:hint="eastAsia"/>
                <w:kern w:val="0"/>
                <w:sz w:val="24"/>
                <w:lang w:val="en-US" w:eastAsia="zh-CN"/>
              </w:rPr>
              <w:t>5</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预算控制率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预算控制率=0，计5分；0-10%（含），计4分；10-20%（含），计3分；20-30%（含），计2分；大于30%不得分。</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预算控制率=（本年追加预算/年初预算）×100%。</w:t>
            </w:r>
          </w:p>
        </w:tc>
        <w:tc>
          <w:tcPr>
            <w:tcW w:w="489" w:type="dxa"/>
            <w:noWrap w:val="0"/>
            <w:vAlign w:val="center"/>
          </w:tcPr>
          <w:p>
            <w:pPr>
              <w:widowControl/>
              <w:spacing w:line="280" w:lineRule="exact"/>
              <w:jc w:val="left"/>
              <w:rPr>
                <w:rFonts w:ascii="Times New Roman" w:hAnsi="Times New Roman"/>
                <w:kern w:val="0"/>
                <w:sz w:val="24"/>
                <w:szCs w:val="24"/>
                <w:lang w:val="en-US" w:eastAsia="zh-CN" w:bidi="ar-SA"/>
              </w:rPr>
            </w:pPr>
            <w:r>
              <w:rPr>
                <w:rFonts w:hint="eastAsia"/>
                <w:kern w:val="0"/>
                <w:sz w:val="24"/>
                <w:lang w:val="en-US" w:eastAsia="zh-CN"/>
              </w:rPr>
              <w:t>5</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新建楼堂馆所面积控制率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100%以下（含）计满分，每超出5%扣2分，扣完为止。没有楼堂馆所项目的部门按满分计算。</w:t>
            </w:r>
          </w:p>
        </w:tc>
        <w:tc>
          <w:tcPr>
            <w:tcW w:w="3337"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楼堂馆所面积控制率=实际建设面积/批准建设面积×100% 。</w:t>
            </w:r>
          </w:p>
          <w:p>
            <w:pPr>
              <w:widowControl/>
              <w:spacing w:line="280" w:lineRule="exact"/>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rPr>
              <w:t>2022年</w:t>
            </w:r>
            <w:r>
              <w:rPr>
                <w:rFonts w:eastAsia="仿宋_GB2312"/>
                <w:kern w:val="0"/>
                <w:sz w:val="20"/>
                <w:szCs w:val="20"/>
              </w:rPr>
              <w:t>完工的新建楼堂馆所为评价内容。</w:t>
            </w:r>
          </w:p>
        </w:tc>
        <w:tc>
          <w:tcPr>
            <w:tcW w:w="489" w:type="dxa"/>
            <w:noWrap w:val="0"/>
            <w:vAlign w:val="center"/>
          </w:tcPr>
          <w:p>
            <w:pPr>
              <w:widowControl/>
              <w:spacing w:line="280" w:lineRule="exact"/>
              <w:jc w:val="left"/>
              <w:rPr>
                <w:rFonts w:ascii="Times New Roman" w:hAnsi="Times New Roman"/>
                <w:kern w:val="0"/>
                <w:sz w:val="24"/>
                <w:szCs w:val="24"/>
                <w:lang w:val="en-US" w:eastAsia="zh-CN" w:bidi="ar-SA"/>
              </w:rPr>
            </w:pPr>
            <w:r>
              <w:rPr>
                <w:rFonts w:hint="eastAsia"/>
                <w:kern w:val="0"/>
                <w:sz w:val="24"/>
                <w:lang w:val="en-US" w:eastAsia="zh-CN"/>
              </w:rPr>
              <w:t>5</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新建楼堂馆所投资概算控制率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100%以下（含）计满分，每超出5%扣2分，扣完为止。</w:t>
            </w:r>
          </w:p>
        </w:tc>
        <w:tc>
          <w:tcPr>
            <w:tcW w:w="3337"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楼堂馆所投资预算控制率=实际投资金额/批准投资金额×100% 。</w:t>
            </w:r>
          </w:p>
          <w:p>
            <w:pPr>
              <w:widowControl/>
              <w:spacing w:line="280" w:lineRule="exact"/>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rPr>
              <w:t>2022年</w:t>
            </w:r>
            <w:r>
              <w:rPr>
                <w:rFonts w:eastAsia="仿宋_GB2312"/>
                <w:kern w:val="0"/>
                <w:sz w:val="20"/>
                <w:szCs w:val="20"/>
              </w:rPr>
              <w:t>完工的新建楼堂馆所为评价内容。</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预算管理</w:t>
            </w:r>
          </w:p>
          <w:p>
            <w:pPr>
              <w:widowControl/>
              <w:spacing w:line="280" w:lineRule="exact"/>
              <w:jc w:val="center"/>
              <w:rPr>
                <w:rFonts w:hint="eastAsia" w:eastAsia="仿宋_GB2312"/>
                <w:kern w:val="0"/>
                <w:sz w:val="20"/>
                <w:szCs w:val="20"/>
              </w:rPr>
            </w:pPr>
            <w:r>
              <w:rPr>
                <w:rFonts w:hint="eastAsia" w:eastAsia="仿宋_GB2312"/>
                <w:kern w:val="0"/>
                <w:sz w:val="20"/>
                <w:szCs w:val="20"/>
              </w:rPr>
              <w:t>（40分）</w:t>
            </w:r>
          </w:p>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公用经费控制率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8</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100%以下（含）计满分，每超出1%扣1分，扣完为止。</w:t>
            </w:r>
          </w:p>
        </w:tc>
        <w:tc>
          <w:tcPr>
            <w:tcW w:w="3337"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公用经费控制率=（实际支出公用经费总额/预算安排公用经费总额）×100%。</w:t>
            </w:r>
          </w:p>
          <w:p>
            <w:pPr>
              <w:widowControl/>
              <w:spacing w:line="280" w:lineRule="exact"/>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89" w:type="dxa"/>
            <w:noWrap w:val="0"/>
            <w:vAlign w:val="center"/>
          </w:tcPr>
          <w:p>
            <w:pPr>
              <w:widowControl/>
              <w:spacing w:line="280" w:lineRule="exact"/>
              <w:jc w:val="left"/>
              <w:rPr>
                <w:rFonts w:ascii="Times New Roman" w:hAnsi="Times New Roman"/>
                <w:kern w:val="0"/>
                <w:sz w:val="24"/>
                <w:szCs w:val="24"/>
                <w:lang w:val="en-US" w:eastAsia="zh-CN" w:bidi="ar-SA"/>
              </w:rPr>
            </w:pPr>
            <w:r>
              <w:rPr>
                <w:rFonts w:hint="eastAsia"/>
                <w:kern w:val="0"/>
                <w:sz w:val="24"/>
                <w:lang w:val="en-US" w:eastAsia="zh-CN"/>
              </w:rPr>
              <w:t>7.5</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“三公经费”控制率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7</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100%以下（含）计满分，每超出1%扣1分，扣完为止。</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“三公经费”控制率-（“三公经费”实际支出数/“三公经费”预算安排数）×100%。</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政府采购执行率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6</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100%计满分，每超过（降低）5%扣2分。扣完为止。</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政府采购执行率=（实际政府采购金额/政府采购预算数）×100%</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0"/>
            <w:vAlign w:val="center"/>
          </w:tcPr>
          <w:p>
            <w:pPr>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管理制度健全性</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8</w:t>
            </w:r>
          </w:p>
        </w:tc>
        <w:tc>
          <w:tcPr>
            <w:tcW w:w="2880" w:type="dxa"/>
            <w:noWrap w:val="0"/>
            <w:vAlign w:val="center"/>
          </w:tcPr>
          <w:p>
            <w:pPr>
              <w:widowControl/>
              <w:spacing w:line="280" w:lineRule="exact"/>
              <w:jc w:val="left"/>
              <w:rPr>
                <w:rFonts w:hint="eastAsia" w:eastAsia="仿宋_GB2312"/>
                <w:kern w:val="0"/>
                <w:sz w:val="20"/>
                <w:szCs w:val="20"/>
              </w:rPr>
            </w:pPr>
            <w:r>
              <w:rPr>
                <w:rFonts w:hint="eastAsia" w:ascii="宋体" w:hAnsi="宋体" w:cs="宋体"/>
                <w:kern w:val="0"/>
                <w:sz w:val="20"/>
                <w:szCs w:val="20"/>
              </w:rPr>
              <w:t>①</w:t>
            </w:r>
            <w:r>
              <w:rPr>
                <w:rFonts w:eastAsia="仿宋_GB2312"/>
                <w:kern w:val="0"/>
                <w:sz w:val="20"/>
                <w:szCs w:val="20"/>
              </w:rPr>
              <w:t>有内部财务管理制度、会计核算制度等管理制度，2分；</w:t>
            </w:r>
          </w:p>
          <w:p>
            <w:pPr>
              <w:widowControl/>
              <w:spacing w:line="280" w:lineRule="exact"/>
              <w:jc w:val="left"/>
              <w:rPr>
                <w:rFonts w:hint="eastAsia" w:eastAsia="仿宋_GB2312"/>
                <w:kern w:val="0"/>
                <w:sz w:val="20"/>
                <w:szCs w:val="20"/>
              </w:rPr>
            </w:pPr>
            <w:r>
              <w:rPr>
                <w:rFonts w:hint="eastAsia" w:ascii="宋体" w:hAnsi="宋体" w:cs="宋体"/>
                <w:kern w:val="0"/>
                <w:sz w:val="20"/>
                <w:szCs w:val="20"/>
              </w:rPr>
              <w:t>②</w:t>
            </w:r>
            <w:r>
              <w:rPr>
                <w:rFonts w:eastAsia="仿宋_GB2312"/>
                <w:kern w:val="0"/>
                <w:sz w:val="20"/>
                <w:szCs w:val="20"/>
              </w:rPr>
              <w:t>有本部门厉行节约制度,2分；</w:t>
            </w:r>
          </w:p>
          <w:p>
            <w:pPr>
              <w:widowControl/>
              <w:spacing w:line="280" w:lineRule="exact"/>
              <w:jc w:val="left"/>
              <w:rPr>
                <w:rFonts w:eastAsia="仿宋_GB2312"/>
                <w:kern w:val="0"/>
                <w:sz w:val="20"/>
                <w:szCs w:val="20"/>
              </w:rPr>
            </w:pPr>
            <w:r>
              <w:rPr>
                <w:rFonts w:hint="eastAsia" w:ascii="宋体" w:hAnsi="宋体" w:cs="宋体"/>
                <w:kern w:val="0"/>
                <w:sz w:val="20"/>
                <w:szCs w:val="20"/>
              </w:rPr>
              <w:t>③</w:t>
            </w:r>
            <w:r>
              <w:rPr>
                <w:rFonts w:eastAsia="仿宋_GB2312"/>
                <w:kern w:val="0"/>
                <w:sz w:val="20"/>
                <w:szCs w:val="20"/>
              </w:rPr>
              <w:t>相关管理制度合法、合规、完整，2分；</w:t>
            </w:r>
            <w:r>
              <w:rPr>
                <w:rFonts w:hint="eastAsia" w:ascii="宋体" w:hAnsi="宋体" w:cs="宋体"/>
                <w:kern w:val="0"/>
                <w:sz w:val="20"/>
                <w:szCs w:val="20"/>
              </w:rPr>
              <w:t>④</w:t>
            </w:r>
            <w:r>
              <w:rPr>
                <w:rFonts w:eastAsia="仿宋_GB2312"/>
                <w:kern w:val="0"/>
                <w:sz w:val="20"/>
                <w:szCs w:val="20"/>
              </w:rPr>
              <w:t>相关管理制度得到有效执行，2分。</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　</w:t>
            </w:r>
          </w:p>
        </w:tc>
        <w:tc>
          <w:tcPr>
            <w:tcW w:w="489" w:type="dxa"/>
            <w:noWrap w:val="0"/>
            <w:vAlign w:val="center"/>
          </w:tcPr>
          <w:p>
            <w:pPr>
              <w:widowControl/>
              <w:spacing w:line="280" w:lineRule="exact"/>
              <w:jc w:val="left"/>
              <w:rPr>
                <w:rFonts w:ascii="Times New Roman" w:hAnsi="Times New Roman"/>
                <w:kern w:val="0"/>
                <w:sz w:val="24"/>
                <w:szCs w:val="24"/>
                <w:lang w:val="en-US" w:eastAsia="zh-CN" w:bidi="ar-SA"/>
              </w:rPr>
            </w:pPr>
            <w:r>
              <w:rPr>
                <w:rFonts w:hint="eastAsia"/>
                <w:kern w:val="0"/>
                <w:sz w:val="24"/>
                <w:lang w:val="en-US" w:eastAsia="zh-CN"/>
              </w:rPr>
              <w:t>7.5</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763" w:type="dxa"/>
            <w:vMerge w:val="restart"/>
            <w:noWrap w:val="0"/>
            <w:vAlign w:val="center"/>
          </w:tcPr>
          <w:p>
            <w:pPr>
              <w:spacing w:line="280" w:lineRule="exact"/>
              <w:jc w:val="center"/>
              <w:rPr>
                <w:rFonts w:eastAsia="仿宋_GB2312"/>
                <w:kern w:val="0"/>
                <w:sz w:val="20"/>
                <w:szCs w:val="20"/>
              </w:rPr>
            </w:pPr>
            <w:r>
              <w:rPr>
                <w:rFonts w:eastAsia="仿宋_GB2312"/>
                <w:kern w:val="0"/>
                <w:sz w:val="20"/>
                <w:szCs w:val="20"/>
              </w:rPr>
              <w:t>过</w:t>
            </w:r>
            <w:r>
              <w:rPr>
                <w:rFonts w:hint="eastAsia" w:eastAsia="仿宋_GB2312"/>
                <w:kern w:val="0"/>
                <w:sz w:val="20"/>
                <w:szCs w:val="20"/>
              </w:rPr>
              <w:t>程</w:t>
            </w:r>
            <w:r>
              <w:rPr>
                <w:rFonts w:eastAsia="仿宋_GB2312"/>
                <w:kern w:val="0"/>
                <w:sz w:val="20"/>
                <w:szCs w:val="20"/>
              </w:rPr>
              <w:t xml:space="preserve">                                                                                                                              </w:t>
            </w:r>
          </w:p>
          <w:p>
            <w:pPr>
              <w:widowControl/>
              <w:spacing w:line="280" w:lineRule="exact"/>
              <w:jc w:val="left"/>
              <w:rPr>
                <w:rFonts w:hint="eastAsia" w:eastAsia="仿宋_GB2312"/>
                <w:kern w:val="0"/>
                <w:sz w:val="20"/>
                <w:szCs w:val="20"/>
              </w:rPr>
            </w:pPr>
            <w:r>
              <w:rPr>
                <w:rFonts w:hint="eastAsia" w:eastAsia="仿宋_GB2312"/>
                <w:kern w:val="0"/>
                <w:sz w:val="20"/>
                <w:szCs w:val="20"/>
              </w:rPr>
              <w:t>（60分）</w:t>
            </w:r>
          </w:p>
        </w:tc>
        <w:tc>
          <w:tcPr>
            <w:tcW w:w="751" w:type="dxa"/>
            <w:vMerge w:val="restart"/>
            <w:noWrap w:val="0"/>
            <w:vAlign w:val="center"/>
          </w:tcPr>
          <w:p>
            <w:pPr>
              <w:widowControl/>
              <w:spacing w:line="280" w:lineRule="exact"/>
              <w:jc w:val="left"/>
              <w:rPr>
                <w:rFonts w:eastAsia="仿宋_GB2312"/>
                <w:kern w:val="0"/>
                <w:sz w:val="20"/>
                <w:szCs w:val="20"/>
              </w:rPr>
            </w:pPr>
            <w:r>
              <w:rPr>
                <w:rFonts w:eastAsia="仿宋_GB2312"/>
                <w:kern w:val="0"/>
                <w:sz w:val="20"/>
                <w:szCs w:val="20"/>
              </w:rPr>
              <w:t>预算管理</w:t>
            </w:r>
          </w:p>
          <w:p>
            <w:pPr>
              <w:widowControl/>
              <w:spacing w:line="280" w:lineRule="exact"/>
              <w:jc w:val="left"/>
              <w:rPr>
                <w:rFonts w:hint="eastAsia" w:eastAsia="仿宋_GB2312"/>
                <w:kern w:val="0"/>
                <w:sz w:val="20"/>
                <w:szCs w:val="20"/>
              </w:rPr>
            </w:pPr>
            <w:r>
              <w:rPr>
                <w:rFonts w:hint="eastAsia" w:eastAsia="仿宋_GB2312"/>
                <w:kern w:val="0"/>
                <w:sz w:val="20"/>
                <w:szCs w:val="20"/>
              </w:rPr>
              <w:t>（40分）</w:t>
            </w: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资金使用合规性</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6</w:t>
            </w:r>
          </w:p>
        </w:tc>
        <w:tc>
          <w:tcPr>
            <w:tcW w:w="2880" w:type="dxa"/>
            <w:noWrap w:val="0"/>
            <w:vAlign w:val="center"/>
          </w:tcPr>
          <w:p>
            <w:pPr>
              <w:widowControl/>
              <w:spacing w:line="280" w:lineRule="exact"/>
              <w:jc w:val="left"/>
              <w:rPr>
                <w:rFonts w:hint="eastAsia" w:eastAsia="仿宋_GB2312"/>
                <w:kern w:val="0"/>
                <w:sz w:val="20"/>
                <w:szCs w:val="20"/>
              </w:rPr>
            </w:pPr>
            <w:r>
              <w:rPr>
                <w:rFonts w:hint="eastAsia" w:ascii="宋体" w:hAnsi="宋体" w:cs="宋体"/>
                <w:kern w:val="0"/>
                <w:sz w:val="20"/>
                <w:szCs w:val="20"/>
              </w:rPr>
              <w:t>①</w:t>
            </w:r>
            <w:r>
              <w:rPr>
                <w:rFonts w:eastAsia="仿宋_GB2312"/>
                <w:kern w:val="0"/>
                <w:sz w:val="20"/>
                <w:szCs w:val="20"/>
              </w:rPr>
              <w:t>支出符合国家财经法规和财务管理制度规定以及有关专项资金管理办法的规定；</w:t>
            </w:r>
            <w:r>
              <w:rPr>
                <w:rFonts w:hint="eastAsia" w:ascii="宋体" w:hAnsi="宋体" w:cs="宋体"/>
                <w:kern w:val="0"/>
                <w:sz w:val="20"/>
                <w:szCs w:val="20"/>
              </w:rPr>
              <w:t>②</w:t>
            </w:r>
            <w:r>
              <w:rPr>
                <w:rFonts w:eastAsia="仿宋_GB2312"/>
                <w:kern w:val="0"/>
                <w:sz w:val="20"/>
                <w:szCs w:val="20"/>
              </w:rPr>
              <w:t>资金拨付有完整的审批程序和手续；</w:t>
            </w:r>
            <w:r>
              <w:rPr>
                <w:rFonts w:hint="eastAsia" w:ascii="宋体" w:hAnsi="宋体" w:cs="宋体"/>
                <w:kern w:val="0"/>
                <w:sz w:val="20"/>
                <w:szCs w:val="20"/>
              </w:rPr>
              <w:t>③</w:t>
            </w:r>
            <w:r>
              <w:rPr>
                <w:rFonts w:eastAsia="仿宋_GB2312"/>
                <w:kern w:val="0"/>
                <w:sz w:val="20"/>
                <w:szCs w:val="20"/>
              </w:rPr>
              <w:t>项目支出按规定经过评估论证；</w:t>
            </w:r>
            <w:r>
              <w:rPr>
                <w:rFonts w:hint="eastAsia" w:ascii="宋体" w:hAnsi="宋体" w:cs="宋体"/>
                <w:kern w:val="0"/>
                <w:sz w:val="20"/>
                <w:szCs w:val="20"/>
              </w:rPr>
              <w:t>④</w:t>
            </w:r>
            <w:r>
              <w:rPr>
                <w:rFonts w:eastAsia="仿宋_GB2312"/>
                <w:kern w:val="0"/>
                <w:sz w:val="20"/>
                <w:szCs w:val="20"/>
              </w:rPr>
              <w:t>支出符合部门预算批复的用途；</w:t>
            </w:r>
            <w:r>
              <w:rPr>
                <w:rFonts w:hint="eastAsia" w:ascii="宋体" w:hAnsi="宋体" w:cs="宋体"/>
                <w:kern w:val="0"/>
                <w:sz w:val="20"/>
                <w:szCs w:val="20"/>
              </w:rPr>
              <w:t>⑤</w:t>
            </w:r>
            <w:r>
              <w:rPr>
                <w:rFonts w:eastAsia="仿宋_GB2312"/>
                <w:kern w:val="0"/>
                <w:sz w:val="20"/>
                <w:szCs w:val="20"/>
              </w:rPr>
              <w:t>资金使用无截留、挤占、挪用、虚列支出等情况。</w:t>
            </w:r>
          </w:p>
          <w:p>
            <w:pPr>
              <w:widowControl/>
              <w:spacing w:line="280" w:lineRule="exact"/>
              <w:jc w:val="left"/>
              <w:rPr>
                <w:rFonts w:eastAsia="仿宋_GB2312"/>
                <w:kern w:val="0"/>
                <w:sz w:val="20"/>
                <w:szCs w:val="20"/>
              </w:rPr>
            </w:pPr>
            <w:r>
              <w:rPr>
                <w:rFonts w:eastAsia="仿宋_GB2312"/>
                <w:kern w:val="0"/>
                <w:sz w:val="20"/>
                <w:szCs w:val="20"/>
              </w:rPr>
              <w:t>以上情况每出现一例不符合要求的扣1分，扣完为止。</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　</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预决算信息公开性</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5</w:t>
            </w:r>
          </w:p>
        </w:tc>
        <w:tc>
          <w:tcPr>
            <w:tcW w:w="2880" w:type="dxa"/>
            <w:noWrap w:val="0"/>
            <w:vAlign w:val="center"/>
          </w:tcPr>
          <w:p>
            <w:pPr>
              <w:widowControl/>
              <w:spacing w:line="280" w:lineRule="exact"/>
              <w:jc w:val="left"/>
              <w:rPr>
                <w:rFonts w:eastAsia="仿宋_GB2312"/>
                <w:kern w:val="0"/>
                <w:sz w:val="20"/>
                <w:szCs w:val="20"/>
              </w:rPr>
            </w:pPr>
            <w:r>
              <w:rPr>
                <w:rFonts w:hint="eastAsia" w:ascii="宋体" w:hAnsi="宋体" w:cs="宋体"/>
                <w:kern w:val="0"/>
                <w:sz w:val="20"/>
                <w:szCs w:val="20"/>
              </w:rPr>
              <w:t>①</w:t>
            </w:r>
            <w:r>
              <w:rPr>
                <w:rFonts w:eastAsia="仿宋_GB2312"/>
                <w:kern w:val="0"/>
                <w:sz w:val="20"/>
                <w:szCs w:val="20"/>
              </w:rPr>
              <w:t>按规定内容公开预决算信息，1分；</w:t>
            </w:r>
            <w:r>
              <w:rPr>
                <w:rFonts w:hint="eastAsia" w:ascii="宋体" w:hAnsi="宋体" w:cs="宋体"/>
                <w:kern w:val="0"/>
                <w:sz w:val="20"/>
                <w:szCs w:val="20"/>
              </w:rPr>
              <w:t>②</w:t>
            </w:r>
            <w:r>
              <w:rPr>
                <w:rFonts w:eastAsia="仿宋_GB2312"/>
                <w:kern w:val="0"/>
                <w:sz w:val="20"/>
                <w:szCs w:val="20"/>
              </w:rPr>
              <w:t>按规定时限公开预决算信息，1分；</w:t>
            </w:r>
            <w:r>
              <w:rPr>
                <w:rFonts w:hint="eastAsia" w:ascii="宋体" w:hAnsi="宋体" w:cs="宋体"/>
                <w:kern w:val="0"/>
                <w:sz w:val="20"/>
                <w:szCs w:val="20"/>
              </w:rPr>
              <w:t>③</w:t>
            </w:r>
            <w:r>
              <w:rPr>
                <w:rFonts w:eastAsia="仿宋_GB2312"/>
                <w:kern w:val="0"/>
                <w:sz w:val="20"/>
                <w:szCs w:val="20"/>
              </w:rPr>
              <w:t>基础数据信息和会计信息资料真实，1分；</w:t>
            </w:r>
            <w:r>
              <w:rPr>
                <w:rFonts w:hint="eastAsia" w:ascii="宋体" w:hAnsi="宋体" w:cs="宋体"/>
                <w:kern w:val="0"/>
                <w:sz w:val="20"/>
                <w:szCs w:val="20"/>
              </w:rPr>
              <w:t>④</w:t>
            </w:r>
            <w:r>
              <w:rPr>
                <w:rFonts w:eastAsia="仿宋_GB2312"/>
                <w:kern w:val="0"/>
                <w:sz w:val="20"/>
                <w:szCs w:val="20"/>
              </w:rPr>
              <w:t>基础数据信息和会计信息资料完整，1分；</w:t>
            </w:r>
            <w:r>
              <w:rPr>
                <w:rFonts w:hint="eastAsia" w:ascii="宋体" w:hAnsi="宋体" w:cs="宋体"/>
                <w:kern w:val="0"/>
                <w:sz w:val="20"/>
                <w:szCs w:val="20"/>
              </w:rPr>
              <w:t>⑤</w:t>
            </w:r>
            <w:r>
              <w:rPr>
                <w:rFonts w:eastAsia="仿宋_GB2312"/>
                <w:kern w:val="0"/>
                <w:sz w:val="20"/>
                <w:szCs w:val="20"/>
              </w:rPr>
              <w:t xml:space="preserve">基础数据信息和汇集信息资料准确，1分。  </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89" w:type="dxa"/>
            <w:noWrap w:val="0"/>
            <w:vAlign w:val="center"/>
          </w:tcPr>
          <w:p>
            <w:pPr>
              <w:widowControl/>
              <w:spacing w:line="280" w:lineRule="exact"/>
              <w:jc w:val="left"/>
              <w:rPr>
                <w:rFonts w:hint="eastAsia"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63"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产出及效率</w:t>
            </w:r>
          </w:p>
          <w:p>
            <w:pPr>
              <w:widowControl/>
              <w:spacing w:line="280" w:lineRule="exact"/>
              <w:jc w:val="center"/>
              <w:rPr>
                <w:rFonts w:hint="eastAsia" w:eastAsia="仿宋_GB2312"/>
                <w:kern w:val="0"/>
                <w:sz w:val="20"/>
                <w:szCs w:val="20"/>
              </w:rPr>
            </w:pPr>
            <w:r>
              <w:rPr>
                <w:rFonts w:hint="eastAsia" w:eastAsia="仿宋_GB2312"/>
                <w:kern w:val="0"/>
                <w:sz w:val="20"/>
                <w:szCs w:val="20"/>
              </w:rPr>
              <w:t>（30分）</w:t>
            </w:r>
          </w:p>
        </w:tc>
        <w:tc>
          <w:tcPr>
            <w:tcW w:w="751"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职责履行</w:t>
            </w:r>
          </w:p>
          <w:p>
            <w:pPr>
              <w:widowControl/>
              <w:spacing w:line="280" w:lineRule="exact"/>
              <w:jc w:val="center"/>
              <w:rPr>
                <w:rFonts w:hint="eastAsia" w:eastAsia="仿宋_GB2312"/>
                <w:kern w:val="0"/>
                <w:sz w:val="20"/>
                <w:szCs w:val="20"/>
              </w:rPr>
            </w:pPr>
            <w:r>
              <w:rPr>
                <w:rFonts w:hint="eastAsia" w:eastAsia="仿宋_GB2312"/>
                <w:kern w:val="0"/>
                <w:sz w:val="20"/>
                <w:szCs w:val="20"/>
              </w:rPr>
              <w:t>（8分）</w:t>
            </w: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重点工作实际完成率</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8</w:t>
            </w:r>
          </w:p>
        </w:tc>
        <w:tc>
          <w:tcPr>
            <w:tcW w:w="2880"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根据</w:t>
            </w:r>
            <w:r>
              <w:rPr>
                <w:rFonts w:hint="eastAsia" w:eastAsia="仿宋_GB2312"/>
                <w:kern w:val="0"/>
                <w:sz w:val="20"/>
                <w:szCs w:val="20"/>
              </w:rPr>
              <w:t>县</w:t>
            </w:r>
            <w:r>
              <w:rPr>
                <w:rFonts w:eastAsia="仿宋_GB2312"/>
                <w:kern w:val="0"/>
                <w:sz w:val="20"/>
                <w:szCs w:val="20"/>
              </w:rPr>
              <w:t>绩效办</w:t>
            </w:r>
            <w:r>
              <w:rPr>
                <w:rFonts w:hint="eastAsia" w:eastAsia="仿宋_GB2312"/>
                <w:kern w:val="0"/>
                <w:sz w:val="20"/>
                <w:szCs w:val="20"/>
              </w:rPr>
              <w:t>2022年</w:t>
            </w:r>
            <w:r>
              <w:rPr>
                <w:rFonts w:eastAsia="仿宋_GB2312"/>
                <w:kern w:val="0"/>
                <w:sz w:val="20"/>
                <w:szCs w:val="20"/>
              </w:rPr>
              <w:t>对各部门为民办实事和部门重点工程与重点工作考核分数折算。</w:t>
            </w:r>
          </w:p>
          <w:p>
            <w:pPr>
              <w:widowControl/>
              <w:spacing w:line="280" w:lineRule="exact"/>
              <w:jc w:val="left"/>
              <w:rPr>
                <w:rFonts w:eastAsia="仿宋_GB2312"/>
                <w:kern w:val="0"/>
                <w:sz w:val="20"/>
                <w:szCs w:val="20"/>
              </w:rPr>
            </w:pPr>
            <w:r>
              <w:rPr>
                <w:rFonts w:eastAsia="仿宋_GB2312"/>
                <w:kern w:val="0"/>
                <w:sz w:val="20"/>
                <w:szCs w:val="20"/>
              </w:rPr>
              <w:t>该项得分=（绩效办对应部分考核得分/</w:t>
            </w:r>
            <w:r>
              <w:rPr>
                <w:rFonts w:hint="eastAsia" w:eastAsia="仿宋_GB2312"/>
                <w:kern w:val="0"/>
                <w:sz w:val="20"/>
                <w:szCs w:val="20"/>
              </w:rPr>
              <w:t>该部分总分</w:t>
            </w:r>
            <w:r>
              <w:rPr>
                <w:rFonts w:eastAsia="仿宋_GB2312"/>
                <w:kern w:val="0"/>
                <w:sz w:val="20"/>
                <w:szCs w:val="20"/>
              </w:rPr>
              <w:t>）</w:t>
            </w:r>
            <w:r>
              <w:rPr>
                <w:rFonts w:hint="eastAsia" w:ascii="仿宋_GB2312" w:eastAsia="仿宋_GB2312"/>
                <w:kern w:val="0"/>
                <w:sz w:val="20"/>
                <w:szCs w:val="20"/>
              </w:rPr>
              <w:t>×</w:t>
            </w:r>
            <w:r>
              <w:rPr>
                <w:rFonts w:eastAsia="仿宋_GB2312"/>
                <w:kern w:val="0"/>
                <w:sz w:val="20"/>
                <w:szCs w:val="20"/>
              </w:rPr>
              <w:t>8</w:t>
            </w:r>
            <w:r>
              <w:rPr>
                <w:rFonts w:hint="eastAsia" w:eastAsia="仿宋_GB2312"/>
                <w:kern w:val="0"/>
                <w:sz w:val="20"/>
                <w:szCs w:val="20"/>
              </w:rPr>
              <w:t>。</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　</w:t>
            </w:r>
          </w:p>
        </w:tc>
        <w:tc>
          <w:tcPr>
            <w:tcW w:w="489" w:type="dxa"/>
            <w:noWrap w:val="0"/>
            <w:vAlign w:val="center"/>
          </w:tcPr>
          <w:p>
            <w:pPr>
              <w:widowControl/>
              <w:spacing w:line="280" w:lineRule="exact"/>
              <w:jc w:val="left"/>
              <w:rPr>
                <w:rFonts w:hint="default" w:ascii="Times New Roman" w:hAnsi="Times New Roman" w:eastAsia="宋体"/>
                <w:kern w:val="0"/>
                <w:sz w:val="24"/>
                <w:szCs w:val="24"/>
                <w:lang w:val="en-US" w:eastAsia="zh-CN" w:bidi="ar-SA"/>
              </w:rPr>
            </w:pPr>
            <w:r>
              <w:rPr>
                <w:kern w:val="0"/>
                <w:sz w:val="24"/>
              </w:rPr>
              <w:t>　</w:t>
            </w:r>
            <w:r>
              <w:rPr>
                <w:rFonts w:hint="eastAsia"/>
                <w:kern w:val="0"/>
                <w:sz w:val="24"/>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履职 效益</w:t>
            </w:r>
          </w:p>
          <w:p>
            <w:pPr>
              <w:widowControl/>
              <w:spacing w:line="280" w:lineRule="exact"/>
              <w:jc w:val="center"/>
              <w:rPr>
                <w:rFonts w:hint="eastAsia" w:eastAsia="仿宋_GB2312"/>
                <w:kern w:val="0"/>
                <w:sz w:val="20"/>
                <w:szCs w:val="20"/>
              </w:rPr>
            </w:pPr>
            <w:r>
              <w:rPr>
                <w:rFonts w:hint="eastAsia" w:eastAsia="仿宋_GB2312"/>
                <w:kern w:val="0"/>
                <w:sz w:val="20"/>
                <w:szCs w:val="20"/>
              </w:rPr>
              <w:t>（22分）</w:t>
            </w: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经济</w:t>
            </w:r>
          </w:p>
          <w:p>
            <w:pPr>
              <w:widowControl/>
              <w:spacing w:line="280" w:lineRule="exact"/>
              <w:jc w:val="center"/>
              <w:rPr>
                <w:rFonts w:eastAsia="仿宋_GB2312"/>
                <w:kern w:val="0"/>
                <w:sz w:val="20"/>
                <w:szCs w:val="20"/>
              </w:rPr>
            </w:pPr>
            <w:r>
              <w:rPr>
                <w:rFonts w:eastAsia="仿宋_GB2312"/>
                <w:kern w:val="0"/>
                <w:sz w:val="20"/>
                <w:szCs w:val="20"/>
              </w:rPr>
              <w:t>效益</w:t>
            </w:r>
          </w:p>
        </w:tc>
        <w:tc>
          <w:tcPr>
            <w:tcW w:w="489" w:type="dxa"/>
            <w:vMerge w:val="restart"/>
            <w:noWrap w:val="0"/>
            <w:vAlign w:val="center"/>
          </w:tcPr>
          <w:p>
            <w:pPr>
              <w:widowControl/>
              <w:spacing w:line="280" w:lineRule="exact"/>
              <w:jc w:val="center"/>
              <w:rPr>
                <w:rFonts w:eastAsia="仿宋_GB2312"/>
                <w:kern w:val="0"/>
                <w:sz w:val="20"/>
                <w:szCs w:val="20"/>
              </w:rPr>
            </w:pPr>
            <w:r>
              <w:rPr>
                <w:rFonts w:eastAsia="仿宋_GB2312"/>
                <w:kern w:val="0"/>
                <w:sz w:val="20"/>
                <w:szCs w:val="20"/>
              </w:rPr>
              <w:t>10</w:t>
            </w:r>
          </w:p>
        </w:tc>
        <w:tc>
          <w:tcPr>
            <w:tcW w:w="6217" w:type="dxa"/>
            <w:gridSpan w:val="2"/>
            <w:vMerge w:val="restart"/>
            <w:noWrap w:val="0"/>
            <w:vAlign w:val="center"/>
          </w:tcPr>
          <w:p>
            <w:pPr>
              <w:widowControl/>
              <w:spacing w:line="280" w:lineRule="exact"/>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89" w:type="dxa"/>
            <w:noWrap w:val="0"/>
            <w:vAlign w:val="center"/>
          </w:tcPr>
          <w:p>
            <w:pPr>
              <w:widowControl/>
              <w:spacing w:line="280" w:lineRule="exact"/>
              <w:jc w:val="left"/>
              <w:rPr>
                <w:rFonts w:hint="eastAsia" w:eastAsia="宋体"/>
                <w:kern w:val="0"/>
                <w:sz w:val="24"/>
                <w:lang w:val="en-US" w:eastAsia="zh-CN"/>
              </w:rPr>
            </w:pPr>
            <w:r>
              <w:rPr>
                <w:kern w:val="0"/>
                <w:sz w:val="24"/>
              </w:rPr>
              <w:t>　</w:t>
            </w:r>
            <w:r>
              <w:rPr>
                <w:rFonts w:hint="eastAsia"/>
                <w:kern w:val="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社会</w:t>
            </w:r>
          </w:p>
          <w:p>
            <w:pPr>
              <w:widowControl/>
              <w:spacing w:line="280" w:lineRule="exact"/>
              <w:jc w:val="center"/>
              <w:rPr>
                <w:rFonts w:eastAsia="仿宋_GB2312"/>
                <w:kern w:val="0"/>
                <w:sz w:val="20"/>
                <w:szCs w:val="20"/>
              </w:rPr>
            </w:pPr>
            <w:r>
              <w:rPr>
                <w:rFonts w:eastAsia="仿宋_GB2312"/>
                <w:kern w:val="0"/>
                <w:sz w:val="20"/>
                <w:szCs w:val="20"/>
              </w:rPr>
              <w:t>效益</w:t>
            </w:r>
          </w:p>
        </w:tc>
        <w:tc>
          <w:tcPr>
            <w:tcW w:w="489" w:type="dxa"/>
            <w:vMerge w:val="continue"/>
            <w:noWrap w:val="0"/>
            <w:vAlign w:val="center"/>
          </w:tcPr>
          <w:p>
            <w:pPr>
              <w:widowControl/>
              <w:spacing w:line="280" w:lineRule="exact"/>
              <w:jc w:val="left"/>
              <w:rPr>
                <w:rFonts w:eastAsia="仿宋_GB2312"/>
                <w:kern w:val="0"/>
                <w:sz w:val="20"/>
                <w:szCs w:val="20"/>
              </w:rPr>
            </w:pPr>
          </w:p>
        </w:tc>
        <w:tc>
          <w:tcPr>
            <w:tcW w:w="6217" w:type="dxa"/>
            <w:gridSpan w:val="2"/>
            <w:vMerge w:val="continue"/>
            <w:noWrap w:val="0"/>
            <w:vAlign w:val="center"/>
          </w:tcPr>
          <w:p>
            <w:pPr>
              <w:widowControl/>
              <w:spacing w:line="280" w:lineRule="exact"/>
              <w:jc w:val="left"/>
              <w:rPr>
                <w:rFonts w:eastAsia="仿宋_GB2312"/>
                <w:kern w:val="0"/>
                <w:sz w:val="20"/>
                <w:szCs w:val="20"/>
              </w:rPr>
            </w:pPr>
          </w:p>
        </w:tc>
        <w:tc>
          <w:tcPr>
            <w:tcW w:w="489" w:type="dxa"/>
            <w:noWrap w:val="0"/>
            <w:vAlign w:val="center"/>
          </w:tcPr>
          <w:p>
            <w:pPr>
              <w:widowControl/>
              <w:spacing w:line="280" w:lineRule="exact"/>
              <w:jc w:val="left"/>
              <w:rPr>
                <w:rFonts w:hint="eastAsia" w:eastAsia="宋体"/>
                <w:kern w:val="0"/>
                <w:sz w:val="24"/>
                <w:lang w:val="en-US" w:eastAsia="zh-CN"/>
              </w:rPr>
            </w:pPr>
            <w:r>
              <w:rPr>
                <w:kern w:val="0"/>
                <w:sz w:val="24"/>
              </w:rPr>
              <w:t>　</w:t>
            </w:r>
            <w:r>
              <w:rPr>
                <w:rFonts w:hint="eastAsia"/>
                <w:kern w:val="0"/>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行政</w:t>
            </w:r>
          </w:p>
          <w:p>
            <w:pPr>
              <w:widowControl/>
              <w:spacing w:line="280" w:lineRule="exact"/>
              <w:jc w:val="center"/>
              <w:rPr>
                <w:rFonts w:eastAsia="仿宋_GB2312"/>
                <w:kern w:val="0"/>
                <w:sz w:val="20"/>
                <w:szCs w:val="20"/>
              </w:rPr>
            </w:pPr>
            <w:r>
              <w:rPr>
                <w:rFonts w:eastAsia="仿宋_GB2312"/>
                <w:kern w:val="0"/>
                <w:sz w:val="20"/>
                <w:szCs w:val="20"/>
              </w:rPr>
              <w:t>效能</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6</w:t>
            </w:r>
          </w:p>
        </w:tc>
        <w:tc>
          <w:tcPr>
            <w:tcW w:w="2880"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促进部门改进文风会风，加强经费及资产管理，推动网上办事，提高行政效率，降低行政成本效果较好的计6分；一般3分；无效果或者效果不明显0分。</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根据部门自评材料评定。</w:t>
            </w:r>
          </w:p>
        </w:tc>
        <w:tc>
          <w:tcPr>
            <w:tcW w:w="489" w:type="dxa"/>
            <w:noWrap w:val="0"/>
            <w:vAlign w:val="center"/>
          </w:tcPr>
          <w:p>
            <w:pPr>
              <w:widowControl/>
              <w:spacing w:line="280" w:lineRule="exact"/>
              <w:jc w:val="left"/>
              <w:rPr>
                <w:kern w:val="0"/>
                <w:sz w:val="24"/>
              </w:rPr>
            </w:pPr>
            <w:r>
              <w:rPr>
                <w:rFonts w:hint="eastAsia"/>
                <w:kern w:val="0"/>
                <w:sz w:val="24"/>
                <w:lang w:val="en-US" w:eastAsia="zh-CN"/>
              </w:rPr>
              <w:t>6</w:t>
            </w:r>
            <w:r>
              <w:rPr>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63" w:type="dxa"/>
            <w:vMerge w:val="continue"/>
            <w:noWrap w:val="0"/>
            <w:vAlign w:val="center"/>
          </w:tcPr>
          <w:p>
            <w:pPr>
              <w:widowControl/>
              <w:spacing w:line="280" w:lineRule="exact"/>
              <w:jc w:val="left"/>
              <w:rPr>
                <w:rFonts w:eastAsia="仿宋_GB2312"/>
                <w:kern w:val="0"/>
                <w:sz w:val="20"/>
                <w:szCs w:val="20"/>
              </w:rPr>
            </w:pPr>
          </w:p>
        </w:tc>
        <w:tc>
          <w:tcPr>
            <w:tcW w:w="751" w:type="dxa"/>
            <w:vMerge w:val="continue"/>
            <w:noWrap w:val="0"/>
            <w:vAlign w:val="center"/>
          </w:tcPr>
          <w:p>
            <w:pPr>
              <w:widowControl/>
              <w:spacing w:line="280" w:lineRule="exact"/>
              <w:jc w:val="left"/>
              <w:rPr>
                <w:rFonts w:eastAsia="仿宋_GB2312"/>
                <w:kern w:val="0"/>
                <w:sz w:val="20"/>
                <w:szCs w:val="20"/>
              </w:rPr>
            </w:pPr>
          </w:p>
        </w:tc>
        <w:tc>
          <w:tcPr>
            <w:tcW w:w="848"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社会公众或服务对象满意度</w:t>
            </w:r>
          </w:p>
        </w:tc>
        <w:tc>
          <w:tcPr>
            <w:tcW w:w="489" w:type="dxa"/>
            <w:noWrap w:val="0"/>
            <w:vAlign w:val="center"/>
          </w:tcPr>
          <w:p>
            <w:pPr>
              <w:widowControl/>
              <w:spacing w:line="280" w:lineRule="exact"/>
              <w:jc w:val="center"/>
              <w:rPr>
                <w:rFonts w:eastAsia="仿宋_GB2312"/>
                <w:kern w:val="0"/>
                <w:sz w:val="20"/>
                <w:szCs w:val="20"/>
              </w:rPr>
            </w:pPr>
            <w:r>
              <w:rPr>
                <w:rFonts w:eastAsia="仿宋_GB2312"/>
                <w:kern w:val="0"/>
                <w:sz w:val="20"/>
                <w:szCs w:val="20"/>
              </w:rPr>
              <w:t>6</w:t>
            </w:r>
          </w:p>
        </w:tc>
        <w:tc>
          <w:tcPr>
            <w:tcW w:w="2880" w:type="dxa"/>
            <w:noWrap w:val="0"/>
            <w:vAlign w:val="center"/>
          </w:tcPr>
          <w:p>
            <w:pPr>
              <w:widowControl/>
              <w:spacing w:line="280" w:lineRule="exact"/>
              <w:jc w:val="left"/>
              <w:rPr>
                <w:rFonts w:hint="eastAsia" w:eastAsia="仿宋_GB2312"/>
                <w:kern w:val="0"/>
                <w:sz w:val="20"/>
                <w:szCs w:val="20"/>
              </w:rPr>
            </w:pPr>
            <w:r>
              <w:rPr>
                <w:rFonts w:eastAsia="仿宋_GB2312"/>
                <w:kern w:val="0"/>
                <w:sz w:val="20"/>
                <w:szCs w:val="20"/>
              </w:rPr>
              <w:t>90%（含）以上计6分；</w:t>
            </w:r>
          </w:p>
          <w:p>
            <w:pPr>
              <w:widowControl/>
              <w:spacing w:line="280" w:lineRule="exact"/>
              <w:jc w:val="left"/>
              <w:rPr>
                <w:rFonts w:hint="eastAsia" w:eastAsia="仿宋_GB2312"/>
                <w:kern w:val="0"/>
                <w:sz w:val="20"/>
                <w:szCs w:val="20"/>
              </w:rPr>
            </w:pPr>
            <w:r>
              <w:rPr>
                <w:rFonts w:eastAsia="仿宋_GB2312"/>
                <w:kern w:val="0"/>
                <w:sz w:val="20"/>
                <w:szCs w:val="20"/>
              </w:rPr>
              <w:t>80%（含）-90%，计4分；</w:t>
            </w:r>
          </w:p>
          <w:p>
            <w:pPr>
              <w:widowControl/>
              <w:spacing w:line="280" w:lineRule="exact"/>
              <w:jc w:val="left"/>
              <w:rPr>
                <w:rFonts w:hint="eastAsia" w:eastAsia="仿宋_GB2312"/>
                <w:kern w:val="0"/>
                <w:sz w:val="20"/>
                <w:szCs w:val="20"/>
              </w:rPr>
            </w:pPr>
            <w:r>
              <w:rPr>
                <w:rFonts w:eastAsia="仿宋_GB2312"/>
                <w:kern w:val="0"/>
                <w:sz w:val="20"/>
                <w:szCs w:val="20"/>
              </w:rPr>
              <w:t>70%（含）-80%，计2分；</w:t>
            </w:r>
          </w:p>
          <w:p>
            <w:pPr>
              <w:widowControl/>
              <w:spacing w:line="280" w:lineRule="exact"/>
              <w:jc w:val="left"/>
              <w:rPr>
                <w:rFonts w:eastAsia="仿宋_GB2312"/>
                <w:kern w:val="0"/>
                <w:sz w:val="20"/>
                <w:szCs w:val="20"/>
              </w:rPr>
            </w:pPr>
            <w:r>
              <w:rPr>
                <w:rFonts w:eastAsia="仿宋_GB2312"/>
                <w:kern w:val="0"/>
                <w:sz w:val="20"/>
                <w:szCs w:val="20"/>
              </w:rPr>
              <w:t>低于70%计0分。</w:t>
            </w:r>
          </w:p>
        </w:tc>
        <w:tc>
          <w:tcPr>
            <w:tcW w:w="3337" w:type="dxa"/>
            <w:noWrap w:val="0"/>
            <w:vAlign w:val="center"/>
          </w:tcPr>
          <w:p>
            <w:pPr>
              <w:widowControl/>
              <w:spacing w:line="280" w:lineRule="exact"/>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89" w:type="dxa"/>
            <w:noWrap w:val="0"/>
            <w:vAlign w:val="center"/>
          </w:tcPr>
          <w:p>
            <w:pPr>
              <w:widowControl/>
              <w:spacing w:line="280" w:lineRule="exact"/>
              <w:jc w:val="left"/>
              <w:rPr>
                <w:kern w:val="0"/>
                <w:sz w:val="24"/>
              </w:rPr>
            </w:pPr>
            <w:r>
              <w:rPr>
                <w:kern w:val="0"/>
                <w:sz w:val="24"/>
              </w:rPr>
              <w:t>　</w:t>
            </w:r>
            <w:r>
              <w:rPr>
                <w:rFonts w:hint="eastAsia"/>
                <w:kern w:val="0"/>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63" w:type="dxa"/>
            <w:noWrap w:val="0"/>
            <w:vAlign w:val="center"/>
          </w:tcPr>
          <w:p>
            <w:pPr>
              <w:widowControl/>
              <w:spacing w:line="280" w:lineRule="exact"/>
              <w:jc w:val="left"/>
              <w:rPr>
                <w:rFonts w:eastAsia="仿宋_GB2312"/>
                <w:kern w:val="0"/>
                <w:sz w:val="20"/>
                <w:szCs w:val="20"/>
              </w:rPr>
            </w:pPr>
            <w:r>
              <w:rPr>
                <w:rFonts w:hint="eastAsia" w:eastAsia="仿宋_GB2312"/>
                <w:kern w:val="0"/>
                <w:sz w:val="20"/>
                <w:szCs w:val="20"/>
              </w:rPr>
              <w:t>合计</w:t>
            </w:r>
          </w:p>
        </w:tc>
        <w:tc>
          <w:tcPr>
            <w:tcW w:w="751" w:type="dxa"/>
            <w:noWrap w:val="0"/>
            <w:vAlign w:val="center"/>
          </w:tcPr>
          <w:p>
            <w:pPr>
              <w:widowControl/>
              <w:spacing w:line="280" w:lineRule="exact"/>
              <w:jc w:val="left"/>
              <w:rPr>
                <w:rFonts w:hint="default" w:eastAsia="仿宋_GB2312"/>
                <w:kern w:val="0"/>
                <w:sz w:val="20"/>
                <w:szCs w:val="20"/>
                <w:lang w:val="en-US" w:eastAsia="zh-CN"/>
              </w:rPr>
            </w:pPr>
            <w:r>
              <w:rPr>
                <w:rFonts w:hint="eastAsia" w:eastAsia="仿宋_GB2312"/>
                <w:kern w:val="0"/>
                <w:sz w:val="20"/>
                <w:szCs w:val="20"/>
                <w:lang w:val="en-US" w:eastAsia="zh-CN"/>
              </w:rPr>
              <w:t>97.5</w:t>
            </w:r>
          </w:p>
        </w:tc>
        <w:tc>
          <w:tcPr>
            <w:tcW w:w="848" w:type="dxa"/>
            <w:noWrap w:val="0"/>
            <w:vAlign w:val="center"/>
          </w:tcPr>
          <w:p>
            <w:pPr>
              <w:widowControl/>
              <w:spacing w:line="280" w:lineRule="exact"/>
              <w:jc w:val="center"/>
              <w:rPr>
                <w:rFonts w:eastAsia="仿宋_GB2312"/>
                <w:kern w:val="0"/>
                <w:sz w:val="20"/>
                <w:szCs w:val="20"/>
              </w:rPr>
            </w:pPr>
          </w:p>
        </w:tc>
        <w:tc>
          <w:tcPr>
            <w:tcW w:w="489" w:type="dxa"/>
            <w:noWrap w:val="0"/>
            <w:vAlign w:val="center"/>
          </w:tcPr>
          <w:p>
            <w:pPr>
              <w:widowControl/>
              <w:spacing w:line="280" w:lineRule="exact"/>
              <w:jc w:val="center"/>
              <w:rPr>
                <w:rFonts w:eastAsia="仿宋_GB2312"/>
                <w:kern w:val="0"/>
                <w:sz w:val="20"/>
                <w:szCs w:val="20"/>
              </w:rPr>
            </w:pPr>
          </w:p>
        </w:tc>
        <w:tc>
          <w:tcPr>
            <w:tcW w:w="2880" w:type="dxa"/>
            <w:noWrap w:val="0"/>
            <w:vAlign w:val="center"/>
          </w:tcPr>
          <w:p>
            <w:pPr>
              <w:widowControl/>
              <w:spacing w:line="280" w:lineRule="exact"/>
              <w:jc w:val="left"/>
              <w:rPr>
                <w:rFonts w:eastAsia="仿宋_GB2312"/>
                <w:kern w:val="0"/>
                <w:sz w:val="20"/>
                <w:szCs w:val="20"/>
              </w:rPr>
            </w:pPr>
          </w:p>
        </w:tc>
        <w:tc>
          <w:tcPr>
            <w:tcW w:w="3337" w:type="dxa"/>
            <w:noWrap w:val="0"/>
            <w:vAlign w:val="center"/>
          </w:tcPr>
          <w:p>
            <w:pPr>
              <w:widowControl/>
              <w:spacing w:line="280" w:lineRule="exact"/>
              <w:jc w:val="left"/>
              <w:rPr>
                <w:rFonts w:eastAsia="仿宋_GB2312"/>
                <w:kern w:val="0"/>
                <w:sz w:val="20"/>
                <w:szCs w:val="20"/>
              </w:rPr>
            </w:pPr>
          </w:p>
        </w:tc>
        <w:tc>
          <w:tcPr>
            <w:tcW w:w="489" w:type="dxa"/>
            <w:noWrap w:val="0"/>
            <w:vAlign w:val="center"/>
          </w:tcPr>
          <w:p>
            <w:pPr>
              <w:widowControl/>
              <w:spacing w:line="280" w:lineRule="exact"/>
              <w:jc w:val="left"/>
              <w:rPr>
                <w:kern w:val="0"/>
                <w:sz w:val="24"/>
              </w:rPr>
            </w:pPr>
          </w:p>
        </w:tc>
      </w:tr>
    </w:tbl>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jc w:val="both"/>
        <w:textAlignment w:val="auto"/>
        <w:rPr>
          <w:rFonts w:hint="eastAsia" w:ascii="黑体" w:hAnsi="黑体" w:eastAsia="黑体" w:cs="黑体"/>
          <w:color w:val="auto"/>
        </w:rPr>
      </w:pPr>
      <w:r>
        <w:rPr>
          <w:rFonts w:eastAsia="黑体"/>
          <w:sz w:val="28"/>
          <w:szCs w:val="28"/>
        </w:rPr>
        <w:br w:type="page"/>
      </w:r>
    </w:p>
    <w:p>
      <w:pPr>
        <w:pStyle w:val="5"/>
        <w:spacing w:before="44"/>
        <w:rPr>
          <w:rFonts w:hint="eastAsia" w:ascii="仿宋" w:hAnsi="仿宋" w:eastAsia="仿宋" w:cs="仿宋"/>
          <w:color w:val="auto"/>
          <w:spacing w:val="-27"/>
        </w:rPr>
      </w:pPr>
      <w:r>
        <w:rPr>
          <w:rFonts w:hint="eastAsia" w:ascii="仿宋" w:hAnsi="仿宋" w:eastAsia="仿宋" w:cs="仿宋"/>
          <w:color w:val="auto"/>
          <w:spacing w:val="-27"/>
        </w:rPr>
        <w:t>附件 2</w:t>
      </w:r>
    </w:p>
    <w:p>
      <w:pPr>
        <w:pStyle w:val="4"/>
        <w:jc w:val="center"/>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202</w:t>
      </w:r>
      <w:r>
        <w:rPr>
          <w:rFonts w:hint="eastAsia" w:ascii="方正小标宋简体" w:hAnsi="方正小标宋简体" w:eastAsia="方正小标宋简体" w:cs="方正小标宋简体"/>
          <w:color w:val="auto"/>
          <w:lang w:val="en-US" w:eastAsia="zh-CN"/>
        </w:rPr>
        <w:t>4</w:t>
      </w:r>
      <w:r>
        <w:rPr>
          <w:rFonts w:hint="eastAsia" w:ascii="方正小标宋简体" w:hAnsi="方正小标宋简体" w:eastAsia="方正小标宋简体" w:cs="方正小标宋简体"/>
          <w:color w:val="auto"/>
        </w:rPr>
        <w:t>年度部门整体支出绩效评价基础数据表</w:t>
      </w:r>
    </w:p>
    <w:p>
      <w:pPr>
        <w:pStyle w:val="5"/>
        <w:spacing w:before="11"/>
        <w:rPr>
          <w:rFonts w:hint="eastAsia" w:ascii="仿宋" w:hAnsi="仿宋" w:eastAsia="仿宋" w:cs="仿宋"/>
          <w:color w:val="auto"/>
          <w:sz w:val="2"/>
        </w:rPr>
      </w:pPr>
    </w:p>
    <w:tbl>
      <w:tblPr>
        <w:tblStyle w:val="8"/>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2"/>
        <w:gridCol w:w="1184"/>
        <w:gridCol w:w="847"/>
        <w:gridCol w:w="1125"/>
        <w:gridCol w:w="1107"/>
        <w:gridCol w:w="1077"/>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Merge w:val="restart"/>
          </w:tcPr>
          <w:p>
            <w:pPr>
              <w:pStyle w:val="10"/>
              <w:spacing w:before="12"/>
              <w:rPr>
                <w:rFonts w:hint="eastAsia" w:ascii="仿宋" w:hAnsi="仿宋" w:eastAsia="仿宋" w:cs="仿宋"/>
                <w:color w:val="auto"/>
                <w:sz w:val="15"/>
              </w:rPr>
            </w:pPr>
          </w:p>
          <w:p>
            <w:pPr>
              <w:pStyle w:val="10"/>
              <w:spacing w:before="1"/>
              <w:ind w:left="575"/>
              <w:rPr>
                <w:rFonts w:hint="eastAsia" w:ascii="仿宋" w:hAnsi="仿宋" w:eastAsia="仿宋" w:cs="仿宋"/>
                <w:color w:val="auto"/>
                <w:sz w:val="20"/>
              </w:rPr>
            </w:pPr>
            <w:r>
              <w:rPr>
                <w:rFonts w:hint="eastAsia" w:ascii="仿宋" w:hAnsi="仿宋" w:eastAsia="仿宋" w:cs="仿宋"/>
                <w:color w:val="auto"/>
                <w:sz w:val="20"/>
              </w:rPr>
              <w:t>财政供养人员情况（人）</w:t>
            </w:r>
          </w:p>
        </w:tc>
        <w:tc>
          <w:tcPr>
            <w:tcW w:w="2031" w:type="dxa"/>
            <w:gridSpan w:val="2"/>
          </w:tcPr>
          <w:p>
            <w:pPr>
              <w:pStyle w:val="10"/>
              <w:spacing w:before="89" w:line="251" w:lineRule="exact"/>
              <w:ind w:left="698" w:right="690"/>
              <w:jc w:val="center"/>
              <w:rPr>
                <w:rFonts w:hint="eastAsia" w:ascii="仿宋" w:hAnsi="仿宋" w:eastAsia="仿宋" w:cs="仿宋"/>
                <w:color w:val="auto"/>
                <w:sz w:val="20"/>
              </w:rPr>
            </w:pPr>
            <w:r>
              <w:rPr>
                <w:rFonts w:hint="eastAsia" w:ascii="仿宋" w:hAnsi="仿宋" w:eastAsia="仿宋" w:cs="仿宋"/>
                <w:color w:val="auto"/>
                <w:sz w:val="20"/>
              </w:rPr>
              <w:t>编制数</w:t>
            </w:r>
          </w:p>
        </w:tc>
        <w:tc>
          <w:tcPr>
            <w:tcW w:w="2232" w:type="dxa"/>
            <w:gridSpan w:val="2"/>
          </w:tcPr>
          <w:p>
            <w:pPr>
              <w:pStyle w:val="10"/>
              <w:spacing w:before="89" w:line="251" w:lineRule="exact"/>
              <w:ind w:left="194"/>
              <w:rPr>
                <w:rFonts w:hint="eastAsia" w:ascii="仿宋" w:hAnsi="仿宋" w:eastAsia="仿宋" w:cs="仿宋"/>
                <w:color w:val="auto"/>
                <w:sz w:val="20"/>
              </w:rPr>
            </w:pPr>
            <w:r>
              <w:rPr>
                <w:rFonts w:hint="eastAsia" w:ascii="仿宋" w:hAnsi="仿宋" w:eastAsia="仿宋" w:cs="仿宋"/>
                <w:b/>
                <w:color w:val="auto"/>
                <w:sz w:val="20"/>
              </w:rPr>
              <w:t>202</w:t>
            </w:r>
            <w:r>
              <w:rPr>
                <w:rFonts w:hint="eastAsia" w:ascii="仿宋" w:hAnsi="仿宋" w:eastAsia="仿宋" w:cs="仿宋"/>
                <w:b/>
                <w:color w:val="auto"/>
                <w:sz w:val="20"/>
                <w:lang w:val="en-US" w:eastAsia="zh-CN"/>
              </w:rPr>
              <w:t>4</w:t>
            </w:r>
            <w:r>
              <w:rPr>
                <w:rFonts w:hint="eastAsia" w:ascii="仿宋" w:hAnsi="仿宋" w:eastAsia="仿宋" w:cs="仿宋"/>
                <w:b/>
                <w:color w:val="auto"/>
                <w:sz w:val="20"/>
              </w:rPr>
              <w:t xml:space="preserve"> </w:t>
            </w:r>
            <w:r>
              <w:rPr>
                <w:rFonts w:hint="eastAsia" w:ascii="仿宋" w:hAnsi="仿宋" w:eastAsia="仿宋" w:cs="仿宋"/>
                <w:color w:val="auto"/>
                <w:sz w:val="20"/>
              </w:rPr>
              <w:t>年实际在职人数</w:t>
            </w:r>
          </w:p>
        </w:tc>
        <w:tc>
          <w:tcPr>
            <w:tcW w:w="2034" w:type="dxa"/>
            <w:gridSpan w:val="2"/>
          </w:tcPr>
          <w:p>
            <w:pPr>
              <w:pStyle w:val="10"/>
              <w:spacing w:before="89" w:line="251" w:lineRule="exact"/>
              <w:ind w:left="699" w:right="691"/>
              <w:jc w:val="center"/>
              <w:rPr>
                <w:rFonts w:hint="eastAsia" w:ascii="仿宋" w:hAnsi="仿宋" w:eastAsia="仿宋" w:cs="仿宋"/>
                <w:color w:val="auto"/>
                <w:sz w:val="20"/>
              </w:rPr>
            </w:pPr>
            <w:r>
              <w:rPr>
                <w:rFonts w:hint="eastAsia" w:ascii="仿宋" w:hAnsi="仿宋" w:eastAsia="仿宋" w:cs="仿宋"/>
                <w:color w:val="auto"/>
                <w:sz w:val="2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Merge w:val="continue"/>
            <w:tcBorders>
              <w:top w:val="nil"/>
            </w:tcBorders>
          </w:tcPr>
          <w:p>
            <w:pPr>
              <w:rPr>
                <w:rFonts w:hint="eastAsia" w:ascii="仿宋" w:hAnsi="仿宋" w:eastAsia="仿宋" w:cs="仿宋"/>
                <w:color w:val="auto"/>
                <w:sz w:val="2"/>
                <w:szCs w:val="2"/>
              </w:rPr>
            </w:pPr>
          </w:p>
        </w:tc>
        <w:tc>
          <w:tcPr>
            <w:tcW w:w="2031"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99</w:t>
            </w:r>
          </w:p>
        </w:tc>
        <w:tc>
          <w:tcPr>
            <w:tcW w:w="2232"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91</w:t>
            </w: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91.92%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676"/>
              <w:rPr>
                <w:rFonts w:hint="eastAsia" w:ascii="仿宋" w:hAnsi="仿宋" w:eastAsia="仿宋" w:cs="仿宋"/>
                <w:color w:val="auto"/>
                <w:sz w:val="20"/>
              </w:rPr>
            </w:pPr>
            <w:r>
              <w:rPr>
                <w:rFonts w:hint="eastAsia" w:ascii="仿宋" w:hAnsi="仿宋" w:eastAsia="仿宋" w:cs="仿宋"/>
                <w:color w:val="auto"/>
                <w:sz w:val="20"/>
              </w:rPr>
              <w:t>经费控制情况（万元）</w:t>
            </w:r>
          </w:p>
        </w:tc>
        <w:tc>
          <w:tcPr>
            <w:tcW w:w="2031" w:type="dxa"/>
            <w:gridSpan w:val="2"/>
          </w:tcPr>
          <w:p>
            <w:pPr>
              <w:pStyle w:val="10"/>
              <w:spacing w:before="88" w:line="252" w:lineRule="exact"/>
              <w:ind w:left="394"/>
              <w:jc w:val="center"/>
              <w:rPr>
                <w:rFonts w:hint="eastAsia" w:ascii="仿宋" w:hAnsi="仿宋" w:eastAsia="仿宋" w:cs="仿宋"/>
                <w:color w:val="auto"/>
                <w:sz w:val="20"/>
              </w:rPr>
            </w:pPr>
            <w:r>
              <w:rPr>
                <w:rFonts w:hint="eastAsia" w:ascii="仿宋" w:hAnsi="仿宋" w:eastAsia="仿宋" w:cs="仿宋"/>
                <w:b/>
                <w:color w:val="auto"/>
                <w:sz w:val="20"/>
              </w:rPr>
              <w:t>202</w:t>
            </w:r>
            <w:r>
              <w:rPr>
                <w:rFonts w:hint="eastAsia" w:ascii="仿宋" w:hAnsi="仿宋" w:eastAsia="仿宋" w:cs="仿宋"/>
                <w:b/>
                <w:color w:val="auto"/>
                <w:sz w:val="20"/>
                <w:lang w:val="en-US" w:eastAsia="zh-CN"/>
              </w:rPr>
              <w:t>3</w:t>
            </w:r>
            <w:r>
              <w:rPr>
                <w:rFonts w:hint="eastAsia" w:ascii="仿宋" w:hAnsi="仿宋" w:eastAsia="仿宋" w:cs="仿宋"/>
                <w:b/>
                <w:color w:val="auto"/>
                <w:sz w:val="20"/>
              </w:rPr>
              <w:t xml:space="preserve"> </w:t>
            </w:r>
            <w:r>
              <w:rPr>
                <w:rFonts w:hint="eastAsia" w:ascii="仿宋" w:hAnsi="仿宋" w:eastAsia="仿宋" w:cs="仿宋"/>
                <w:color w:val="auto"/>
                <w:sz w:val="20"/>
              </w:rPr>
              <w:t>年决算数</w:t>
            </w:r>
          </w:p>
        </w:tc>
        <w:tc>
          <w:tcPr>
            <w:tcW w:w="2232" w:type="dxa"/>
            <w:gridSpan w:val="2"/>
          </w:tcPr>
          <w:p>
            <w:pPr>
              <w:pStyle w:val="10"/>
              <w:spacing w:before="88" w:line="252" w:lineRule="exact"/>
              <w:ind w:left="494"/>
              <w:jc w:val="center"/>
              <w:rPr>
                <w:rFonts w:hint="eastAsia" w:ascii="仿宋" w:hAnsi="仿宋" w:eastAsia="仿宋" w:cs="仿宋"/>
                <w:color w:val="auto"/>
                <w:sz w:val="20"/>
              </w:rPr>
            </w:pPr>
            <w:r>
              <w:rPr>
                <w:rFonts w:hint="eastAsia" w:ascii="仿宋" w:hAnsi="仿宋" w:eastAsia="仿宋" w:cs="仿宋"/>
                <w:b/>
                <w:color w:val="auto"/>
                <w:sz w:val="20"/>
              </w:rPr>
              <w:t>202</w:t>
            </w:r>
            <w:r>
              <w:rPr>
                <w:rFonts w:hint="eastAsia" w:ascii="仿宋" w:hAnsi="仿宋" w:eastAsia="仿宋" w:cs="仿宋"/>
                <w:b/>
                <w:color w:val="auto"/>
                <w:sz w:val="20"/>
                <w:lang w:val="en-US" w:eastAsia="zh-CN"/>
              </w:rPr>
              <w:t>4</w:t>
            </w:r>
            <w:r>
              <w:rPr>
                <w:rFonts w:hint="eastAsia" w:ascii="仿宋" w:hAnsi="仿宋" w:eastAsia="仿宋" w:cs="仿宋"/>
                <w:color w:val="auto"/>
                <w:sz w:val="20"/>
              </w:rPr>
              <w:t>年预算数</w:t>
            </w:r>
          </w:p>
        </w:tc>
        <w:tc>
          <w:tcPr>
            <w:tcW w:w="2034" w:type="dxa"/>
            <w:gridSpan w:val="2"/>
          </w:tcPr>
          <w:p>
            <w:pPr>
              <w:pStyle w:val="10"/>
              <w:spacing w:before="88" w:line="252" w:lineRule="exact"/>
              <w:ind w:left="395"/>
              <w:jc w:val="center"/>
              <w:rPr>
                <w:rFonts w:hint="eastAsia" w:ascii="仿宋" w:hAnsi="仿宋" w:eastAsia="仿宋" w:cs="仿宋"/>
                <w:color w:val="auto"/>
                <w:sz w:val="20"/>
              </w:rPr>
            </w:pPr>
            <w:r>
              <w:rPr>
                <w:rFonts w:hint="eastAsia" w:ascii="仿宋" w:hAnsi="仿宋" w:eastAsia="仿宋" w:cs="仿宋"/>
                <w:b/>
                <w:color w:val="auto"/>
                <w:sz w:val="20"/>
              </w:rPr>
              <w:t>202</w:t>
            </w:r>
            <w:r>
              <w:rPr>
                <w:rFonts w:hint="eastAsia" w:ascii="仿宋" w:hAnsi="仿宋" w:eastAsia="仿宋" w:cs="仿宋"/>
                <w:b/>
                <w:color w:val="auto"/>
                <w:sz w:val="20"/>
                <w:lang w:val="en-US" w:eastAsia="zh-CN"/>
              </w:rPr>
              <w:t>4</w:t>
            </w:r>
            <w:r>
              <w:rPr>
                <w:rFonts w:hint="eastAsia" w:ascii="仿宋" w:hAnsi="仿宋" w:eastAsia="仿宋" w:cs="仿宋"/>
                <w:b/>
                <w:color w:val="auto"/>
                <w:sz w:val="20"/>
              </w:rPr>
              <w:t xml:space="preserve"> </w:t>
            </w:r>
            <w:r>
              <w:rPr>
                <w:rFonts w:hint="eastAsia" w:ascii="仿宋" w:hAnsi="仿宋" w:eastAsia="仿宋" w:cs="仿宋"/>
                <w:color w:val="auto"/>
                <w:sz w:val="2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107"/>
              <w:rPr>
                <w:rFonts w:hint="eastAsia" w:ascii="仿宋" w:hAnsi="仿宋" w:eastAsia="仿宋" w:cs="仿宋"/>
                <w:color w:val="auto"/>
                <w:sz w:val="20"/>
              </w:rPr>
            </w:pPr>
            <w:r>
              <w:rPr>
                <w:rFonts w:hint="eastAsia" w:ascii="仿宋" w:hAnsi="仿宋" w:eastAsia="仿宋" w:cs="仿宋"/>
                <w:color w:val="auto"/>
                <w:sz w:val="20"/>
              </w:rPr>
              <w:t>三公经费:</w:t>
            </w:r>
          </w:p>
        </w:tc>
        <w:tc>
          <w:tcPr>
            <w:tcW w:w="2031"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4万元</w:t>
            </w:r>
          </w:p>
        </w:tc>
        <w:tc>
          <w:tcPr>
            <w:tcW w:w="2232"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3万元</w:t>
            </w: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2" w:lineRule="exact"/>
              <w:ind w:left="407"/>
              <w:rPr>
                <w:rFonts w:hint="eastAsia" w:ascii="仿宋" w:hAnsi="仿宋" w:eastAsia="仿宋" w:cs="仿宋"/>
                <w:color w:val="auto"/>
                <w:sz w:val="20"/>
              </w:rPr>
            </w:pPr>
            <w:r>
              <w:rPr>
                <w:rFonts w:hint="eastAsia" w:ascii="仿宋" w:hAnsi="仿宋" w:eastAsia="仿宋" w:cs="仿宋"/>
                <w:color w:val="auto"/>
                <w:sz w:val="20"/>
              </w:rPr>
              <w:t>1、公务用车购置和维护经费</w:t>
            </w:r>
          </w:p>
        </w:tc>
        <w:tc>
          <w:tcPr>
            <w:tcW w:w="2031" w:type="dxa"/>
            <w:gridSpan w:val="2"/>
          </w:tcPr>
          <w:p>
            <w:pPr>
              <w:pStyle w:val="10"/>
              <w:jc w:val="center"/>
              <w:rPr>
                <w:rFonts w:hint="eastAsia" w:ascii="仿宋" w:hAnsi="仿宋" w:eastAsia="仿宋" w:cs="仿宋"/>
                <w:color w:val="auto"/>
                <w:sz w:val="20"/>
              </w:rPr>
            </w:pPr>
          </w:p>
        </w:tc>
        <w:tc>
          <w:tcPr>
            <w:tcW w:w="2232" w:type="dxa"/>
            <w:gridSpan w:val="2"/>
          </w:tcPr>
          <w:p>
            <w:pPr>
              <w:pStyle w:val="10"/>
              <w:jc w:val="center"/>
              <w:rPr>
                <w:rFonts w:hint="eastAsia" w:ascii="仿宋" w:hAnsi="仿宋" w:eastAsia="仿宋" w:cs="仿宋"/>
                <w:color w:val="auto"/>
                <w:sz w:val="20"/>
              </w:rPr>
            </w:pPr>
          </w:p>
        </w:tc>
        <w:tc>
          <w:tcPr>
            <w:tcW w:w="2034" w:type="dxa"/>
            <w:gridSpan w:val="2"/>
          </w:tcPr>
          <w:p>
            <w:pPr>
              <w:pStyle w:val="10"/>
              <w:jc w:val="center"/>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3" w:lineRule="exact"/>
              <w:ind w:left="808"/>
              <w:rPr>
                <w:rFonts w:hint="eastAsia" w:ascii="仿宋" w:hAnsi="仿宋" w:eastAsia="仿宋" w:cs="仿宋"/>
                <w:color w:val="auto"/>
                <w:sz w:val="20"/>
              </w:rPr>
            </w:pPr>
            <w:r>
              <w:rPr>
                <w:rFonts w:hint="eastAsia" w:ascii="仿宋" w:hAnsi="仿宋" w:eastAsia="仿宋" w:cs="仿宋"/>
                <w:color w:val="auto"/>
                <w:sz w:val="20"/>
              </w:rPr>
              <w:t>其中：公车购置</w:t>
            </w:r>
          </w:p>
        </w:tc>
        <w:tc>
          <w:tcPr>
            <w:tcW w:w="2031" w:type="dxa"/>
            <w:gridSpan w:val="2"/>
          </w:tcPr>
          <w:p>
            <w:pPr>
              <w:pStyle w:val="10"/>
              <w:jc w:val="center"/>
              <w:rPr>
                <w:rFonts w:hint="eastAsia" w:ascii="仿宋" w:hAnsi="仿宋" w:eastAsia="仿宋" w:cs="仿宋"/>
                <w:color w:val="auto"/>
                <w:sz w:val="20"/>
              </w:rPr>
            </w:pPr>
          </w:p>
        </w:tc>
        <w:tc>
          <w:tcPr>
            <w:tcW w:w="2232" w:type="dxa"/>
            <w:gridSpan w:val="2"/>
          </w:tcPr>
          <w:p>
            <w:pPr>
              <w:pStyle w:val="10"/>
              <w:jc w:val="center"/>
              <w:rPr>
                <w:rFonts w:hint="eastAsia" w:ascii="仿宋" w:hAnsi="仿宋" w:eastAsia="仿宋" w:cs="仿宋"/>
                <w:color w:val="auto"/>
                <w:sz w:val="20"/>
              </w:rPr>
            </w:pPr>
          </w:p>
        </w:tc>
        <w:tc>
          <w:tcPr>
            <w:tcW w:w="2034" w:type="dxa"/>
            <w:gridSpan w:val="2"/>
          </w:tcPr>
          <w:p>
            <w:pPr>
              <w:pStyle w:val="10"/>
              <w:jc w:val="center"/>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9" w:line="251" w:lineRule="exact"/>
              <w:ind w:left="1408"/>
              <w:rPr>
                <w:rFonts w:hint="eastAsia" w:ascii="仿宋" w:hAnsi="仿宋" w:eastAsia="仿宋" w:cs="仿宋"/>
                <w:color w:val="auto"/>
                <w:sz w:val="20"/>
              </w:rPr>
            </w:pPr>
            <w:r>
              <w:rPr>
                <w:rFonts w:hint="eastAsia" w:ascii="仿宋" w:hAnsi="仿宋" w:eastAsia="仿宋" w:cs="仿宋"/>
                <w:color w:val="auto"/>
                <w:sz w:val="20"/>
              </w:rPr>
              <w:t>公车运行维护</w:t>
            </w:r>
          </w:p>
        </w:tc>
        <w:tc>
          <w:tcPr>
            <w:tcW w:w="2031" w:type="dxa"/>
            <w:gridSpan w:val="2"/>
          </w:tcPr>
          <w:p>
            <w:pPr>
              <w:pStyle w:val="10"/>
              <w:jc w:val="center"/>
              <w:rPr>
                <w:rFonts w:hint="eastAsia" w:ascii="仿宋" w:hAnsi="仿宋" w:eastAsia="仿宋" w:cs="仿宋"/>
                <w:color w:val="auto"/>
                <w:sz w:val="20"/>
              </w:rPr>
            </w:pPr>
          </w:p>
        </w:tc>
        <w:tc>
          <w:tcPr>
            <w:tcW w:w="2232" w:type="dxa"/>
            <w:gridSpan w:val="2"/>
          </w:tcPr>
          <w:p>
            <w:pPr>
              <w:pStyle w:val="10"/>
              <w:jc w:val="center"/>
              <w:rPr>
                <w:rFonts w:hint="default" w:ascii="仿宋" w:hAnsi="仿宋" w:eastAsia="仿宋" w:cs="仿宋"/>
                <w:color w:val="auto"/>
                <w:sz w:val="20"/>
                <w:lang w:val="en-US" w:eastAsia="zh-CN"/>
              </w:rPr>
            </w:pPr>
          </w:p>
        </w:tc>
        <w:tc>
          <w:tcPr>
            <w:tcW w:w="2034" w:type="dxa"/>
            <w:gridSpan w:val="2"/>
          </w:tcPr>
          <w:p>
            <w:pPr>
              <w:pStyle w:val="10"/>
              <w:jc w:val="center"/>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1" w:lineRule="exact"/>
              <w:ind w:left="407"/>
              <w:rPr>
                <w:rFonts w:hint="eastAsia" w:ascii="仿宋" w:hAnsi="仿宋" w:eastAsia="仿宋" w:cs="仿宋"/>
                <w:color w:val="auto"/>
                <w:sz w:val="20"/>
              </w:rPr>
            </w:pPr>
            <w:r>
              <w:rPr>
                <w:rFonts w:hint="eastAsia" w:ascii="仿宋" w:hAnsi="仿宋" w:eastAsia="仿宋" w:cs="仿宋"/>
                <w:color w:val="auto"/>
                <w:sz w:val="20"/>
              </w:rPr>
              <w:t>2、出国经费</w:t>
            </w:r>
          </w:p>
        </w:tc>
        <w:tc>
          <w:tcPr>
            <w:tcW w:w="2031" w:type="dxa"/>
            <w:gridSpan w:val="2"/>
          </w:tcPr>
          <w:p>
            <w:pPr>
              <w:pStyle w:val="10"/>
              <w:jc w:val="center"/>
              <w:rPr>
                <w:rFonts w:hint="eastAsia" w:ascii="仿宋" w:hAnsi="仿宋" w:eastAsia="仿宋" w:cs="仿宋"/>
                <w:color w:val="auto"/>
                <w:sz w:val="20"/>
              </w:rPr>
            </w:pPr>
          </w:p>
        </w:tc>
        <w:tc>
          <w:tcPr>
            <w:tcW w:w="2232" w:type="dxa"/>
            <w:gridSpan w:val="2"/>
          </w:tcPr>
          <w:p>
            <w:pPr>
              <w:pStyle w:val="10"/>
              <w:jc w:val="center"/>
              <w:rPr>
                <w:rFonts w:hint="eastAsia" w:ascii="仿宋" w:hAnsi="仿宋" w:eastAsia="仿宋" w:cs="仿宋"/>
                <w:color w:val="auto"/>
                <w:sz w:val="20"/>
              </w:rPr>
            </w:pPr>
          </w:p>
        </w:tc>
        <w:tc>
          <w:tcPr>
            <w:tcW w:w="2034" w:type="dxa"/>
            <w:gridSpan w:val="2"/>
          </w:tcPr>
          <w:p>
            <w:pPr>
              <w:pStyle w:val="10"/>
              <w:jc w:val="center"/>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407"/>
              <w:rPr>
                <w:rFonts w:hint="eastAsia" w:ascii="仿宋" w:hAnsi="仿宋" w:eastAsia="仿宋" w:cs="仿宋"/>
                <w:color w:val="auto"/>
                <w:sz w:val="20"/>
              </w:rPr>
            </w:pPr>
            <w:r>
              <w:rPr>
                <w:rFonts w:hint="eastAsia" w:ascii="仿宋" w:hAnsi="仿宋" w:eastAsia="仿宋" w:cs="仿宋"/>
                <w:color w:val="auto"/>
                <w:sz w:val="20"/>
              </w:rPr>
              <w:t>3、公务接待</w:t>
            </w:r>
          </w:p>
        </w:tc>
        <w:tc>
          <w:tcPr>
            <w:tcW w:w="2031"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4万元</w:t>
            </w:r>
          </w:p>
        </w:tc>
        <w:tc>
          <w:tcPr>
            <w:tcW w:w="2232"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3万元</w:t>
            </w: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107"/>
              <w:rPr>
                <w:rFonts w:hint="eastAsia" w:ascii="仿宋" w:hAnsi="仿宋" w:eastAsia="仿宋" w:cs="仿宋"/>
                <w:color w:val="auto"/>
                <w:sz w:val="20"/>
              </w:rPr>
            </w:pPr>
            <w:r>
              <w:rPr>
                <w:rFonts w:hint="eastAsia" w:ascii="仿宋" w:hAnsi="仿宋" w:eastAsia="仿宋" w:cs="仿宋"/>
                <w:color w:val="auto"/>
                <w:sz w:val="20"/>
              </w:rPr>
              <w:t>项目支出</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1127.74万元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烟叶生产扶持奖励资金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35.23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变更调查耕地流出经费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140.86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河长制工作经费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冬修水利建设资金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代管资金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4</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金桥镇深宫夏敬老院设施建设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灾害救灾资金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1.66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山体滑坡整治</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退休补助资金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3.55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生猪调出大县奖励资金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0.79</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居斯塘便捷连通路工程款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27.5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金福村公路建设资金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10</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付创业担保宣传支出</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村级转移支付</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226.23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改厕资金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0.3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抚恤支出</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25.03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公益性岗位补贴</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8.64</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公路维修</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医保征收工作经费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16.46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路灯亮化工程款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新桥头村健身场地建设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文化站建设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胜联村工作经费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办公大楼维修</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金桥镇工作经费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22.37</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水利建设工程</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9.3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亮化工程建设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5.3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金龙桥续建工程</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14.97</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信访工作经费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lang w:val="en-US" w:eastAsia="zh-CN"/>
              </w:rPr>
            </w:pPr>
            <w:r>
              <w:rPr>
                <w:rFonts w:hint="eastAsia" w:ascii="仿宋" w:hAnsi="仿宋" w:eastAsia="仿宋" w:cs="仿宋"/>
                <w:color w:val="auto"/>
                <w:sz w:val="20"/>
                <w:lang w:val="en-US" w:eastAsia="zh-CN"/>
              </w:rPr>
              <w:t>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金福村公路扩宽及屋门塘护砌</w:t>
            </w:r>
          </w:p>
        </w:tc>
        <w:tc>
          <w:tcPr>
            <w:tcW w:w="2031" w:type="dxa"/>
            <w:gridSpan w:val="2"/>
          </w:tcPr>
          <w:p>
            <w:pPr>
              <w:pStyle w:val="10"/>
              <w:jc w:val="center"/>
              <w:rPr>
                <w:rFonts w:hint="eastAsia" w:ascii="仿宋" w:hAnsi="仿宋" w:eastAsia="仿宋" w:cs="仿宋"/>
                <w:color w:val="auto"/>
                <w:sz w:val="20"/>
              </w:rPr>
            </w:pPr>
          </w:p>
        </w:tc>
        <w:tc>
          <w:tcPr>
            <w:tcW w:w="2232" w:type="dxa"/>
            <w:gridSpan w:val="2"/>
          </w:tcPr>
          <w:p>
            <w:pPr>
              <w:pStyle w:val="10"/>
              <w:jc w:val="center"/>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lang w:val="en-US" w:eastAsia="zh-CN"/>
              </w:rPr>
            </w:pPr>
            <w:r>
              <w:rPr>
                <w:rFonts w:hint="eastAsia" w:ascii="仿宋" w:hAnsi="仿宋" w:eastAsia="仿宋" w:cs="仿宋"/>
                <w:color w:val="auto"/>
                <w:sz w:val="20"/>
                <w:lang w:val="en-US" w:eastAsia="zh-CN"/>
              </w:rPr>
              <w:t>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市级结算补助</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乡镇污水处理设施建设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0.42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金桥镇底线工作经费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6.7</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社区老年活动中心建设资金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政府办公楼装修</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2.57</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乡镇财政监管省级补助经费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24.84</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通道绿化和秀美村庄绿化资金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2.02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文明城市创建经费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“万雁下乡”县派第一书记驻村补助</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3.26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2024年市级补助经费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90</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乡村清洁费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15.44</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水利工程支出</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4.56</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农村改厕资金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18.03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金桥镇农村建设经费</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55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烤烟房清理及维护</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1.22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疫木砍伐</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28.09</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水利建设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3.01</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小河治理建设</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5.5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乡镇环境综合治理</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22.62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乡村振兴补助资金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112.3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村级建设资金</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vAlign w:val="center"/>
          </w:tcPr>
          <w:p>
            <w:pPr>
              <w:keepNext w:val="0"/>
              <w:keepLines w:val="0"/>
              <w:widowControl/>
              <w:suppressLineNumbers w:val="0"/>
              <w:ind w:left="0" w:leftChars="0" w:right="0" w:rightChars="0"/>
              <w:jc w:val="center"/>
              <w:textAlignment w:val="center"/>
              <w:rPr>
                <w:rFonts w:hint="eastAsia" w:ascii="仿宋" w:hAnsi="仿宋" w:eastAsia="仿宋" w:cs="仿宋"/>
                <w:color w:val="auto"/>
                <w:sz w:val="20"/>
              </w:rPr>
            </w:pPr>
            <w:r>
              <w:rPr>
                <w:rFonts w:hint="eastAsia" w:ascii="仿宋" w:hAnsi="仿宋" w:eastAsia="仿宋" w:cs="仿宋"/>
                <w:color w:val="auto"/>
                <w:sz w:val="20"/>
              </w:rPr>
              <w:t>103</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1" w:lineRule="exact"/>
              <w:ind w:left="107"/>
              <w:rPr>
                <w:rFonts w:hint="eastAsia" w:ascii="仿宋" w:hAnsi="仿宋" w:eastAsia="仿宋" w:cs="仿宋"/>
                <w:color w:val="auto"/>
                <w:sz w:val="20"/>
              </w:rPr>
            </w:pPr>
            <w:r>
              <w:rPr>
                <w:rFonts w:hint="eastAsia" w:ascii="仿宋" w:hAnsi="仿宋" w:eastAsia="仿宋" w:cs="仿宋"/>
                <w:color w:val="auto"/>
                <w:sz w:val="20"/>
              </w:rPr>
              <w:t>3、</w:t>
            </w:r>
            <w:r>
              <w:rPr>
                <w:rFonts w:hint="eastAsia" w:ascii="仿宋" w:hAnsi="仿宋" w:eastAsia="仿宋" w:cs="仿宋"/>
                <w:color w:val="auto"/>
                <w:sz w:val="20"/>
                <w:lang w:eastAsia="zh-CN"/>
              </w:rPr>
              <w:t>县</w:t>
            </w:r>
            <w:r>
              <w:rPr>
                <w:rFonts w:hint="eastAsia" w:ascii="仿宋" w:hAnsi="仿宋" w:eastAsia="仿宋" w:cs="仿宋"/>
                <w:color w:val="auto"/>
                <w:sz w:val="20"/>
              </w:rPr>
              <w:t>级专项资金（每个专项一行）</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101"/>
              <w:ind w:left="728" w:right="723"/>
              <w:jc w:val="center"/>
              <w:rPr>
                <w:rFonts w:hint="eastAsia" w:ascii="仿宋" w:hAnsi="仿宋" w:eastAsia="仿宋" w:cs="仿宋"/>
                <w:color w:val="auto"/>
                <w:sz w:val="20"/>
              </w:rPr>
            </w:pPr>
            <w:r>
              <w:rPr>
                <w:rFonts w:hint="eastAsia" w:ascii="仿宋" w:hAnsi="仿宋" w:eastAsia="仿宋" w:cs="仿宋"/>
                <w:color w:val="auto"/>
                <w:sz w:val="20"/>
              </w:rPr>
              <w:t>……</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107"/>
              <w:rPr>
                <w:rFonts w:hint="eastAsia" w:ascii="仿宋" w:hAnsi="仿宋" w:eastAsia="仿宋" w:cs="仿宋"/>
                <w:color w:val="auto"/>
                <w:sz w:val="20"/>
              </w:rPr>
            </w:pPr>
            <w:r>
              <w:rPr>
                <w:rFonts w:hint="eastAsia" w:ascii="仿宋" w:hAnsi="仿宋" w:eastAsia="仿宋" w:cs="仿宋"/>
                <w:color w:val="auto"/>
                <w:sz w:val="20"/>
              </w:rPr>
              <w:t>公用经费</w:t>
            </w:r>
          </w:p>
        </w:tc>
        <w:tc>
          <w:tcPr>
            <w:tcW w:w="2031"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168.31</w:t>
            </w:r>
            <w:r>
              <w:rPr>
                <w:rFonts w:hint="eastAsia" w:ascii="仿宋" w:hAnsi="仿宋" w:eastAsia="仿宋" w:cs="仿宋"/>
                <w:color w:val="auto"/>
                <w:sz w:val="20"/>
                <w:lang w:val="en-US" w:eastAsia="zh-CN"/>
              </w:rPr>
              <w:t>万元</w:t>
            </w:r>
          </w:p>
        </w:tc>
        <w:tc>
          <w:tcPr>
            <w:tcW w:w="2232"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145.43</w:t>
            </w:r>
            <w:r>
              <w:rPr>
                <w:rFonts w:hint="eastAsia" w:ascii="仿宋" w:hAnsi="仿宋" w:eastAsia="仿宋" w:cs="仿宋"/>
                <w:color w:val="auto"/>
                <w:sz w:val="20"/>
                <w:lang w:val="en-US" w:eastAsia="zh-CN"/>
              </w:rPr>
              <w:t>万元</w:t>
            </w:r>
          </w:p>
        </w:tc>
        <w:tc>
          <w:tcPr>
            <w:tcW w:w="2034"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233.85</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2" w:lineRule="exact"/>
              <w:ind w:left="508"/>
              <w:rPr>
                <w:rFonts w:hint="eastAsia" w:ascii="仿宋" w:hAnsi="仿宋" w:eastAsia="仿宋" w:cs="仿宋"/>
                <w:color w:val="auto"/>
                <w:sz w:val="20"/>
              </w:rPr>
            </w:pPr>
            <w:r>
              <w:rPr>
                <w:rFonts w:hint="eastAsia" w:ascii="仿宋" w:hAnsi="仿宋" w:eastAsia="仿宋" w:cs="仿宋"/>
                <w:color w:val="auto"/>
                <w:sz w:val="20"/>
              </w:rPr>
              <w:t>其中：办公经费</w:t>
            </w:r>
          </w:p>
        </w:tc>
        <w:tc>
          <w:tcPr>
            <w:tcW w:w="2031"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35.35</w:t>
            </w:r>
            <w:r>
              <w:rPr>
                <w:rFonts w:hint="eastAsia" w:ascii="仿宋" w:hAnsi="仿宋" w:eastAsia="仿宋" w:cs="仿宋"/>
                <w:color w:val="auto"/>
                <w:sz w:val="20"/>
                <w:lang w:val="en-US" w:eastAsia="zh-CN"/>
              </w:rPr>
              <w:t>万元</w:t>
            </w:r>
          </w:p>
        </w:tc>
        <w:tc>
          <w:tcPr>
            <w:tcW w:w="2232"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39万元</w:t>
            </w:r>
          </w:p>
        </w:tc>
        <w:tc>
          <w:tcPr>
            <w:tcW w:w="2034"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97.62</w:t>
            </w:r>
            <w:r>
              <w:rPr>
                <w:rFonts w:hint="eastAsia" w:ascii="仿宋" w:hAnsi="仿宋" w:eastAsia="仿宋" w:cs="仿宋"/>
                <w:color w:val="auto"/>
                <w:sz w:val="20"/>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3" w:lineRule="exact"/>
              <w:ind w:left="1108"/>
              <w:jc w:val="center"/>
              <w:rPr>
                <w:rFonts w:hint="eastAsia" w:ascii="仿宋" w:hAnsi="仿宋" w:eastAsia="仿宋" w:cs="仿宋"/>
                <w:color w:val="auto"/>
                <w:sz w:val="20"/>
              </w:rPr>
            </w:pPr>
            <w:r>
              <w:rPr>
                <w:rFonts w:hint="eastAsia" w:ascii="仿宋" w:hAnsi="仿宋" w:eastAsia="仿宋" w:cs="仿宋"/>
                <w:color w:val="auto"/>
                <w:sz w:val="20"/>
              </w:rPr>
              <w:t>水费、电费、差旅费</w:t>
            </w:r>
          </w:p>
        </w:tc>
        <w:tc>
          <w:tcPr>
            <w:tcW w:w="2031"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32.35</w:t>
            </w:r>
            <w:r>
              <w:rPr>
                <w:rFonts w:hint="eastAsia" w:ascii="仿宋" w:hAnsi="仿宋" w:eastAsia="仿宋" w:cs="仿宋"/>
                <w:color w:val="auto"/>
                <w:sz w:val="20"/>
                <w:lang w:val="en-US" w:eastAsia="zh-CN"/>
              </w:rPr>
              <w:t>万元</w:t>
            </w:r>
          </w:p>
        </w:tc>
        <w:tc>
          <w:tcPr>
            <w:tcW w:w="2232"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21万元</w:t>
            </w: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32.34万元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9" w:line="251" w:lineRule="exact"/>
              <w:ind w:left="1108"/>
              <w:rPr>
                <w:rFonts w:hint="eastAsia" w:ascii="仿宋" w:hAnsi="仿宋" w:eastAsia="仿宋" w:cs="仿宋"/>
                <w:color w:val="auto"/>
                <w:sz w:val="20"/>
              </w:rPr>
            </w:pPr>
            <w:r>
              <w:rPr>
                <w:rFonts w:hint="eastAsia" w:ascii="仿宋" w:hAnsi="仿宋" w:eastAsia="仿宋" w:cs="仿宋"/>
                <w:color w:val="auto"/>
                <w:sz w:val="20"/>
              </w:rPr>
              <w:t>会议费、培训费</w:t>
            </w:r>
          </w:p>
        </w:tc>
        <w:tc>
          <w:tcPr>
            <w:tcW w:w="2031"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17.05</w:t>
            </w:r>
            <w:r>
              <w:rPr>
                <w:rFonts w:hint="eastAsia" w:ascii="仿宋" w:hAnsi="仿宋" w:eastAsia="仿宋" w:cs="仿宋"/>
                <w:color w:val="auto"/>
                <w:sz w:val="20"/>
                <w:lang w:val="en-US" w:eastAsia="zh-CN"/>
              </w:rPr>
              <w:t>万元</w:t>
            </w:r>
          </w:p>
        </w:tc>
        <w:tc>
          <w:tcPr>
            <w:tcW w:w="2232" w:type="dxa"/>
            <w:gridSpan w:val="2"/>
          </w:tcPr>
          <w:p>
            <w:pPr>
              <w:pStyle w:val="10"/>
              <w:jc w:val="center"/>
              <w:rPr>
                <w:rFonts w:hint="eastAsia" w:ascii="仿宋" w:hAnsi="仿宋" w:eastAsia="仿宋" w:cs="仿宋"/>
                <w:color w:val="auto"/>
                <w:sz w:val="20"/>
                <w:lang w:val="en-US" w:eastAsia="zh-CN"/>
              </w:rPr>
            </w:pPr>
            <w:r>
              <w:rPr>
                <w:rFonts w:hint="eastAsia" w:ascii="仿宋" w:hAnsi="仿宋" w:eastAsia="仿宋" w:cs="仿宋"/>
                <w:color w:val="auto"/>
                <w:sz w:val="20"/>
                <w:lang w:val="en-US" w:eastAsia="zh-CN"/>
              </w:rPr>
              <w:t>3万元</w:t>
            </w: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10.57万元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1" w:lineRule="exact"/>
              <w:ind w:left="107"/>
              <w:rPr>
                <w:rFonts w:hint="eastAsia" w:ascii="仿宋" w:hAnsi="仿宋" w:eastAsia="仿宋" w:cs="仿宋"/>
                <w:color w:val="auto"/>
                <w:sz w:val="20"/>
              </w:rPr>
            </w:pPr>
            <w:r>
              <w:rPr>
                <w:rFonts w:hint="eastAsia" w:ascii="仿宋" w:hAnsi="仿宋" w:eastAsia="仿宋" w:cs="仿宋"/>
                <w:color w:val="auto"/>
                <w:sz w:val="20"/>
              </w:rPr>
              <w:t>政府采购金额</w:t>
            </w:r>
          </w:p>
        </w:tc>
        <w:tc>
          <w:tcPr>
            <w:tcW w:w="2031" w:type="dxa"/>
            <w:gridSpan w:val="2"/>
          </w:tcPr>
          <w:p>
            <w:pPr>
              <w:pStyle w:val="10"/>
              <w:jc w:val="center"/>
              <w:rPr>
                <w:rFonts w:hint="eastAsia" w:ascii="仿宋" w:hAnsi="仿宋" w:eastAsia="仿宋" w:cs="仿宋"/>
                <w:color w:val="auto"/>
                <w:sz w:val="20"/>
              </w:rPr>
            </w:pPr>
            <w:r>
              <w:rPr>
                <w:rFonts w:hint="eastAsia" w:ascii="仿宋" w:hAnsi="仿宋" w:eastAsia="仿宋" w:cs="仿宋"/>
                <w:color w:val="auto"/>
                <w:sz w:val="20"/>
              </w:rPr>
              <w:t>182</w:t>
            </w:r>
            <w:r>
              <w:rPr>
                <w:rFonts w:hint="eastAsia" w:ascii="仿宋" w:hAnsi="仿宋" w:eastAsia="仿宋" w:cs="仿宋"/>
                <w:color w:val="auto"/>
                <w:sz w:val="20"/>
                <w:lang w:val="en-US" w:eastAsia="zh-CN"/>
              </w:rPr>
              <w:t>万元</w:t>
            </w:r>
          </w:p>
        </w:tc>
        <w:tc>
          <w:tcPr>
            <w:tcW w:w="2232" w:type="dxa"/>
            <w:gridSpan w:val="2"/>
          </w:tcPr>
          <w:p>
            <w:pPr>
              <w:pStyle w:val="10"/>
              <w:jc w:val="center"/>
              <w:rPr>
                <w:rFonts w:hint="eastAsia" w:ascii="仿宋" w:hAnsi="仿宋" w:eastAsia="仿宋" w:cs="仿宋"/>
                <w:color w:val="auto"/>
                <w:sz w:val="20"/>
              </w:rPr>
            </w:pPr>
          </w:p>
        </w:tc>
        <w:tc>
          <w:tcPr>
            <w:tcW w:w="2034" w:type="dxa"/>
            <w:gridSpan w:val="2"/>
          </w:tcPr>
          <w:p>
            <w:pPr>
              <w:pStyle w:val="10"/>
              <w:jc w:val="center"/>
              <w:rPr>
                <w:rFonts w:hint="default" w:ascii="仿宋" w:hAnsi="仿宋" w:eastAsia="仿宋" w:cs="仿宋"/>
                <w:color w:val="auto"/>
                <w:sz w:val="20"/>
                <w:lang w:val="en-US" w:eastAsia="zh-CN"/>
              </w:rPr>
            </w:pPr>
            <w:r>
              <w:rPr>
                <w:rFonts w:hint="eastAsia" w:ascii="仿宋" w:hAnsi="仿宋" w:eastAsia="仿宋" w:cs="仿宋"/>
                <w:color w:val="auto"/>
                <w:sz w:val="20"/>
                <w:lang w:val="en-US" w:eastAsia="zh-CN"/>
              </w:rPr>
              <w:t>114.19万元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107"/>
              <w:rPr>
                <w:rFonts w:hint="eastAsia" w:ascii="仿宋" w:hAnsi="仿宋" w:eastAsia="仿宋" w:cs="仿宋"/>
                <w:color w:val="auto"/>
                <w:sz w:val="20"/>
              </w:rPr>
            </w:pPr>
            <w:r>
              <w:rPr>
                <w:rFonts w:hint="eastAsia" w:ascii="仿宋" w:hAnsi="仿宋" w:eastAsia="仿宋" w:cs="仿宋"/>
                <w:color w:val="auto"/>
                <w:sz w:val="20"/>
              </w:rPr>
              <w:t>部门基本支出预算调整</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rPr>
                <w:rFonts w:hint="eastAsia" w:ascii="仿宋" w:hAnsi="仿宋" w:eastAsia="仿宋" w:cs="仿宋"/>
                <w:color w:val="auto"/>
                <w:sz w:val="26"/>
              </w:rPr>
            </w:pPr>
          </w:p>
          <w:p>
            <w:pPr>
              <w:pStyle w:val="10"/>
              <w:ind w:left="728" w:right="723"/>
              <w:jc w:val="center"/>
              <w:rPr>
                <w:rFonts w:hint="eastAsia" w:ascii="仿宋" w:hAnsi="仿宋" w:eastAsia="仿宋" w:cs="仿宋"/>
                <w:color w:val="auto"/>
                <w:sz w:val="20"/>
              </w:rPr>
            </w:pPr>
            <w:r>
              <w:rPr>
                <w:rFonts w:hint="eastAsia" w:ascii="仿宋" w:hAnsi="仿宋" w:eastAsia="仿宋" w:cs="仿宋"/>
                <w:color w:val="auto"/>
                <w:sz w:val="20"/>
              </w:rPr>
              <w:t>楼堂馆所控制情况</w:t>
            </w:r>
          </w:p>
          <w:p>
            <w:pPr>
              <w:pStyle w:val="10"/>
              <w:spacing w:before="104"/>
              <w:ind w:left="730" w:right="723"/>
              <w:jc w:val="center"/>
              <w:rPr>
                <w:rFonts w:hint="eastAsia" w:ascii="仿宋" w:hAnsi="仿宋" w:eastAsia="仿宋" w:cs="仿宋"/>
                <w:color w:val="auto"/>
                <w:sz w:val="20"/>
              </w:rPr>
            </w:pPr>
            <w:r>
              <w:rPr>
                <w:rFonts w:hint="eastAsia" w:ascii="仿宋" w:hAnsi="仿宋" w:eastAsia="仿宋" w:cs="仿宋"/>
                <w:color w:val="auto"/>
                <w:sz w:val="20"/>
              </w:rPr>
              <w:t>（202</w:t>
            </w:r>
            <w:r>
              <w:rPr>
                <w:rFonts w:hint="eastAsia" w:ascii="仿宋" w:hAnsi="仿宋" w:eastAsia="仿宋" w:cs="仿宋"/>
                <w:color w:val="auto"/>
                <w:sz w:val="20"/>
                <w:lang w:val="en-US" w:eastAsia="zh-CN"/>
              </w:rPr>
              <w:t>4</w:t>
            </w:r>
            <w:r>
              <w:rPr>
                <w:rFonts w:hint="eastAsia" w:ascii="仿宋" w:hAnsi="仿宋" w:eastAsia="仿宋" w:cs="仿宋"/>
                <w:color w:val="auto"/>
                <w:sz w:val="20"/>
              </w:rPr>
              <w:t xml:space="preserve"> 年完工项目）</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Borders>
              <w:top w:val="nil"/>
            </w:tcBorders>
          </w:tcPr>
          <w:p>
            <w:pPr>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3" w:lineRule="exact"/>
              <w:ind w:left="875"/>
              <w:rPr>
                <w:rFonts w:hint="eastAsia" w:ascii="仿宋" w:hAnsi="仿宋" w:eastAsia="仿宋" w:cs="仿宋"/>
                <w:color w:val="auto"/>
                <w:sz w:val="20"/>
              </w:rPr>
            </w:pPr>
            <w:r>
              <w:rPr>
                <w:rFonts w:hint="eastAsia" w:ascii="仿宋" w:hAnsi="仿宋" w:eastAsia="仿宋" w:cs="仿宋"/>
                <w:color w:val="auto"/>
                <w:sz w:val="20"/>
              </w:rPr>
              <w:t>厉行节约保障措施</w:t>
            </w: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left"/>
              <w:textAlignment w:val="center"/>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Align w:val="center"/>
          </w:tcPr>
          <w:p>
            <w:pPr>
              <w:keepNext w:val="0"/>
              <w:keepLines w:val="0"/>
              <w:widowControl/>
              <w:suppressLineNumbers w:val="0"/>
              <w:ind w:left="0" w:leftChars="0" w:right="0" w:rightChars="0"/>
              <w:jc w:val="left"/>
              <w:textAlignment w:val="center"/>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342" w:type="dxa"/>
            <w:vAlign w:val="center"/>
          </w:tcPr>
          <w:p>
            <w:pPr>
              <w:keepNext w:val="0"/>
              <w:keepLines w:val="0"/>
              <w:widowControl/>
              <w:suppressLineNumbers w:val="0"/>
              <w:ind w:left="0" w:leftChars="0" w:right="0" w:rightChars="0"/>
              <w:jc w:val="left"/>
              <w:textAlignment w:val="center"/>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1" w:lineRule="exact"/>
              <w:ind w:left="107"/>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342" w:type="dxa"/>
          </w:tcPr>
          <w:p>
            <w:pPr>
              <w:pStyle w:val="10"/>
              <w:spacing w:before="101"/>
              <w:ind w:left="728" w:right="723"/>
              <w:jc w:val="center"/>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8" w:line="252" w:lineRule="exact"/>
              <w:ind w:left="107"/>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2" w:lineRule="exact"/>
              <w:ind w:left="508"/>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7" w:line="253" w:lineRule="exact"/>
              <w:ind w:left="1108"/>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tcPr>
          <w:p>
            <w:pPr>
              <w:pStyle w:val="10"/>
              <w:spacing w:before="89" w:line="251" w:lineRule="exact"/>
              <w:ind w:left="1108"/>
              <w:rPr>
                <w:rFonts w:hint="eastAsia" w:ascii="仿宋" w:hAnsi="仿宋" w:eastAsia="仿宋" w:cs="仿宋"/>
                <w:color w:val="auto"/>
                <w:sz w:val="20"/>
              </w:rPr>
            </w:pPr>
          </w:p>
        </w:tc>
        <w:tc>
          <w:tcPr>
            <w:tcW w:w="2031" w:type="dxa"/>
            <w:gridSpan w:val="2"/>
          </w:tcPr>
          <w:p>
            <w:pPr>
              <w:pStyle w:val="10"/>
              <w:rPr>
                <w:rFonts w:hint="eastAsia" w:ascii="仿宋" w:hAnsi="仿宋" w:eastAsia="仿宋" w:cs="仿宋"/>
                <w:color w:val="auto"/>
                <w:sz w:val="20"/>
              </w:rPr>
            </w:pP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3342" w:type="dxa"/>
          </w:tcPr>
          <w:p>
            <w:pPr>
              <w:pStyle w:val="10"/>
              <w:spacing w:before="88" w:line="251" w:lineRule="exact"/>
              <w:ind w:left="107"/>
              <w:rPr>
                <w:rFonts w:hint="eastAsia" w:ascii="仿宋" w:hAnsi="仿宋" w:eastAsia="仿宋" w:cs="仿宋"/>
                <w:color w:val="auto"/>
                <w:sz w:val="20"/>
              </w:rPr>
            </w:pPr>
          </w:p>
        </w:tc>
        <w:tc>
          <w:tcPr>
            <w:tcW w:w="2031" w:type="dxa"/>
            <w:gridSpan w:val="2"/>
          </w:tcPr>
          <w:p>
            <w:pPr>
              <w:pStyle w:val="10"/>
              <w:spacing w:before="102"/>
              <w:ind w:left="698" w:right="690"/>
              <w:jc w:val="center"/>
              <w:rPr>
                <w:rFonts w:hint="eastAsia" w:ascii="仿宋" w:hAnsi="仿宋" w:eastAsia="仿宋" w:cs="仿宋"/>
                <w:color w:val="auto"/>
                <w:sz w:val="20"/>
              </w:rPr>
            </w:pPr>
            <w:r>
              <w:rPr>
                <w:rFonts w:hint="eastAsia" w:ascii="仿宋" w:hAnsi="仿宋" w:eastAsia="仿宋" w:cs="仿宋"/>
                <w:color w:val="auto"/>
                <w:sz w:val="20"/>
              </w:rPr>
              <w:t>——</w:t>
            </w: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3342" w:type="dxa"/>
          </w:tcPr>
          <w:p>
            <w:pPr>
              <w:pStyle w:val="10"/>
              <w:spacing w:before="88" w:line="252" w:lineRule="exact"/>
              <w:ind w:left="107"/>
              <w:rPr>
                <w:rFonts w:hint="eastAsia" w:ascii="仿宋" w:hAnsi="仿宋" w:eastAsia="仿宋" w:cs="仿宋"/>
                <w:color w:val="auto"/>
                <w:sz w:val="20"/>
              </w:rPr>
            </w:pPr>
          </w:p>
        </w:tc>
        <w:tc>
          <w:tcPr>
            <w:tcW w:w="2031" w:type="dxa"/>
            <w:gridSpan w:val="2"/>
          </w:tcPr>
          <w:p>
            <w:pPr>
              <w:pStyle w:val="10"/>
              <w:spacing w:before="101"/>
              <w:ind w:left="698" w:right="690"/>
              <w:jc w:val="center"/>
              <w:rPr>
                <w:rFonts w:hint="eastAsia" w:ascii="仿宋" w:hAnsi="仿宋" w:eastAsia="仿宋" w:cs="仿宋"/>
                <w:color w:val="auto"/>
                <w:sz w:val="20"/>
              </w:rPr>
            </w:pPr>
            <w:r>
              <w:rPr>
                <w:rFonts w:hint="eastAsia" w:ascii="仿宋" w:hAnsi="仿宋" w:eastAsia="仿宋" w:cs="仿宋"/>
                <w:color w:val="auto"/>
                <w:sz w:val="20"/>
              </w:rPr>
              <w:t>——</w:t>
            </w:r>
          </w:p>
        </w:tc>
        <w:tc>
          <w:tcPr>
            <w:tcW w:w="2232" w:type="dxa"/>
            <w:gridSpan w:val="2"/>
          </w:tcPr>
          <w:p>
            <w:pPr>
              <w:pStyle w:val="10"/>
              <w:rPr>
                <w:rFonts w:hint="eastAsia" w:ascii="仿宋" w:hAnsi="仿宋" w:eastAsia="仿宋" w:cs="仿宋"/>
                <w:color w:val="auto"/>
                <w:sz w:val="20"/>
              </w:rPr>
            </w:pPr>
          </w:p>
        </w:tc>
        <w:tc>
          <w:tcPr>
            <w:tcW w:w="2034" w:type="dxa"/>
            <w:gridSpan w:val="2"/>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2" w:hRule="atLeast"/>
          <w:jc w:val="center"/>
        </w:trPr>
        <w:tc>
          <w:tcPr>
            <w:tcW w:w="3342" w:type="dxa"/>
            <w:vMerge w:val="restart"/>
          </w:tcPr>
          <w:p>
            <w:pPr>
              <w:pStyle w:val="10"/>
              <w:spacing w:before="104"/>
              <w:ind w:left="730" w:right="723"/>
              <w:jc w:val="center"/>
              <w:rPr>
                <w:rFonts w:hint="eastAsia" w:ascii="仿宋" w:hAnsi="仿宋" w:eastAsia="仿宋" w:cs="仿宋"/>
                <w:color w:val="auto"/>
                <w:sz w:val="20"/>
              </w:rPr>
            </w:pPr>
          </w:p>
        </w:tc>
        <w:tc>
          <w:tcPr>
            <w:tcW w:w="1184" w:type="dxa"/>
          </w:tcPr>
          <w:p>
            <w:pPr>
              <w:pStyle w:val="10"/>
              <w:spacing w:before="6"/>
              <w:rPr>
                <w:rFonts w:hint="eastAsia" w:ascii="仿宋" w:hAnsi="仿宋" w:eastAsia="仿宋" w:cs="仿宋"/>
                <w:color w:val="auto"/>
                <w:sz w:val="15"/>
              </w:rPr>
            </w:pPr>
          </w:p>
          <w:p>
            <w:pPr>
              <w:pStyle w:val="10"/>
              <w:spacing w:before="1"/>
              <w:ind w:right="185"/>
              <w:jc w:val="right"/>
              <w:rPr>
                <w:rFonts w:hint="eastAsia" w:ascii="仿宋" w:hAnsi="仿宋" w:eastAsia="仿宋" w:cs="仿宋"/>
                <w:color w:val="auto"/>
                <w:sz w:val="20"/>
              </w:rPr>
            </w:pPr>
            <w:r>
              <w:rPr>
                <w:rFonts w:hint="eastAsia" w:ascii="仿宋" w:hAnsi="仿宋" w:eastAsia="仿宋" w:cs="仿宋"/>
                <w:color w:val="auto"/>
                <w:sz w:val="20"/>
              </w:rPr>
              <w:t>批复规模</w:t>
            </w:r>
          </w:p>
          <w:p>
            <w:pPr>
              <w:pStyle w:val="10"/>
              <w:spacing w:before="103"/>
              <w:ind w:right="283"/>
              <w:jc w:val="right"/>
              <w:rPr>
                <w:rFonts w:hint="eastAsia" w:ascii="仿宋" w:hAnsi="仿宋" w:eastAsia="仿宋" w:cs="仿宋"/>
                <w:color w:val="auto"/>
                <w:sz w:val="20"/>
              </w:rPr>
            </w:pPr>
            <w:r>
              <w:rPr>
                <w:rFonts w:hint="eastAsia" w:ascii="仿宋" w:hAnsi="仿宋" w:eastAsia="仿宋" w:cs="仿宋"/>
                <w:color w:val="auto"/>
                <w:sz w:val="20"/>
              </w:rPr>
              <w:t>（㎡）</w:t>
            </w:r>
          </w:p>
        </w:tc>
        <w:tc>
          <w:tcPr>
            <w:tcW w:w="847" w:type="dxa"/>
          </w:tcPr>
          <w:p>
            <w:pPr>
              <w:pStyle w:val="10"/>
              <w:spacing w:before="6"/>
              <w:rPr>
                <w:rFonts w:hint="eastAsia" w:ascii="仿宋" w:hAnsi="仿宋" w:eastAsia="仿宋" w:cs="仿宋"/>
                <w:color w:val="auto"/>
                <w:sz w:val="15"/>
              </w:rPr>
            </w:pPr>
          </w:p>
          <w:p>
            <w:pPr>
              <w:pStyle w:val="10"/>
              <w:spacing w:before="1" w:line="336" w:lineRule="auto"/>
              <w:ind w:left="107" w:right="-15" w:firstLine="16"/>
              <w:rPr>
                <w:rFonts w:hint="eastAsia" w:ascii="仿宋" w:hAnsi="仿宋" w:eastAsia="仿宋" w:cs="仿宋"/>
                <w:color w:val="auto"/>
                <w:sz w:val="20"/>
              </w:rPr>
            </w:pPr>
            <w:r>
              <w:rPr>
                <w:rFonts w:hint="eastAsia" w:ascii="仿宋" w:hAnsi="仿宋" w:eastAsia="仿宋" w:cs="仿宋"/>
                <w:color w:val="auto"/>
                <w:sz w:val="20"/>
              </w:rPr>
              <w:t>实际规</w:t>
            </w:r>
            <w:r>
              <w:rPr>
                <w:rFonts w:hint="eastAsia" w:ascii="仿宋" w:hAnsi="仿宋" w:eastAsia="仿宋" w:cs="仿宋"/>
                <w:color w:val="auto"/>
                <w:spacing w:val="-67"/>
                <w:sz w:val="20"/>
              </w:rPr>
              <w:t>模</w:t>
            </w:r>
            <w:r>
              <w:rPr>
                <w:rFonts w:hint="eastAsia" w:ascii="仿宋" w:hAnsi="仿宋" w:eastAsia="仿宋" w:cs="仿宋"/>
                <w:color w:val="auto"/>
                <w:sz w:val="20"/>
              </w:rPr>
              <w:t>（㎡）</w:t>
            </w:r>
          </w:p>
        </w:tc>
        <w:tc>
          <w:tcPr>
            <w:tcW w:w="1125" w:type="dxa"/>
          </w:tcPr>
          <w:p>
            <w:pPr>
              <w:pStyle w:val="10"/>
              <w:spacing w:before="6"/>
              <w:rPr>
                <w:rFonts w:hint="eastAsia" w:ascii="仿宋" w:hAnsi="仿宋" w:eastAsia="仿宋" w:cs="仿宋"/>
                <w:color w:val="auto"/>
                <w:sz w:val="15"/>
              </w:rPr>
            </w:pPr>
          </w:p>
          <w:p>
            <w:pPr>
              <w:pStyle w:val="10"/>
              <w:spacing w:before="1" w:line="336" w:lineRule="auto"/>
              <w:ind w:left="463" w:right="154" w:hanging="300"/>
              <w:rPr>
                <w:rFonts w:hint="eastAsia" w:ascii="仿宋" w:hAnsi="仿宋" w:eastAsia="仿宋" w:cs="仿宋"/>
                <w:color w:val="auto"/>
                <w:sz w:val="20"/>
              </w:rPr>
            </w:pPr>
            <w:r>
              <w:rPr>
                <w:rFonts w:hint="eastAsia" w:ascii="仿宋" w:hAnsi="仿宋" w:eastAsia="仿宋" w:cs="仿宋"/>
                <w:color w:val="auto"/>
                <w:sz w:val="20"/>
              </w:rPr>
              <w:t>规模控制率</w:t>
            </w:r>
          </w:p>
        </w:tc>
        <w:tc>
          <w:tcPr>
            <w:tcW w:w="1107" w:type="dxa"/>
          </w:tcPr>
          <w:p>
            <w:pPr>
              <w:pStyle w:val="10"/>
              <w:spacing w:before="6"/>
              <w:rPr>
                <w:rFonts w:hint="eastAsia" w:ascii="仿宋" w:hAnsi="仿宋" w:eastAsia="仿宋" w:cs="仿宋"/>
                <w:color w:val="auto"/>
                <w:sz w:val="15"/>
              </w:rPr>
            </w:pPr>
          </w:p>
          <w:p>
            <w:pPr>
              <w:pStyle w:val="10"/>
              <w:spacing w:before="1"/>
              <w:ind w:left="155"/>
              <w:rPr>
                <w:rFonts w:hint="eastAsia" w:ascii="仿宋" w:hAnsi="仿宋" w:eastAsia="仿宋" w:cs="仿宋"/>
                <w:color w:val="auto"/>
                <w:sz w:val="20"/>
              </w:rPr>
            </w:pPr>
            <w:r>
              <w:rPr>
                <w:rFonts w:hint="eastAsia" w:ascii="仿宋" w:hAnsi="仿宋" w:eastAsia="仿宋" w:cs="仿宋"/>
                <w:color w:val="auto"/>
                <w:w w:val="95"/>
                <w:sz w:val="20"/>
              </w:rPr>
              <w:t>预算投资</w:t>
            </w:r>
          </w:p>
          <w:p>
            <w:pPr>
              <w:pStyle w:val="10"/>
              <w:spacing w:before="103"/>
              <w:ind w:left="155"/>
              <w:rPr>
                <w:rFonts w:hint="eastAsia" w:ascii="仿宋" w:hAnsi="仿宋" w:eastAsia="仿宋" w:cs="仿宋"/>
                <w:color w:val="auto"/>
                <w:sz w:val="20"/>
              </w:rPr>
            </w:pPr>
            <w:r>
              <w:rPr>
                <w:rFonts w:hint="eastAsia" w:ascii="仿宋" w:hAnsi="仿宋" w:eastAsia="仿宋" w:cs="仿宋"/>
                <w:color w:val="auto"/>
                <w:w w:val="95"/>
                <w:sz w:val="20"/>
              </w:rPr>
              <w:t>（万元）</w:t>
            </w:r>
          </w:p>
        </w:tc>
        <w:tc>
          <w:tcPr>
            <w:tcW w:w="1077" w:type="dxa"/>
          </w:tcPr>
          <w:p>
            <w:pPr>
              <w:pStyle w:val="10"/>
              <w:spacing w:before="6"/>
              <w:rPr>
                <w:rFonts w:hint="eastAsia" w:ascii="仿宋" w:hAnsi="仿宋" w:eastAsia="仿宋" w:cs="仿宋"/>
                <w:color w:val="auto"/>
                <w:sz w:val="15"/>
              </w:rPr>
            </w:pPr>
          </w:p>
          <w:p>
            <w:pPr>
              <w:pStyle w:val="10"/>
              <w:spacing w:before="1"/>
              <w:ind w:left="138"/>
              <w:rPr>
                <w:rFonts w:hint="eastAsia" w:ascii="仿宋" w:hAnsi="仿宋" w:eastAsia="仿宋" w:cs="仿宋"/>
                <w:color w:val="auto"/>
                <w:sz w:val="20"/>
              </w:rPr>
            </w:pPr>
            <w:r>
              <w:rPr>
                <w:rFonts w:hint="eastAsia" w:ascii="仿宋" w:hAnsi="仿宋" w:eastAsia="仿宋" w:cs="仿宋"/>
                <w:color w:val="auto"/>
                <w:w w:val="95"/>
                <w:sz w:val="20"/>
              </w:rPr>
              <w:t>实际投资</w:t>
            </w:r>
          </w:p>
          <w:p>
            <w:pPr>
              <w:pStyle w:val="10"/>
              <w:spacing w:before="103"/>
              <w:ind w:left="138"/>
              <w:rPr>
                <w:rFonts w:hint="eastAsia" w:ascii="仿宋" w:hAnsi="仿宋" w:eastAsia="仿宋" w:cs="仿宋"/>
                <w:color w:val="auto"/>
                <w:sz w:val="20"/>
              </w:rPr>
            </w:pPr>
            <w:r>
              <w:rPr>
                <w:rFonts w:hint="eastAsia" w:ascii="仿宋" w:hAnsi="仿宋" w:eastAsia="仿宋" w:cs="仿宋"/>
                <w:color w:val="auto"/>
                <w:w w:val="95"/>
                <w:sz w:val="20"/>
              </w:rPr>
              <w:t>（万元）</w:t>
            </w:r>
          </w:p>
        </w:tc>
        <w:tc>
          <w:tcPr>
            <w:tcW w:w="957" w:type="dxa"/>
          </w:tcPr>
          <w:p>
            <w:pPr>
              <w:pStyle w:val="10"/>
              <w:spacing w:line="360" w:lineRule="exact"/>
              <w:ind w:left="178" w:right="169"/>
              <w:jc w:val="center"/>
              <w:rPr>
                <w:rFonts w:hint="eastAsia" w:ascii="仿宋" w:hAnsi="仿宋" w:eastAsia="仿宋" w:cs="仿宋"/>
                <w:color w:val="auto"/>
                <w:sz w:val="20"/>
              </w:rPr>
            </w:pPr>
            <w:r>
              <w:rPr>
                <w:rFonts w:hint="eastAsia" w:ascii="仿宋" w:hAnsi="仿宋" w:eastAsia="仿宋" w:cs="仿宋"/>
                <w:color w:val="auto"/>
                <w:sz w:val="20"/>
              </w:rPr>
              <w:t>投资概算控制率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3342" w:type="dxa"/>
            <w:vMerge w:val="continue"/>
            <w:tcBorders>
              <w:top w:val="nil"/>
            </w:tcBorders>
          </w:tcPr>
          <w:p>
            <w:pPr>
              <w:rPr>
                <w:rFonts w:hint="eastAsia" w:ascii="仿宋" w:hAnsi="仿宋" w:eastAsia="仿宋" w:cs="仿宋"/>
                <w:color w:val="auto"/>
                <w:sz w:val="2"/>
                <w:szCs w:val="2"/>
              </w:rPr>
            </w:pPr>
          </w:p>
        </w:tc>
        <w:tc>
          <w:tcPr>
            <w:tcW w:w="1184" w:type="dxa"/>
          </w:tcPr>
          <w:p>
            <w:pPr>
              <w:pStyle w:val="10"/>
              <w:rPr>
                <w:rFonts w:hint="eastAsia" w:ascii="仿宋" w:hAnsi="仿宋" w:eastAsia="仿宋" w:cs="仿宋"/>
                <w:color w:val="auto"/>
                <w:sz w:val="20"/>
              </w:rPr>
            </w:pPr>
          </w:p>
        </w:tc>
        <w:tc>
          <w:tcPr>
            <w:tcW w:w="847" w:type="dxa"/>
          </w:tcPr>
          <w:p>
            <w:pPr>
              <w:pStyle w:val="10"/>
              <w:rPr>
                <w:rFonts w:hint="eastAsia" w:ascii="仿宋" w:hAnsi="仿宋" w:eastAsia="仿宋" w:cs="仿宋"/>
                <w:color w:val="auto"/>
                <w:sz w:val="20"/>
              </w:rPr>
            </w:pPr>
          </w:p>
        </w:tc>
        <w:tc>
          <w:tcPr>
            <w:tcW w:w="1125" w:type="dxa"/>
          </w:tcPr>
          <w:p>
            <w:pPr>
              <w:pStyle w:val="10"/>
              <w:rPr>
                <w:rFonts w:hint="eastAsia" w:ascii="仿宋" w:hAnsi="仿宋" w:eastAsia="仿宋" w:cs="仿宋"/>
                <w:color w:val="auto"/>
                <w:sz w:val="20"/>
              </w:rPr>
            </w:pPr>
          </w:p>
        </w:tc>
        <w:tc>
          <w:tcPr>
            <w:tcW w:w="1107" w:type="dxa"/>
          </w:tcPr>
          <w:p>
            <w:pPr>
              <w:pStyle w:val="10"/>
              <w:rPr>
                <w:rFonts w:hint="eastAsia" w:ascii="仿宋" w:hAnsi="仿宋" w:eastAsia="仿宋" w:cs="仿宋"/>
                <w:color w:val="auto"/>
                <w:sz w:val="20"/>
              </w:rPr>
            </w:pPr>
          </w:p>
        </w:tc>
        <w:tc>
          <w:tcPr>
            <w:tcW w:w="1077" w:type="dxa"/>
          </w:tcPr>
          <w:p>
            <w:pPr>
              <w:pStyle w:val="10"/>
              <w:rPr>
                <w:rFonts w:hint="eastAsia" w:ascii="仿宋" w:hAnsi="仿宋" w:eastAsia="仿宋" w:cs="仿宋"/>
                <w:color w:val="auto"/>
                <w:sz w:val="20"/>
              </w:rPr>
            </w:pPr>
          </w:p>
        </w:tc>
        <w:tc>
          <w:tcPr>
            <w:tcW w:w="957" w:type="dxa"/>
          </w:tcPr>
          <w:p>
            <w:pPr>
              <w:pStyle w:val="10"/>
              <w:rPr>
                <w:rFonts w:hint="eastAsia" w:ascii="仿宋" w:hAnsi="仿宋" w:eastAsia="仿宋" w:cs="仿宋"/>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3342" w:type="dxa"/>
          </w:tcPr>
          <w:p>
            <w:pPr>
              <w:pStyle w:val="10"/>
              <w:spacing w:before="87" w:line="253" w:lineRule="exact"/>
              <w:ind w:left="875"/>
              <w:rPr>
                <w:rFonts w:hint="eastAsia" w:ascii="仿宋" w:hAnsi="仿宋" w:eastAsia="仿宋" w:cs="仿宋"/>
                <w:color w:val="auto"/>
                <w:sz w:val="20"/>
              </w:rPr>
            </w:pPr>
          </w:p>
        </w:tc>
        <w:tc>
          <w:tcPr>
            <w:tcW w:w="6297" w:type="dxa"/>
            <w:gridSpan w:val="6"/>
          </w:tcPr>
          <w:p>
            <w:pPr>
              <w:pStyle w:val="10"/>
              <w:rPr>
                <w:rFonts w:hint="eastAsia" w:ascii="仿宋" w:hAnsi="仿宋" w:eastAsia="仿宋" w:cs="仿宋"/>
                <w:color w:val="auto"/>
                <w:sz w:val="20"/>
              </w:rPr>
            </w:pPr>
          </w:p>
        </w:tc>
      </w:tr>
    </w:tbl>
    <w:p>
      <w:pPr>
        <w:spacing w:before="101" w:line="340" w:lineRule="auto"/>
        <w:ind w:left="0" w:leftChars="-200" w:right="-506" w:rightChars="0" w:hanging="440" w:firstLineChars="0"/>
        <w:jc w:val="left"/>
        <w:rPr>
          <w:rFonts w:hint="eastAsia" w:ascii="仿宋" w:hAnsi="仿宋" w:eastAsia="仿宋" w:cs="仿宋"/>
          <w:color w:val="auto"/>
          <w:sz w:val="22"/>
        </w:rPr>
      </w:pPr>
      <w:r>
        <w:rPr>
          <w:rFonts w:hint="eastAsia" w:ascii="仿宋" w:hAnsi="仿宋" w:eastAsia="仿宋" w:cs="仿宋"/>
          <w:color w:val="auto"/>
          <w:sz w:val="22"/>
        </w:rPr>
        <w:t>说明：“项目支出”需要填报基本支出以外的所有项目支出情况，“公用经费”填报基本支出中的一般商品和服务支出。</w:t>
      </w:r>
    </w:p>
    <w:p>
      <w:pPr>
        <w:tabs>
          <w:tab w:val="left" w:pos="2547"/>
          <w:tab w:val="left" w:pos="4748"/>
          <w:tab w:val="left" w:pos="7167"/>
        </w:tabs>
        <w:spacing w:before="0"/>
        <w:ind w:right="0"/>
        <w:jc w:val="left"/>
        <w:rPr>
          <w:rFonts w:hint="eastAsia" w:ascii="仿宋" w:hAnsi="仿宋" w:eastAsia="仿宋" w:cs="仿宋"/>
          <w:color w:val="auto"/>
          <w:sz w:val="22"/>
        </w:rPr>
      </w:pPr>
    </w:p>
    <w:p>
      <w:pPr>
        <w:ind w:left="0" w:leftChars="0" w:firstLine="0" w:firstLineChars="0"/>
        <w:rPr>
          <w:rFonts w:hint="default"/>
          <w:sz w:val="20"/>
          <w:szCs w:val="20"/>
          <w:lang w:val="en-US"/>
        </w:rPr>
      </w:pPr>
      <w:r>
        <w:rPr>
          <w:rFonts w:hint="eastAsia" w:ascii="仿宋" w:hAnsi="仿宋" w:eastAsia="仿宋" w:cs="仿宋"/>
          <w:color w:val="auto"/>
          <w:sz w:val="20"/>
          <w:szCs w:val="20"/>
        </w:rPr>
        <w:t>填</w:t>
      </w:r>
      <w:r>
        <w:rPr>
          <w:rFonts w:hint="eastAsia" w:ascii="仿宋" w:hAnsi="仿宋" w:eastAsia="仿宋" w:cs="仿宋"/>
          <w:color w:val="auto"/>
          <w:spacing w:val="-3"/>
          <w:sz w:val="20"/>
          <w:szCs w:val="20"/>
        </w:rPr>
        <w:t>表</w:t>
      </w:r>
      <w:r>
        <w:rPr>
          <w:rFonts w:hint="eastAsia" w:ascii="仿宋" w:hAnsi="仿宋" w:eastAsia="仿宋" w:cs="仿宋"/>
          <w:color w:val="auto"/>
          <w:sz w:val="20"/>
          <w:szCs w:val="20"/>
        </w:rPr>
        <w:t>人</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 xml:space="preserve">翁晴 </w:t>
      </w:r>
      <w:r>
        <w:rPr>
          <w:rFonts w:hint="eastAsia" w:ascii="仿宋" w:hAnsi="仿宋" w:eastAsia="仿宋" w:cs="仿宋"/>
          <w:color w:val="auto"/>
          <w:sz w:val="20"/>
          <w:szCs w:val="20"/>
        </w:rPr>
        <w:t>填</w:t>
      </w:r>
      <w:r>
        <w:rPr>
          <w:rFonts w:hint="eastAsia" w:ascii="仿宋" w:hAnsi="仿宋" w:eastAsia="仿宋" w:cs="仿宋"/>
          <w:color w:val="auto"/>
          <w:spacing w:val="-3"/>
          <w:sz w:val="20"/>
          <w:szCs w:val="20"/>
        </w:rPr>
        <w:t>报</w:t>
      </w:r>
      <w:r>
        <w:rPr>
          <w:rFonts w:hint="eastAsia" w:ascii="仿宋" w:hAnsi="仿宋" w:eastAsia="仿宋" w:cs="仿宋"/>
          <w:color w:val="auto"/>
          <w:sz w:val="20"/>
          <w:szCs w:val="20"/>
        </w:rPr>
        <w:t>日期</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 xml:space="preserve">2025年4月14号 </w:t>
      </w:r>
      <w:r>
        <w:rPr>
          <w:rFonts w:hint="eastAsia" w:ascii="仿宋" w:hAnsi="仿宋" w:eastAsia="仿宋" w:cs="仿宋"/>
          <w:color w:val="auto"/>
          <w:sz w:val="20"/>
          <w:szCs w:val="20"/>
        </w:rPr>
        <w:t>联</w:t>
      </w:r>
      <w:r>
        <w:rPr>
          <w:rFonts w:hint="eastAsia" w:ascii="仿宋" w:hAnsi="仿宋" w:eastAsia="仿宋" w:cs="仿宋"/>
          <w:color w:val="auto"/>
          <w:spacing w:val="-3"/>
          <w:sz w:val="20"/>
          <w:szCs w:val="20"/>
        </w:rPr>
        <w:t>系</w:t>
      </w:r>
      <w:r>
        <w:rPr>
          <w:rFonts w:hint="eastAsia" w:ascii="仿宋" w:hAnsi="仿宋" w:eastAsia="仿宋" w:cs="仿宋"/>
          <w:color w:val="auto"/>
          <w:sz w:val="20"/>
          <w:szCs w:val="20"/>
        </w:rPr>
        <w:t>电话</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 xml:space="preserve">17872007119 </w:t>
      </w:r>
      <w:r>
        <w:rPr>
          <w:rFonts w:hint="eastAsia" w:ascii="仿宋" w:hAnsi="仿宋" w:eastAsia="仿宋" w:cs="仿宋"/>
          <w:color w:val="auto"/>
          <w:sz w:val="20"/>
          <w:szCs w:val="20"/>
        </w:rPr>
        <w:t>单</w:t>
      </w:r>
      <w:r>
        <w:rPr>
          <w:rFonts w:hint="eastAsia" w:ascii="仿宋" w:hAnsi="仿宋" w:eastAsia="仿宋" w:cs="仿宋"/>
          <w:color w:val="auto"/>
          <w:spacing w:val="-3"/>
          <w:sz w:val="20"/>
          <w:szCs w:val="20"/>
        </w:rPr>
        <w:t>位</w:t>
      </w:r>
      <w:r>
        <w:rPr>
          <w:rFonts w:hint="eastAsia" w:ascii="仿宋" w:hAnsi="仿宋" w:eastAsia="仿宋" w:cs="仿宋"/>
          <w:color w:val="auto"/>
          <w:sz w:val="20"/>
          <w:szCs w:val="20"/>
        </w:rPr>
        <w:t>负责</w:t>
      </w:r>
      <w:r>
        <w:rPr>
          <w:rFonts w:hint="eastAsia" w:ascii="仿宋" w:hAnsi="仿宋" w:eastAsia="仿宋" w:cs="仿宋"/>
          <w:color w:val="auto"/>
          <w:spacing w:val="-3"/>
          <w:sz w:val="20"/>
          <w:szCs w:val="20"/>
        </w:rPr>
        <w:t>人</w:t>
      </w:r>
      <w:r>
        <w:rPr>
          <w:rFonts w:hint="eastAsia" w:ascii="仿宋" w:hAnsi="仿宋" w:eastAsia="仿宋" w:cs="仿宋"/>
          <w:color w:val="auto"/>
          <w:sz w:val="20"/>
          <w:szCs w:val="20"/>
        </w:rPr>
        <w:t>签字</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彭慧灵</w:t>
      </w:r>
    </w:p>
    <w:p>
      <w:pPr>
        <w:pStyle w:val="2"/>
        <w:rPr>
          <w:rFonts w:hint="eastAsia" w:eastAsia="宋体"/>
          <w:lang w:val="en-US" w:eastAsia="zh-CN"/>
        </w:rPr>
      </w:pPr>
      <w:r>
        <w:rPr>
          <w:rFonts w:hint="eastAsia"/>
          <w:lang w:val="en-US" w:eastAsia="zh-CN"/>
        </w:rPr>
        <w:t xml:space="preserve"> </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Arial"/>
    <w:panose1 w:val="00000000000000000000"/>
    <w:charset w:val="01"/>
    <w:family w:val="swiss"/>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Microsoft YaHei UI"/>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1CC59"/>
    <w:multiLevelType w:val="singleLevel"/>
    <w:tmpl w:val="0441CC59"/>
    <w:lvl w:ilvl="0" w:tentative="0">
      <w:start w:val="1"/>
      <w:numFmt w:val="decimal"/>
      <w:suff w:val="nothing"/>
      <w:lvlText w:val="%1、"/>
      <w:lvlJc w:val="left"/>
      <w:pPr>
        <w:ind w:left="70"/>
      </w:pPr>
    </w:lvl>
  </w:abstractNum>
  <w:abstractNum w:abstractNumId="1">
    <w:nsid w:val="2E24AC78"/>
    <w:multiLevelType w:val="singleLevel"/>
    <w:tmpl w:val="2E24AC78"/>
    <w:lvl w:ilvl="0" w:tentative="0">
      <w:start w:val="3"/>
      <w:numFmt w:val="chineseCounting"/>
      <w:suff w:val="nothing"/>
      <w:lvlText w:val="（%1）"/>
      <w:lvlJc w:val="left"/>
      <w:rPr>
        <w:rFonts w:hint="eastAsia"/>
      </w:rPr>
    </w:lvl>
  </w:abstractNum>
  <w:abstractNum w:abstractNumId="2">
    <w:nsid w:val="54805535"/>
    <w:multiLevelType w:val="singleLevel"/>
    <w:tmpl w:val="54805535"/>
    <w:lvl w:ilvl="0" w:tentative="0">
      <w:start w:val="1"/>
      <w:numFmt w:val="chineseCounting"/>
      <w:suff w:val="nothing"/>
      <w:lvlText w:val="（%1）"/>
      <w:lvlJc w:val="left"/>
      <w:rPr>
        <w:rFonts w:hint="eastAsia"/>
      </w:rPr>
    </w:lvl>
  </w:abstractNum>
  <w:abstractNum w:abstractNumId="3">
    <w:nsid w:val="719DEBA5"/>
    <w:multiLevelType w:val="singleLevel"/>
    <w:tmpl w:val="719DEBA5"/>
    <w:lvl w:ilvl="0" w:tentative="0">
      <w:start w:val="10"/>
      <w:numFmt w:val="chineseCounting"/>
      <w:suff w:val="nothing"/>
      <w:lvlText w:val="%1、"/>
      <w:lvlJc w:val="left"/>
      <w:rPr>
        <w:rFonts w:hint="eastAsia"/>
      </w:rPr>
    </w:lvl>
  </w:abstractNum>
  <w:abstractNum w:abstractNumId="4">
    <w:nsid w:val="724915AF"/>
    <w:multiLevelType w:val="singleLevel"/>
    <w:tmpl w:val="724915AF"/>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wYTMxYzZjOGJmYmRlMDQ2ZjkwNzEwM2NlOTE1MGYifQ=="/>
  </w:docVars>
  <w:rsids>
    <w:rsidRoot w:val="5EC24E23"/>
    <w:rsid w:val="013A0D58"/>
    <w:rsid w:val="040102EC"/>
    <w:rsid w:val="04965BFE"/>
    <w:rsid w:val="0A1C0016"/>
    <w:rsid w:val="0A3215FF"/>
    <w:rsid w:val="0F661576"/>
    <w:rsid w:val="118B7322"/>
    <w:rsid w:val="1246429B"/>
    <w:rsid w:val="15761C6C"/>
    <w:rsid w:val="16826672"/>
    <w:rsid w:val="1D5D006A"/>
    <w:rsid w:val="20BB582E"/>
    <w:rsid w:val="2E0035A6"/>
    <w:rsid w:val="2F0C0447"/>
    <w:rsid w:val="307611BD"/>
    <w:rsid w:val="32A33C16"/>
    <w:rsid w:val="33844A98"/>
    <w:rsid w:val="338D4D7A"/>
    <w:rsid w:val="360E0429"/>
    <w:rsid w:val="3AB962FE"/>
    <w:rsid w:val="3B887FC4"/>
    <w:rsid w:val="3DD77351"/>
    <w:rsid w:val="41356808"/>
    <w:rsid w:val="42445E75"/>
    <w:rsid w:val="46F4261E"/>
    <w:rsid w:val="4AB65E48"/>
    <w:rsid w:val="4AD54CCC"/>
    <w:rsid w:val="4F237E07"/>
    <w:rsid w:val="500D4CCA"/>
    <w:rsid w:val="5EC24E23"/>
    <w:rsid w:val="63F04297"/>
    <w:rsid w:val="68482AA4"/>
    <w:rsid w:val="6C8C5F63"/>
    <w:rsid w:val="712F47B0"/>
    <w:rsid w:val="72E032D6"/>
    <w:rsid w:val="747D7997"/>
    <w:rsid w:val="769E19B7"/>
    <w:rsid w:val="77ED4FC1"/>
    <w:rsid w:val="7E65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qFormat/>
    <w:uiPriority w:val="0"/>
    <w:pPr>
      <w:spacing w:line="620" w:lineRule="exact"/>
      <w:ind w:firstLine="0" w:firstLineChars="0"/>
      <w:jc w:val="center"/>
      <w:outlineLvl w:val="0"/>
    </w:pPr>
    <w:rPr>
      <w:rFonts w:ascii="仿宋" w:hAnsi="仿宋" w:eastAsia="方正小标宋简体" w:cs="仿宋"/>
      <w:sz w:val="44"/>
    </w:rPr>
  </w:style>
  <w:style w:type="paragraph" w:styleId="4">
    <w:name w:val="heading 2"/>
    <w:basedOn w:val="1"/>
    <w:qFormat/>
    <w:uiPriority w:val="1"/>
    <w:pPr>
      <w:ind w:left="-22"/>
      <w:outlineLvl w:val="2"/>
    </w:pPr>
    <w:rPr>
      <w:rFonts w:ascii="Arial Unicode MS" w:hAnsi="Arial Unicode MS" w:eastAsia="Arial Unicode MS" w:cs="Arial Unicode MS"/>
      <w:sz w:val="36"/>
      <w:szCs w:val="36"/>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spacing w:line="360" w:lineRule="auto"/>
      <w:ind w:firstLine="200" w:firstLineChars="200"/>
    </w:pPr>
    <w:rPr>
      <w:rFonts w:ascii="Times New Roman" w:hAnsi="Times New Roman" w:eastAsia="宋体" w:cs="Times New Roman"/>
      <w:sz w:val="28"/>
      <w:szCs w:val="28"/>
    </w:r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2024-04-10T08:04:00Z</dcterms:created>
  <dc:creator>Administrator</dc:creator>
  <cp:lastModifiedBy>WPS_1598745915</cp:lastModifiedBy>
  <cp:lastPrinted>2025-05-08T07:37:00Z</cp:lastPrinted>
  <dcterms:modified xsi:type="dcterms:W3CDTF">2025-10-17T01:04:50Z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6401F159FE044ADAA5986B096DEC0781_13</vt:lpwstr>
  </property>
</Properties>
</file>