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0F1F2">
      <w:pPr>
        <w:pStyle w:val="4"/>
        <w:ind w:firstLine="640"/>
      </w:pPr>
      <w:r>
        <w:rPr>
          <w:rFonts w:hint="eastAsia"/>
        </w:rPr>
        <w:t>附件 5</w:t>
      </w:r>
    </w:p>
    <w:p w14:paraId="59E1D1C2">
      <w:pPr>
        <w:pStyle w:val="4"/>
        <w:ind w:firstLine="640"/>
      </w:pPr>
    </w:p>
    <w:p w14:paraId="5A16EE28">
      <w:pPr>
        <w:pStyle w:val="4"/>
        <w:ind w:firstLine="640"/>
      </w:pPr>
    </w:p>
    <w:p w14:paraId="6CB9A435">
      <w:pPr>
        <w:pStyle w:val="4"/>
        <w:ind w:firstLine="640"/>
      </w:pPr>
    </w:p>
    <w:p w14:paraId="582DD414">
      <w:pPr>
        <w:pStyle w:val="4"/>
        <w:ind w:firstLine="640"/>
      </w:pPr>
    </w:p>
    <w:p w14:paraId="126E0351">
      <w:pPr>
        <w:pStyle w:val="4"/>
        <w:ind w:firstLine="640"/>
      </w:pPr>
    </w:p>
    <w:p w14:paraId="77856AFB">
      <w:pPr>
        <w:pStyle w:val="4"/>
        <w:ind w:firstLine="640"/>
      </w:pPr>
    </w:p>
    <w:p w14:paraId="499BDAD4">
      <w:pPr>
        <w:pStyle w:val="4"/>
        <w:ind w:firstLine="640"/>
      </w:pPr>
    </w:p>
    <w:p w14:paraId="6A5F9CBC">
      <w:pPr>
        <w:pStyle w:val="4"/>
        <w:ind w:firstLine="640"/>
      </w:pPr>
    </w:p>
    <w:p w14:paraId="4069D811">
      <w:pPr>
        <w:pStyle w:val="4"/>
        <w:ind w:firstLine="640"/>
      </w:pPr>
    </w:p>
    <w:p w14:paraId="6595AF4D">
      <w:pPr>
        <w:pStyle w:val="4"/>
        <w:ind w:firstLine="640"/>
      </w:pPr>
    </w:p>
    <w:p w14:paraId="74E162B3">
      <w:pPr>
        <w:pStyle w:val="2"/>
        <w:ind w:firstLine="880"/>
      </w:pPr>
      <w:r>
        <w:rPr>
          <w:rFonts w:hint="eastAsia"/>
        </w:rPr>
        <w:t>2023 年度祁东县财政局整体支出</w:t>
      </w:r>
      <w:r>
        <w:rPr>
          <w:rFonts w:hint="eastAsia"/>
        </w:rPr>
        <w:br w:type="textWrapping"/>
      </w:r>
      <w:r>
        <w:rPr>
          <w:rFonts w:hint="eastAsia"/>
        </w:rPr>
        <w:t>绩效自评报告</w:t>
      </w:r>
    </w:p>
    <w:p w14:paraId="7F9E97A7">
      <w:pPr>
        <w:pStyle w:val="4"/>
        <w:ind w:firstLine="640"/>
      </w:pPr>
    </w:p>
    <w:p w14:paraId="7FDBCB10">
      <w:pPr>
        <w:pStyle w:val="4"/>
        <w:ind w:firstLine="640"/>
      </w:pPr>
    </w:p>
    <w:p w14:paraId="2543279F">
      <w:pPr>
        <w:pStyle w:val="4"/>
        <w:ind w:firstLine="640"/>
      </w:pPr>
    </w:p>
    <w:p w14:paraId="2537C4A5">
      <w:pPr>
        <w:pStyle w:val="4"/>
        <w:ind w:firstLine="640"/>
      </w:pPr>
    </w:p>
    <w:p w14:paraId="53D0519F">
      <w:pPr>
        <w:pStyle w:val="4"/>
        <w:ind w:firstLine="640"/>
      </w:pPr>
    </w:p>
    <w:p w14:paraId="64C1786E">
      <w:pPr>
        <w:pStyle w:val="4"/>
        <w:ind w:firstLine="640"/>
      </w:pPr>
    </w:p>
    <w:p w14:paraId="12590A92">
      <w:pPr>
        <w:pStyle w:val="4"/>
        <w:ind w:firstLine="640"/>
        <w:jc w:val="center"/>
      </w:pPr>
      <w:r>
        <w:rPr>
          <w:rFonts w:hint="eastAsia"/>
        </w:rPr>
        <w:t>部门（单位）名称</w:t>
      </w:r>
    </w:p>
    <w:p w14:paraId="4DDDD14B">
      <w:pPr>
        <w:pStyle w:val="4"/>
        <w:ind w:firstLine="640"/>
        <w:jc w:val="center"/>
      </w:pPr>
      <w:r>
        <w:rPr>
          <w:rFonts w:hint="eastAsia"/>
        </w:rPr>
        <w:t>2024年5月9日</w:t>
      </w:r>
    </w:p>
    <w:p w14:paraId="7F15C089">
      <w:pPr>
        <w:pStyle w:val="4"/>
        <w:ind w:firstLine="640"/>
      </w:pPr>
    </w:p>
    <w:p w14:paraId="40C2C1A3">
      <w:pPr>
        <w:sectPr>
          <w:headerReference r:id="rId7" w:type="first"/>
          <w:footerReference r:id="rId10" w:type="first"/>
          <w:headerReference r:id="rId5" w:type="default"/>
          <w:footerReference r:id="rId8" w:type="default"/>
          <w:headerReference r:id="rId6" w:type="even"/>
          <w:footerReference r:id="rId9" w:type="even"/>
          <w:pgSz w:w="11900" w:h="16840"/>
          <w:pgMar w:top="1440" w:right="1803" w:bottom="1440" w:left="1803" w:header="720" w:footer="992" w:gutter="0"/>
          <w:cols w:space="0" w:num="1"/>
        </w:sectPr>
      </w:pPr>
    </w:p>
    <w:p w14:paraId="2991F124">
      <w:pPr>
        <w:pStyle w:val="2"/>
        <w:ind w:firstLine="880"/>
      </w:pPr>
      <w:r>
        <w:rPr>
          <w:rFonts w:hint="eastAsia"/>
        </w:rPr>
        <w:t>2023 年度祁东县财政局整体支出</w:t>
      </w:r>
    </w:p>
    <w:p w14:paraId="12C711D6">
      <w:pPr>
        <w:pStyle w:val="2"/>
        <w:ind w:firstLine="880"/>
      </w:pPr>
      <w:r>
        <w:rPr>
          <w:rFonts w:hint="eastAsia"/>
        </w:rPr>
        <w:t>绩效自评报告</w:t>
      </w:r>
    </w:p>
    <w:p w14:paraId="2B93A05B">
      <w:pPr>
        <w:pStyle w:val="4"/>
        <w:ind w:firstLine="640"/>
      </w:pPr>
    </w:p>
    <w:p w14:paraId="73434193">
      <w:pPr>
        <w:pStyle w:val="4"/>
        <w:ind w:firstLine="640"/>
      </w:pPr>
      <w:r>
        <w:rPr>
          <w:rFonts w:hint="eastAsia"/>
        </w:rPr>
        <w:t>一、部门基本情况</w:t>
      </w:r>
    </w:p>
    <w:p w14:paraId="3820230C">
      <w:pPr>
        <w:pStyle w:val="9"/>
      </w:pPr>
      <w:r>
        <w:t>（一）主要职</w:t>
      </w:r>
      <w:r>
        <w:rPr>
          <w:rFonts w:hint="eastAsia"/>
        </w:rPr>
        <w:t>责</w:t>
      </w:r>
    </w:p>
    <w:p w14:paraId="67333E75">
      <w:pPr>
        <w:pStyle w:val="8"/>
      </w:pPr>
      <w:r>
        <w:rPr>
          <w:rFonts w:hint="eastAsia"/>
        </w:rPr>
        <w:t>1、</w:t>
      </w:r>
      <w:r>
        <w:t>根据国家有关法律、法规、规章、政策以及本县经济和社会发展战略，编制本县中长期财政计划；参与制定本县重大经济决策，研究提出运用财政、税收政策对经济进行调控和综合平衡的建议；贯彻执行国家有关财政分配政策；拟订和执行县与镇政府、街道和企业间的财政分配政策。</w:t>
      </w:r>
    </w:p>
    <w:p w14:paraId="7014C23A">
      <w:pPr>
        <w:pStyle w:val="8"/>
      </w:pPr>
      <w:r>
        <w:rPr>
          <w:rFonts w:hint="eastAsia"/>
        </w:rPr>
        <w:t>2、</w:t>
      </w:r>
      <w:r>
        <w:t>编制本县年度预决算草案并组织执行；受县政府委托，向</w:t>
      </w:r>
      <w:r>
        <w:rPr>
          <w:rFonts w:hint="eastAsia"/>
        </w:rPr>
        <w:t>县人民代表大会</w:t>
      </w:r>
      <w:r>
        <w:t>报告本县预算及其执行情况，向县</w:t>
      </w:r>
      <w:r>
        <w:rPr>
          <w:rFonts w:hint="eastAsia"/>
        </w:rPr>
        <w:t>财政局</w:t>
      </w:r>
      <w:r>
        <w:t>报告决算；管理本县各项财政收入和预算外资金、财政专户；管理有关政府性基金；确定本县财政税收收入计划。</w:t>
      </w:r>
    </w:p>
    <w:p w14:paraId="5079206A">
      <w:pPr>
        <w:pStyle w:val="8"/>
      </w:pPr>
      <w:r>
        <w:rPr>
          <w:rFonts w:hint="eastAsia"/>
        </w:rPr>
        <w:t>3、</w:t>
      </w:r>
      <w:r>
        <w:t>根据国家有关政策规定，做好本县财政非经营性国有资产、财务、会计的管理和监督工作。</w:t>
      </w:r>
    </w:p>
    <w:p w14:paraId="642EA5BC">
      <w:pPr>
        <w:pStyle w:val="8"/>
      </w:pPr>
      <w:r>
        <w:rPr>
          <w:rFonts w:hint="eastAsia"/>
        </w:rPr>
        <w:t>4、</w:t>
      </w:r>
      <w:r>
        <w:t>管理本县公共支出；制定行政、事业单位开支标准和支出政策；制定基本建设财务制度。办理和监督本县财政的经济发展支出、本县投资项目的财政拨款、企业挖潜改造和科技支出；支援农业发展支出；农业综合开发支出。</w:t>
      </w:r>
    </w:p>
    <w:p w14:paraId="6B20EF3E">
      <w:pPr>
        <w:pStyle w:val="8"/>
      </w:pPr>
      <w:r>
        <w:rPr>
          <w:rFonts w:hint="eastAsia"/>
        </w:rPr>
        <w:t>5、</w:t>
      </w:r>
      <w:r>
        <w:t>管理本县财政的社会保障支出；拟订并执行社会保障资金的财务管理制度；组织实施对社会保障资金使用的财政监督。</w:t>
      </w:r>
    </w:p>
    <w:p w14:paraId="3CCA3E49">
      <w:pPr>
        <w:pStyle w:val="8"/>
      </w:pPr>
      <w:r>
        <w:rPr>
          <w:rFonts w:hint="eastAsia"/>
        </w:rPr>
        <w:t>6、</w:t>
      </w:r>
      <w:r>
        <w:t>负责企业财务会计数据的统计、分析和报告工作；负责本县县级粮食储备资金的使用管理及粮食</w:t>
      </w:r>
      <w:r>
        <w:rPr>
          <w:rFonts w:hint="eastAsia"/>
        </w:rPr>
        <w:t>补贴</w:t>
      </w:r>
      <w:r>
        <w:t>资金的发放监管工作。</w:t>
      </w:r>
    </w:p>
    <w:p w14:paraId="2FF9F1B0">
      <w:pPr>
        <w:pStyle w:val="8"/>
      </w:pPr>
      <w:r>
        <w:rPr>
          <w:rFonts w:hint="eastAsia"/>
        </w:rPr>
        <w:t>7、</w:t>
      </w:r>
      <w:r>
        <w:t>拟订和执行本县政府采购政策；负责本县政府采购工作和党政机关、财政拨款事业单位汽车定编工作。</w:t>
      </w:r>
    </w:p>
    <w:p w14:paraId="2CD38006">
      <w:pPr>
        <w:pStyle w:val="8"/>
      </w:pPr>
      <w:r>
        <w:rPr>
          <w:rFonts w:hint="eastAsia"/>
        </w:rPr>
        <w:t>8、</w:t>
      </w:r>
      <w:r>
        <w:t>负责管理本县会计工作，监督会计规章制度的执行情况；监督检查行政事业单位及分行业的会计制度的执行情况；指导和监督注册会计师和会计师事务所的业务，指导和管理社会审计。</w:t>
      </w:r>
    </w:p>
    <w:p w14:paraId="2E99CFC7">
      <w:pPr>
        <w:pStyle w:val="8"/>
      </w:pPr>
      <w:r>
        <w:rPr>
          <w:rFonts w:hint="eastAsia"/>
        </w:rPr>
        <w:t>9、</w:t>
      </w:r>
      <w:r>
        <w:t>监督财税方针政策、法律法规的执行情况；检查反映本县财政收支管理中的重大问题；研究提出加强本县财政管理的建议。</w:t>
      </w:r>
    </w:p>
    <w:p w14:paraId="0733E9D1">
      <w:pPr>
        <w:pStyle w:val="8"/>
      </w:pPr>
      <w:r>
        <w:rPr>
          <w:rFonts w:hint="eastAsia"/>
        </w:rPr>
        <w:t>10、</w:t>
      </w:r>
      <w:r>
        <w:t>制定财政科学研究和教育规划；组织财政人才培训；负责财政信息的收集利用和财政宣传工作。</w:t>
      </w:r>
    </w:p>
    <w:p w14:paraId="4B23ACF0">
      <w:pPr>
        <w:pStyle w:val="8"/>
      </w:pPr>
      <w:r>
        <w:rPr>
          <w:rFonts w:hint="eastAsia"/>
        </w:rPr>
        <w:t>11、</w:t>
      </w:r>
      <w:r>
        <w:t>负责对镇、街道、地区办事处财政的业务指导。</w:t>
      </w:r>
    </w:p>
    <w:p w14:paraId="11BB022C">
      <w:pPr>
        <w:pStyle w:val="8"/>
      </w:pPr>
      <w:r>
        <w:rPr>
          <w:rFonts w:hint="eastAsia"/>
        </w:rPr>
        <w:t>12、</w:t>
      </w:r>
      <w:r>
        <w:t>完成县政府交办的其他事项。</w:t>
      </w:r>
    </w:p>
    <w:p w14:paraId="1A13B084">
      <w:pPr>
        <w:pStyle w:val="9"/>
      </w:pPr>
      <w:r>
        <w:t>（二）机构设置</w:t>
      </w:r>
    </w:p>
    <w:p w14:paraId="44F918E2">
      <w:r>
        <w:rPr>
          <w:rFonts w:hint="eastAsia"/>
        </w:rPr>
        <w:t>本预算编制范围只涉及祁东县财政局</w:t>
      </w:r>
      <w:r>
        <w:rPr>
          <w:rFonts w:hint="eastAsia"/>
          <w:lang w:val="en-US" w:eastAsia="zh-CN"/>
        </w:rPr>
        <w:t xml:space="preserve"> </w:t>
      </w:r>
      <w:bookmarkStart w:id="0" w:name="_GoBack"/>
      <w:bookmarkEnd w:id="0"/>
      <w:r>
        <w:rPr>
          <w:rFonts w:hint="eastAsia"/>
        </w:rPr>
        <w:t>局机关，25个乡镇财政所不在此编制内，财政所代表乡镇编制预算、决算。</w:t>
      </w:r>
      <w:r>
        <w:rPr>
          <w:rFonts w:hint="eastAsia"/>
          <w:shd w:val="clear" w:color="auto" w:fill="FFFFFF"/>
        </w:rPr>
        <w:t>县财政局属综合经济管理部门，是县政府综合管理全县财政收支、财税政策、组织收入、安排支出、实施财政监督、参与对国民经济进行宏观调控的职能部门。</w:t>
      </w:r>
      <w:r>
        <w:rPr>
          <w:rFonts w:hint="eastAsia"/>
        </w:rPr>
        <w:t>根据《中共祁东县委办公室、祁东县人民政府办公室关于印发〈祁东县财政局职能配置、内设机构和人员编制规定〉的通知》（祁办〔2019〕33号）精神，县非税收入征收管理局更名为县财政事务中心，县国库集中收付核算局更名为县财政集中支付核算中心，县乡镇财政管理局更名为县乡镇财政服务中心，更名后，其机构规格、人员编制、经费形式、隶属关系维持原状不变；撤销县财政监督检查局、县国有资产管理局，撤销县政府采购办公室，其采购交易职责划入县公共资源交易中心。改革后，祁东县财政局辖6个中心、20个内设机构。</w:t>
      </w:r>
    </w:p>
    <w:p w14:paraId="61B84A48">
      <w:pPr>
        <w:pStyle w:val="9"/>
        <w:rPr>
          <w:kern w:val="2"/>
        </w:rPr>
      </w:pPr>
      <w:r>
        <w:rPr>
          <w:kern w:val="2"/>
        </w:rPr>
        <w:t>（三）</w:t>
      </w:r>
      <w:r>
        <w:rPr>
          <w:rFonts w:hint="eastAsia"/>
          <w:kern w:val="2"/>
        </w:rPr>
        <w:t>人员编制情况</w:t>
      </w:r>
    </w:p>
    <w:p w14:paraId="49E90C59">
      <w:pPr>
        <w:pStyle w:val="9"/>
      </w:pPr>
      <w:r>
        <w:rPr>
          <w:rFonts w:hint="eastAsia"/>
        </w:rPr>
        <w:t>局内设机构为20个：办公室、预算股、综合规划股、行政审批服务股（加挂政策法规股）、行政政法股、教科文股、经济建设股、农业股、社会保障股、企业股、金融股、政府债务管理股、资产管理股（加挂公车管理股）、会计股、财政绩效管理股（财源建设办公室）、政府采购监督办公室、财政监督办公室、政工人事股、财政信息网络股、国库股。下属事业单位6个：县财政事务中心、县乡镇财政服务中心、县财政集中支付核算中心、县财政投资评审服务中心、县财政工资统发事务中心、县城乡建设投资服务中心。</w:t>
      </w:r>
      <w:r>
        <w:rPr>
          <w:rFonts w:hint="eastAsia"/>
          <w:color w:val="000000" w:themeColor="text1"/>
        </w:rPr>
        <w:t>2023年，局机关在职在岗干部职工132人，其中专科以上学历132人，党员112人。</w:t>
      </w:r>
    </w:p>
    <w:p w14:paraId="51CB4E56">
      <w:pPr>
        <w:pStyle w:val="9"/>
        <w:rPr>
          <w:kern w:val="2"/>
        </w:rPr>
      </w:pPr>
      <w:r>
        <w:rPr>
          <w:rFonts w:hint="eastAsia"/>
          <w:kern w:val="2"/>
        </w:rPr>
        <w:t>（四）2024年单位工作任务或年度计划</w:t>
      </w:r>
    </w:p>
    <w:p w14:paraId="4214A411">
      <w:pPr>
        <w:pStyle w:val="9"/>
        <w:rPr>
          <w:kern w:val="2"/>
        </w:rPr>
      </w:pPr>
      <w:r>
        <w:rPr>
          <w:rFonts w:hint="eastAsia"/>
          <w:kern w:val="2"/>
        </w:rPr>
        <w:t>1、2024年工作任务：</w:t>
      </w:r>
    </w:p>
    <w:p w14:paraId="43A67F71">
      <w:pPr>
        <w:pStyle w:val="9"/>
        <w:rPr>
          <w:kern w:val="2"/>
        </w:rPr>
      </w:pPr>
      <w:r>
        <w:rPr>
          <w:rFonts w:hint="eastAsia"/>
          <w:kern w:val="2"/>
        </w:rPr>
        <w:t>以习近平新时代中国特色社会主义思想为指导，坚持党的领导、人民当家作主、依法治国有机统一，全面贯彻落实中央、省委、市委、县委决策部署，围绕落实“六保”要求，做好“六稳”工作，忠诚履职尽责，锐意开拓进取，不断开创财政工作新局面，为把祁东建成全省乃至全国经济强县贡献财政力量。</w:t>
      </w:r>
    </w:p>
    <w:p w14:paraId="763F3E0F">
      <w:pPr>
        <w:pStyle w:val="9"/>
        <w:rPr>
          <w:kern w:val="2"/>
        </w:rPr>
      </w:pPr>
      <w:r>
        <w:rPr>
          <w:rFonts w:hint="eastAsia"/>
          <w:kern w:val="2"/>
        </w:rPr>
        <w:t>2、2024年度计划：</w:t>
      </w:r>
    </w:p>
    <w:p w14:paraId="6DA1C074">
      <w:pPr>
        <w:pStyle w:val="4"/>
        <w:rPr>
          <w:sz w:val="24"/>
          <w:szCs w:val="24"/>
        </w:rPr>
      </w:pPr>
      <w:r>
        <w:rPr>
          <w:rFonts w:hint="eastAsia"/>
          <w:sz w:val="24"/>
          <w:szCs w:val="24"/>
        </w:rPr>
        <w:t>（1）全力推进财源建设，确保财税收入量增质升。</w:t>
      </w:r>
      <w:r>
        <w:rPr>
          <w:sz w:val="24"/>
          <w:szCs w:val="24"/>
        </w:rPr>
        <w:t>不折不扣落实好今年新出台的各项减税降费政策措施，确保各项政策措施不折不扣落实到位，激活企业发展潜能，更好促进经济平稳运行</w:t>
      </w:r>
      <w:r>
        <w:rPr>
          <w:rFonts w:hint="eastAsia"/>
          <w:sz w:val="24"/>
          <w:szCs w:val="24"/>
        </w:rPr>
        <w:t>；坚持“长短结合、以短养长、以长促短”，深入推进财源建设固本挖潜工程，建立多元化财源培植结构，逐步优化收入结构，提升收入质量，健全财政收入稳定增长机制。发挥“促投资、稳增长”作用，加快项目资金拨付进度，扎实做好企业服务、项目投产、招商引税等工作，强力稳住经济运行的基本盘。以强化融资、向上争取资金、招商引资和盘活国有资产为抓手，推进农业、工业、服务业发展，增强行业创税能力。</w:t>
      </w:r>
    </w:p>
    <w:p w14:paraId="36142763">
      <w:pPr>
        <w:pStyle w:val="4"/>
        <w:rPr>
          <w:sz w:val="24"/>
          <w:szCs w:val="24"/>
        </w:rPr>
      </w:pPr>
      <w:r>
        <w:rPr>
          <w:sz w:val="24"/>
          <w:szCs w:val="24"/>
        </w:rPr>
        <w:t>（</w:t>
      </w:r>
      <w:r>
        <w:rPr>
          <w:rFonts w:hint="eastAsia"/>
          <w:sz w:val="24"/>
          <w:szCs w:val="24"/>
        </w:rPr>
        <w:t>2</w:t>
      </w:r>
      <w:r>
        <w:rPr>
          <w:sz w:val="24"/>
          <w:szCs w:val="24"/>
        </w:rPr>
        <w:t>）</w:t>
      </w:r>
      <w:r>
        <w:rPr>
          <w:rFonts w:hint="eastAsia"/>
          <w:sz w:val="24"/>
          <w:szCs w:val="24"/>
        </w:rPr>
        <w:t>坚持统筹发展安全，兜牢财政风险底线。强化政府债务限额管理，严控增量、妥善处理存量，继续做好政府债务置换、隐性债务化解及政府债券还本付息工作，积极防范债务风险，争取专项债券额度。贯彻落实过“紧日子”思想，聚焦全县“六类资源”、“五类资产”，强化准公益性项目运营管理，支持投融资公司发展，建立防范化解地方债务风险的长效机制，稳步推进地方政府合并监管和跨部门联合监管，推进地方政府融资平台市场化转型升级。做到精打细算、厉行节约，努力在节支上下更大功夫。密切关注财政运行、库款保障水平等状况，严格按照中央和省市确定的保障范围和标准，保障基本民生和基层运转各项支出，兜实兜牢“三保”底线。</w:t>
      </w:r>
    </w:p>
    <w:p w14:paraId="4055CBE4">
      <w:pPr>
        <w:pStyle w:val="4"/>
        <w:rPr>
          <w:sz w:val="24"/>
          <w:szCs w:val="24"/>
        </w:rPr>
      </w:pPr>
      <w:r>
        <w:rPr>
          <w:sz w:val="24"/>
          <w:szCs w:val="24"/>
        </w:rPr>
        <w:t>（</w:t>
      </w:r>
      <w:r>
        <w:rPr>
          <w:rFonts w:hint="eastAsia"/>
          <w:sz w:val="24"/>
          <w:szCs w:val="24"/>
        </w:rPr>
        <w:t>3</w:t>
      </w:r>
      <w:r>
        <w:rPr>
          <w:sz w:val="24"/>
          <w:szCs w:val="24"/>
        </w:rPr>
        <w:t>）</w:t>
      </w:r>
      <w:r>
        <w:rPr>
          <w:rFonts w:hint="eastAsia"/>
          <w:sz w:val="24"/>
          <w:szCs w:val="24"/>
        </w:rPr>
        <w:t>强化财政资源统筹，增强财力保障水平。依法依规做好“三资”清查处置工作。对非特殊资产做到100%到公共交易平台处置，确保公平、公正。加快闲置国有资产盘活力度，高质量完成资产处置盘活工作。探索全县行政事业性单位的门面到房市公共资源交易中心公开招租的办法，最大限度发挥经营性资产的价值。</w:t>
      </w:r>
    </w:p>
    <w:p w14:paraId="6D5CEE0A">
      <w:pPr>
        <w:pStyle w:val="4"/>
        <w:rPr>
          <w:rFonts w:cs="黑体"/>
          <w:sz w:val="24"/>
          <w:szCs w:val="24"/>
        </w:rPr>
      </w:pPr>
      <w:r>
        <w:rPr>
          <w:rFonts w:hint="eastAsia"/>
          <w:sz w:val="24"/>
          <w:szCs w:val="24"/>
        </w:rPr>
        <w:t>（4）深入推进财税改革，促进经济高质量发展。继续推行零基预算，扎实推进预决算公开，结合财力状况、轻重缓急、绩效情况，综合协调预算平衡，进一步优化财政资源配置，提高财政资金使用效率。深化绩效管理。扩大绩效目标管理和评价范围，探索建立重大政策、重点项目事前绩效论证机制，继续委托第三方对重点专项资金进行绩效评价。着力发挥预算绩效管理的引导作用，健全完善涵盖绩效目标、绩效跟踪、绩效评价、结果运用全过程的绩效管理制度体系，拓宽重点评价范围，强化绩效结果约束，切实做到花钱必问效，无效必问责。</w:t>
      </w:r>
      <w:r>
        <w:rPr>
          <w:sz w:val="24"/>
          <w:szCs w:val="24"/>
        </w:rPr>
        <w:t>强化</w:t>
      </w:r>
      <w:r>
        <w:rPr>
          <w:rFonts w:hint="eastAsia"/>
          <w:sz w:val="24"/>
          <w:szCs w:val="24"/>
        </w:rPr>
        <w:t>监督检查，</w:t>
      </w:r>
      <w:r>
        <w:rPr>
          <w:sz w:val="24"/>
          <w:szCs w:val="24"/>
        </w:rPr>
        <w:t>加大</w:t>
      </w:r>
      <w:r>
        <w:rPr>
          <w:rFonts w:hint="eastAsia"/>
          <w:sz w:val="24"/>
          <w:szCs w:val="24"/>
        </w:rPr>
        <w:t>对</w:t>
      </w:r>
      <w:r>
        <w:rPr>
          <w:sz w:val="24"/>
          <w:szCs w:val="24"/>
        </w:rPr>
        <w:t>重大财政专项资金督查</w:t>
      </w:r>
      <w:r>
        <w:rPr>
          <w:rFonts w:hint="eastAsia"/>
          <w:sz w:val="24"/>
          <w:szCs w:val="24"/>
        </w:rPr>
        <w:t>、</w:t>
      </w:r>
      <w:r>
        <w:rPr>
          <w:sz w:val="24"/>
          <w:szCs w:val="24"/>
        </w:rPr>
        <w:t>会计检查</w:t>
      </w:r>
      <w:r>
        <w:rPr>
          <w:rFonts w:hint="eastAsia"/>
          <w:sz w:val="24"/>
          <w:szCs w:val="24"/>
        </w:rPr>
        <w:t>，</w:t>
      </w:r>
      <w:r>
        <w:rPr>
          <w:sz w:val="24"/>
          <w:szCs w:val="24"/>
        </w:rPr>
        <w:t>关注财经财务制度执行</w:t>
      </w:r>
      <w:r>
        <w:rPr>
          <w:rFonts w:hint="eastAsia"/>
          <w:sz w:val="24"/>
          <w:szCs w:val="24"/>
        </w:rPr>
        <w:t>情况、严肃财经纪律。</w:t>
      </w:r>
      <w:r>
        <w:rPr>
          <w:sz w:val="24"/>
          <w:szCs w:val="24"/>
        </w:rPr>
        <w:t>加快推进单位内部控制制度建设与落实</w:t>
      </w:r>
      <w:r>
        <w:rPr>
          <w:rFonts w:hint="eastAsia"/>
          <w:sz w:val="24"/>
          <w:szCs w:val="24"/>
        </w:rPr>
        <w:t>，</w:t>
      </w:r>
      <w:r>
        <w:rPr>
          <w:sz w:val="24"/>
          <w:szCs w:val="24"/>
        </w:rPr>
        <w:t>全面提高会计基础规范化水平</w:t>
      </w:r>
      <w:r>
        <w:rPr>
          <w:rFonts w:hint="eastAsia"/>
          <w:sz w:val="24"/>
          <w:szCs w:val="24"/>
        </w:rPr>
        <w:t>。</w:t>
      </w:r>
    </w:p>
    <w:p w14:paraId="28432EDB">
      <w:pPr>
        <w:pStyle w:val="4"/>
        <w:ind w:firstLine="640"/>
        <w:rPr>
          <w:color w:val="000000" w:themeColor="text1"/>
        </w:rPr>
      </w:pPr>
      <w:r>
        <w:rPr>
          <w:rFonts w:hint="eastAsia"/>
          <w:color w:val="000000" w:themeColor="text1"/>
        </w:rPr>
        <w:t>二、一般公共预算支出情况</w:t>
      </w:r>
    </w:p>
    <w:p w14:paraId="0C73717D">
      <w:pPr>
        <w:pStyle w:val="4"/>
        <w:rPr>
          <w:color w:val="000000" w:themeColor="text1"/>
          <w:sz w:val="24"/>
          <w:szCs w:val="24"/>
        </w:rPr>
      </w:pPr>
      <w:r>
        <w:rPr>
          <w:color w:val="000000" w:themeColor="text1"/>
          <w:sz w:val="24"/>
          <w:szCs w:val="24"/>
        </w:rPr>
        <w:t>202</w:t>
      </w:r>
      <w:r>
        <w:rPr>
          <w:rFonts w:hint="eastAsia"/>
          <w:color w:val="000000" w:themeColor="text1"/>
          <w:sz w:val="24"/>
          <w:szCs w:val="24"/>
        </w:rPr>
        <w:t>3</w:t>
      </w:r>
      <w:r>
        <w:rPr>
          <w:color w:val="000000" w:themeColor="text1"/>
          <w:sz w:val="24"/>
          <w:szCs w:val="24"/>
        </w:rPr>
        <w:t>年度本年支出合计2916.67万元，其中：基本支出2158.45万元</w:t>
      </w:r>
      <w:r>
        <w:rPr>
          <w:rFonts w:hint="eastAsia"/>
          <w:color w:val="000000" w:themeColor="text1"/>
          <w:sz w:val="24"/>
          <w:szCs w:val="24"/>
        </w:rPr>
        <w:t>，项目支出</w:t>
      </w:r>
      <w:r>
        <w:rPr>
          <w:color w:val="000000" w:themeColor="text1"/>
          <w:sz w:val="24"/>
          <w:szCs w:val="24"/>
        </w:rPr>
        <w:t>758.22</w:t>
      </w:r>
      <w:r>
        <w:rPr>
          <w:rFonts w:hint="eastAsia"/>
          <w:color w:val="000000" w:themeColor="text1"/>
          <w:sz w:val="24"/>
          <w:szCs w:val="24"/>
        </w:rPr>
        <w:t>万元</w:t>
      </w:r>
      <w:r>
        <w:rPr>
          <w:color w:val="000000" w:themeColor="text1"/>
          <w:sz w:val="24"/>
          <w:szCs w:val="24"/>
        </w:rPr>
        <w:t>。</w:t>
      </w:r>
    </w:p>
    <w:p w14:paraId="1CA68AC6">
      <w:pPr>
        <w:pStyle w:val="4"/>
        <w:numPr>
          <w:ilvl w:val="0"/>
          <w:numId w:val="1"/>
        </w:numPr>
        <w:ind w:firstLineChars="0"/>
        <w:rPr>
          <w:color w:val="000000" w:themeColor="text1"/>
        </w:rPr>
      </w:pPr>
      <w:r>
        <w:rPr>
          <w:rFonts w:hint="eastAsia"/>
          <w:color w:val="000000" w:themeColor="text1"/>
        </w:rPr>
        <w:t>基本支出情况</w:t>
      </w:r>
    </w:p>
    <w:p w14:paraId="28E487EC">
      <w:r>
        <w:rPr>
          <w:rFonts w:hint="eastAsia"/>
        </w:rPr>
        <w:t>2023年度财政拨款基本支出</w:t>
      </w:r>
      <w:r>
        <w:t>2</w:t>
      </w:r>
      <w:r>
        <w:rPr>
          <w:rFonts w:hint="eastAsia"/>
        </w:rPr>
        <w:t>158.45万元，其中：人员经费1579.55万元，占基本支出的73.18%,主要包括基本工资、津贴补贴、奖金、伙食补助费、绩效工资、机关事业单位基本养老保险缴费、职工基本医疗保险缴费、其他社会保障缴费、住房公积金、抚恤金、生活补助、代缴社会保险费、其他对个人和家庭的补助；公用经费578.9万元，占基本支出的26.82%,主要包括办公费、印刷费、咨询费、电费、差旅费、维修（护）费、培训费、劳务费、委托业务费、工会经费、福利费、其他交通费用、其他商品和服务支出。</w:t>
      </w:r>
    </w:p>
    <w:p w14:paraId="63A58614">
      <w:pPr>
        <w:pStyle w:val="4"/>
        <w:ind w:firstLine="640"/>
        <w:rPr>
          <w:color w:val="FF0000"/>
        </w:rPr>
      </w:pPr>
    </w:p>
    <w:p w14:paraId="3F6D60E6">
      <w:pPr>
        <w:pStyle w:val="4"/>
        <w:numPr>
          <w:ilvl w:val="0"/>
          <w:numId w:val="1"/>
        </w:numPr>
        <w:ind w:firstLineChars="0"/>
        <w:rPr>
          <w:color w:val="000000" w:themeColor="text1"/>
        </w:rPr>
      </w:pPr>
      <w:r>
        <w:rPr>
          <w:rFonts w:hint="eastAsia"/>
          <w:color w:val="000000" w:themeColor="text1"/>
        </w:rPr>
        <w:t>项目支出情况</w:t>
      </w:r>
    </w:p>
    <w:p w14:paraId="22E8A043">
      <w:r>
        <w:rPr>
          <w:rFonts w:hint="eastAsia"/>
        </w:rPr>
        <w:t>2023年度财政拨款项目支出758.22万元，其中：一般公共服务支出679.24万元；教育管理事务支出 39.6万元；农林水支出39.38万元。</w:t>
      </w:r>
    </w:p>
    <w:p w14:paraId="7C16616F">
      <w:pPr>
        <w:pStyle w:val="4"/>
        <w:ind w:left="640" w:firstLine="0" w:firstLineChars="0"/>
        <w:rPr>
          <w:color w:val="FF0000"/>
        </w:rPr>
      </w:pPr>
    </w:p>
    <w:p w14:paraId="7D34CCD4">
      <w:pPr>
        <w:pStyle w:val="4"/>
        <w:ind w:firstLine="640"/>
      </w:pPr>
      <w:r>
        <w:rPr>
          <w:rFonts w:hint="eastAsia"/>
        </w:rPr>
        <w:t>三、政府性基金预算支出情况</w:t>
      </w:r>
    </w:p>
    <w:p w14:paraId="65E92A64">
      <w:pPr>
        <w:pStyle w:val="4"/>
        <w:rPr>
          <w:sz w:val="24"/>
          <w:szCs w:val="24"/>
        </w:rPr>
      </w:pPr>
      <w:r>
        <w:rPr>
          <w:rFonts w:hint="eastAsia"/>
          <w:sz w:val="24"/>
          <w:szCs w:val="24"/>
        </w:rPr>
        <w:t>无。</w:t>
      </w:r>
    </w:p>
    <w:p w14:paraId="6DB7F3C1">
      <w:pPr>
        <w:pStyle w:val="4"/>
        <w:rPr>
          <w:sz w:val="24"/>
          <w:szCs w:val="24"/>
        </w:rPr>
      </w:pPr>
    </w:p>
    <w:p w14:paraId="313558F1">
      <w:pPr>
        <w:pStyle w:val="4"/>
        <w:ind w:firstLine="640"/>
      </w:pPr>
      <w:r>
        <w:rPr>
          <w:rFonts w:hint="eastAsia"/>
        </w:rPr>
        <w:t>四、国有资本经营预算支出情况</w:t>
      </w:r>
    </w:p>
    <w:p w14:paraId="44309E8E">
      <w:pPr>
        <w:pStyle w:val="4"/>
        <w:rPr>
          <w:sz w:val="24"/>
          <w:szCs w:val="24"/>
        </w:rPr>
      </w:pPr>
      <w:r>
        <w:rPr>
          <w:rFonts w:hint="eastAsia"/>
          <w:sz w:val="24"/>
          <w:szCs w:val="24"/>
        </w:rPr>
        <w:t>无。</w:t>
      </w:r>
    </w:p>
    <w:p w14:paraId="445C3270">
      <w:pPr>
        <w:pStyle w:val="4"/>
        <w:rPr>
          <w:sz w:val="24"/>
          <w:szCs w:val="24"/>
        </w:rPr>
      </w:pPr>
    </w:p>
    <w:p w14:paraId="003D4F5A">
      <w:pPr>
        <w:pStyle w:val="4"/>
        <w:ind w:firstLine="640"/>
      </w:pPr>
      <w:r>
        <w:rPr>
          <w:rFonts w:hint="eastAsia"/>
        </w:rPr>
        <w:t>五、社会保险基金预算支出情况</w:t>
      </w:r>
    </w:p>
    <w:p w14:paraId="3336548D">
      <w:pPr>
        <w:pStyle w:val="4"/>
        <w:rPr>
          <w:sz w:val="24"/>
          <w:szCs w:val="24"/>
        </w:rPr>
      </w:pPr>
      <w:r>
        <w:rPr>
          <w:rFonts w:hint="eastAsia"/>
          <w:sz w:val="24"/>
          <w:szCs w:val="24"/>
        </w:rPr>
        <w:t>无。</w:t>
      </w:r>
    </w:p>
    <w:p w14:paraId="53B90590">
      <w:pPr>
        <w:pStyle w:val="4"/>
        <w:rPr>
          <w:sz w:val="24"/>
          <w:szCs w:val="24"/>
        </w:rPr>
      </w:pPr>
    </w:p>
    <w:p w14:paraId="7E2B121F">
      <w:pPr>
        <w:pStyle w:val="4"/>
        <w:ind w:firstLine="640"/>
      </w:pPr>
      <w:r>
        <w:rPr>
          <w:rFonts w:hint="eastAsia"/>
        </w:rPr>
        <w:t>六、部门整体支出绩效情况</w:t>
      </w:r>
    </w:p>
    <w:p w14:paraId="5106286E">
      <w:r>
        <w:rPr>
          <w:rFonts w:hint="eastAsia"/>
        </w:rPr>
        <w:t>根据预算绩效管理要求，我单位组织对2023年度一般公共预算项目支出全面开展绩效自评，2023年单位整体支出绩效自评涉及资金2916.67万元，自评覆盖率达到100%。2023年，祁东县财政局自觉把党的领导贯穿于依法履职的全过程，始终保持正确政治方向。资产管理方面，严格落实了财务管理制度、公务接待制度，认真落实固定资产管理办法，确保固定资产安全和完整，并严格按照有关规定执行政府采购；业务开展方面，在县委、县政府的坚强领导和其他单位部门的大力支持下，开拓创新、砥砺奋进、加强管理，不断提升行业综治水平，不断优化服务管理水平，在年度绩效考核中，全体干部职工满意率达98%，社会群众满意度达98%。根据县财政规定的自评标准，评价结果为“优”。</w:t>
      </w:r>
    </w:p>
    <w:p w14:paraId="420F27BA">
      <w:pPr>
        <w:pStyle w:val="4"/>
        <w:ind w:firstLine="640"/>
      </w:pPr>
    </w:p>
    <w:p w14:paraId="20924110">
      <w:pPr>
        <w:pStyle w:val="4"/>
        <w:ind w:firstLine="640"/>
      </w:pPr>
      <w:r>
        <w:rPr>
          <w:rFonts w:hint="eastAsia"/>
        </w:rPr>
        <w:t>七、存在的问题及原因分析</w:t>
      </w:r>
    </w:p>
    <w:p w14:paraId="0D0A500F">
      <w:pPr>
        <w:pStyle w:val="4"/>
        <w:rPr>
          <w:sz w:val="24"/>
          <w:szCs w:val="24"/>
        </w:rPr>
      </w:pPr>
      <w:r>
        <w:rPr>
          <w:rFonts w:hint="eastAsia"/>
          <w:sz w:val="24"/>
          <w:szCs w:val="24"/>
        </w:rPr>
        <w:t>1、对绩效管理制度的认知不是十分到位。“两轻两重”惯性思维，“重分配、轻管理、重支出、轻绩效”的思想还没有从根本上转变。</w:t>
      </w:r>
    </w:p>
    <w:p w14:paraId="21DB613C">
      <w:pPr>
        <w:pStyle w:val="4"/>
        <w:rPr>
          <w:sz w:val="24"/>
          <w:szCs w:val="24"/>
        </w:rPr>
      </w:pPr>
      <w:r>
        <w:rPr>
          <w:rFonts w:hint="eastAsia"/>
          <w:sz w:val="24"/>
          <w:szCs w:val="24"/>
        </w:rPr>
        <w:t>2、绩效目标设立不够明确、细化和量化。</w:t>
      </w:r>
    </w:p>
    <w:p w14:paraId="3F62BE77">
      <w:pPr>
        <w:pStyle w:val="4"/>
        <w:rPr>
          <w:sz w:val="24"/>
          <w:szCs w:val="24"/>
        </w:rPr>
      </w:pPr>
    </w:p>
    <w:p w14:paraId="231ECD65">
      <w:pPr>
        <w:pStyle w:val="4"/>
        <w:ind w:firstLine="640"/>
      </w:pPr>
      <w:r>
        <w:rPr>
          <w:rFonts w:hint="eastAsia"/>
        </w:rPr>
        <w:t>八、下一步改进措施</w:t>
      </w:r>
    </w:p>
    <w:p w14:paraId="7A538249">
      <w:pPr>
        <w:pStyle w:val="4"/>
        <w:rPr>
          <w:sz w:val="24"/>
          <w:szCs w:val="24"/>
        </w:rPr>
      </w:pPr>
      <w:r>
        <w:rPr>
          <w:rFonts w:hint="eastAsia"/>
          <w:sz w:val="24"/>
          <w:szCs w:val="24"/>
        </w:rPr>
        <w:t>1、我单位将组织相关人员认真学习深刻领会绩效管理和相关文件精神，树立绩效意识、目标意识、责任意识，完善绩效目标管理内容，切实提高绩效目标管理水平和相关知识的应用能力。加强各股室间的沟通，保障信息准确，为单位今后做好绩效目标编制与绩效自评工作创造更好的条件。</w:t>
      </w:r>
    </w:p>
    <w:p w14:paraId="4F59FB8F">
      <w:pPr>
        <w:pStyle w:val="4"/>
        <w:rPr>
          <w:sz w:val="24"/>
          <w:szCs w:val="24"/>
        </w:rPr>
      </w:pPr>
      <w:r>
        <w:rPr>
          <w:rFonts w:hint="eastAsia"/>
          <w:sz w:val="24"/>
          <w:szCs w:val="24"/>
        </w:rPr>
        <w:t>2、我单位将进一步明确、细化和量化绩效目标。</w:t>
      </w:r>
    </w:p>
    <w:p w14:paraId="03DC56D7">
      <w:pPr>
        <w:pStyle w:val="4"/>
        <w:rPr>
          <w:sz w:val="24"/>
          <w:szCs w:val="24"/>
        </w:rPr>
      </w:pPr>
    </w:p>
    <w:p w14:paraId="454FEC2C">
      <w:pPr>
        <w:pStyle w:val="4"/>
        <w:ind w:firstLine="640"/>
      </w:pPr>
      <w:r>
        <w:rPr>
          <w:rFonts w:hint="eastAsia"/>
        </w:rPr>
        <w:t>九、部门整体支出绩效自评结果拟应用和公开情况</w:t>
      </w:r>
    </w:p>
    <w:p w14:paraId="11DC71B2">
      <w:pPr>
        <w:pStyle w:val="4"/>
        <w:rPr>
          <w:sz w:val="24"/>
          <w:szCs w:val="24"/>
        </w:rPr>
      </w:pPr>
      <w:r>
        <w:rPr>
          <w:rFonts w:hint="eastAsia"/>
          <w:sz w:val="24"/>
          <w:szCs w:val="24"/>
        </w:rPr>
        <w:t>此次绩效自评结果主要以《</w:t>
      </w:r>
      <w:r>
        <w:rPr>
          <w:sz w:val="24"/>
          <w:szCs w:val="24"/>
        </w:rPr>
        <w:t>202</w:t>
      </w:r>
      <w:r>
        <w:rPr>
          <w:rFonts w:hint="eastAsia"/>
          <w:sz w:val="24"/>
          <w:szCs w:val="24"/>
        </w:rPr>
        <w:t>3</w:t>
      </w:r>
      <w:r>
        <w:rPr>
          <w:sz w:val="24"/>
          <w:szCs w:val="24"/>
        </w:rPr>
        <w:t>年</w:t>
      </w:r>
      <w:r>
        <w:rPr>
          <w:rFonts w:hint="eastAsia"/>
          <w:sz w:val="24"/>
          <w:szCs w:val="24"/>
        </w:rPr>
        <w:t>祁东县财政局</w:t>
      </w:r>
      <w:r>
        <w:rPr>
          <w:sz w:val="24"/>
          <w:szCs w:val="24"/>
        </w:rPr>
        <w:t>整体支出绩效自评表》、《2023年祁东县财政局整体支出绩效自评报告》</w:t>
      </w:r>
      <w:r>
        <w:rPr>
          <w:rFonts w:hint="eastAsia"/>
          <w:sz w:val="24"/>
          <w:szCs w:val="24"/>
        </w:rPr>
        <w:t>和</w:t>
      </w:r>
      <w:r>
        <w:rPr>
          <w:sz w:val="24"/>
          <w:szCs w:val="24"/>
        </w:rPr>
        <w:t>《2023年祁东县财政局项目支出绩效自评表》的形式体现，自评表及自评报告内容完整、权重合理、数据真实、结果客观。我</w:t>
      </w:r>
      <w:r>
        <w:rPr>
          <w:rFonts w:hint="eastAsia"/>
          <w:sz w:val="24"/>
          <w:szCs w:val="24"/>
        </w:rPr>
        <w:t>单位</w:t>
      </w:r>
      <w:r>
        <w:rPr>
          <w:sz w:val="24"/>
          <w:szCs w:val="24"/>
        </w:rPr>
        <w:t>将绩效自评结果作为完善政策和改进管理的重要依据，同时加强评价结果的应用，对有效支出安排预算、低效支出压减预算，切实提高部门预算绩效管理水平。自评结果将报送</w:t>
      </w:r>
      <w:r>
        <w:rPr>
          <w:rFonts w:hint="eastAsia"/>
          <w:sz w:val="24"/>
          <w:szCs w:val="24"/>
        </w:rPr>
        <w:t>有关部门</w:t>
      </w:r>
      <w:r>
        <w:rPr>
          <w:sz w:val="24"/>
          <w:szCs w:val="24"/>
        </w:rPr>
        <w:t>，并按照要求将绩效评价结果编入</w:t>
      </w:r>
      <w:r>
        <w:rPr>
          <w:rFonts w:hint="eastAsia"/>
          <w:sz w:val="24"/>
          <w:szCs w:val="24"/>
        </w:rPr>
        <w:t>本单位决算，并依法予以公开。</w:t>
      </w:r>
    </w:p>
    <w:p w14:paraId="6A2F64F4">
      <w:pPr>
        <w:pStyle w:val="4"/>
        <w:ind w:firstLine="640"/>
      </w:pPr>
    </w:p>
    <w:p w14:paraId="42A0F404">
      <w:pPr>
        <w:pStyle w:val="4"/>
        <w:ind w:firstLine="640"/>
      </w:pPr>
      <w:r>
        <w:rPr>
          <w:rFonts w:hint="eastAsia"/>
        </w:rPr>
        <w:t>十、其他需要说明的情况</w:t>
      </w:r>
    </w:p>
    <w:p w14:paraId="20230260">
      <w:pPr>
        <w:pStyle w:val="4"/>
        <w:ind w:firstLine="640"/>
      </w:pPr>
      <w:r>
        <w:rPr>
          <w:rFonts w:hint="eastAsia"/>
        </w:rPr>
        <w:t>无。</w:t>
      </w:r>
    </w:p>
    <w:p w14:paraId="0E57A4DA">
      <w:pPr>
        <w:pStyle w:val="4"/>
        <w:ind w:firstLine="640"/>
      </w:pPr>
    </w:p>
    <w:p w14:paraId="063DA179">
      <w:pPr>
        <w:pStyle w:val="4"/>
        <w:ind w:firstLine="640"/>
      </w:pPr>
      <w:r>
        <w:rPr>
          <w:rFonts w:hint="eastAsia"/>
        </w:rPr>
        <w:t>附件1、部门整体支出绩效评价基础数据表</w:t>
      </w:r>
    </w:p>
    <w:p w14:paraId="62DF9847">
      <w:pPr>
        <w:pStyle w:val="4"/>
        <w:ind w:firstLine="640"/>
      </w:pPr>
      <w:r>
        <w:rPr>
          <w:rFonts w:hint="eastAsia"/>
        </w:rPr>
        <w:t>2、部门整体支出绩效自评表</w:t>
      </w:r>
    </w:p>
    <w:p w14:paraId="686610C4">
      <w:pPr>
        <w:pStyle w:val="4"/>
        <w:ind w:firstLine="640"/>
      </w:pPr>
      <w:r>
        <w:rPr>
          <w:rFonts w:hint="eastAsia"/>
        </w:rPr>
        <w:t>3、项目支出绩效自评表（每个一级项目一张表）</w:t>
      </w:r>
    </w:p>
    <w:p w14:paraId="469DD784">
      <w:pPr>
        <w:pStyle w:val="4"/>
        <w:ind w:firstLine="640"/>
      </w:pPr>
      <w:r>
        <w:rPr>
          <w:rFonts w:hint="eastAsia"/>
        </w:rPr>
        <w:t>4、政府性基金预算支出情况表</w:t>
      </w:r>
    </w:p>
    <w:p w14:paraId="479CA8FE">
      <w:pPr>
        <w:pStyle w:val="4"/>
        <w:ind w:firstLine="605"/>
      </w:pPr>
      <w:r>
        <w:rPr>
          <w:rFonts w:hint="eastAsia"/>
          <w:w w:val="95"/>
        </w:rPr>
        <w:t>5、国有资本经营预算支出情况表</w:t>
      </w:r>
    </w:p>
    <w:p w14:paraId="2EDF65A4">
      <w:pPr>
        <w:pStyle w:val="4"/>
        <w:ind w:firstLine="605"/>
        <w:rPr>
          <w:w w:val="95"/>
        </w:rPr>
      </w:pPr>
      <w:r>
        <w:rPr>
          <w:rFonts w:hint="eastAsia"/>
          <w:w w:val="95"/>
        </w:rPr>
        <w:t>6、社会保险基金预算支出情况表</w:t>
      </w:r>
    </w:p>
    <w:p w14:paraId="03E7BE59">
      <w:pPr>
        <w:pStyle w:val="4"/>
        <w:ind w:firstLine="605"/>
        <w:rPr>
          <w:w w:val="95"/>
        </w:rPr>
      </w:pPr>
      <w:r>
        <w:rPr>
          <w:rFonts w:hint="eastAsia"/>
          <w:w w:val="95"/>
        </w:rPr>
        <w:t>7、2023年度部门其他事业发展类项目绩效目标表</w:t>
      </w:r>
    </w:p>
    <w:p w14:paraId="79F51EE6">
      <w:pPr>
        <w:pStyle w:val="4"/>
        <w:ind w:firstLine="605"/>
        <w:rPr>
          <w:w w:val="95"/>
        </w:rPr>
      </w:pPr>
      <w:r>
        <w:rPr>
          <w:rFonts w:hint="eastAsia"/>
          <w:w w:val="95"/>
        </w:rPr>
        <w:t>8、祁东县财政局部门项目库建设情况表</w:t>
      </w:r>
    </w:p>
    <w:p w14:paraId="7935FA03">
      <w:pPr>
        <w:pStyle w:val="4"/>
        <w:ind w:firstLine="605"/>
        <w:rPr>
          <w:w w:val="95"/>
        </w:rPr>
      </w:pPr>
      <w:r>
        <w:rPr>
          <w:rFonts w:hint="eastAsia"/>
          <w:w w:val="95"/>
        </w:rPr>
        <w:t>9、祁东县财政局部门各类支出标准体系建设情况表</w:t>
      </w:r>
    </w:p>
    <w:p w14:paraId="38EE9BDC">
      <w:pPr>
        <w:pStyle w:val="4"/>
        <w:ind w:firstLine="605"/>
        <w:rPr>
          <w:w w:val="95"/>
        </w:rPr>
      </w:pPr>
      <w:r>
        <w:rPr>
          <w:rFonts w:hint="eastAsia"/>
          <w:w w:val="95"/>
        </w:rPr>
        <w:t>10、祁东县财政局部门预算绩效管理制度建设清单</w:t>
      </w:r>
    </w:p>
    <w:p w14:paraId="16856D7F">
      <w:pPr>
        <w:pStyle w:val="4"/>
        <w:ind w:firstLine="605"/>
        <w:rPr>
          <w:w w:val="95"/>
        </w:rPr>
      </w:pPr>
      <w:r>
        <w:rPr>
          <w:rFonts w:hint="eastAsia"/>
          <w:w w:val="95"/>
        </w:rPr>
        <w:t>11、事前绩效评估报告（含所属单位）</w:t>
      </w:r>
    </w:p>
    <w:p w14:paraId="708A3F2D">
      <w:pPr>
        <w:pStyle w:val="4"/>
        <w:ind w:firstLine="605"/>
        <w:rPr>
          <w:w w:val="95"/>
        </w:rPr>
      </w:pPr>
      <w:r>
        <w:rPr>
          <w:rFonts w:hint="eastAsia"/>
          <w:w w:val="95"/>
        </w:rPr>
        <w:t>12、预算绩效管理各环节结果应用清单</w:t>
      </w:r>
    </w:p>
    <w:p w14:paraId="4AEFF0C9">
      <w:pPr>
        <w:pStyle w:val="4"/>
        <w:ind w:firstLine="605"/>
        <w:rPr>
          <w:w w:val="95"/>
        </w:rPr>
      </w:pPr>
      <w:r>
        <w:rPr>
          <w:rFonts w:hint="eastAsia"/>
          <w:w w:val="95"/>
        </w:rPr>
        <w:t>13、祁东县财政局部门财务机构联系表</w:t>
      </w:r>
    </w:p>
    <w:p w14:paraId="32BA8C3C">
      <w:pPr>
        <w:ind w:firstLine="454"/>
        <w:rPr>
          <w:w w:val="95"/>
        </w:rPr>
      </w:pPr>
      <w:r>
        <w:rPr>
          <w:rFonts w:hint="eastAsia"/>
          <w:w w:val="95"/>
        </w:rPr>
        <w:br w:type="page"/>
      </w:r>
    </w:p>
    <w:p w14:paraId="78DFA9D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90996">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FAF14">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99CFE">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5C57C">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A5B79">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CF903">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C0D6D"/>
    <w:multiLevelType w:val="multilevel"/>
    <w:tmpl w:val="3A6C0D6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wNTEyODM1NDQxNjYzN2JhYjFlZjYyNTZjMzA2ZjkifQ=="/>
    <w:docVar w:name="KSO_WPS_MARK_KEY" w:val="07fb524b-4cfe-496c-a5b4-176848efaed0"/>
  </w:docVars>
  <w:rsids>
    <w:rsidRoot w:val="5EC24E23"/>
    <w:rsid w:val="00063773"/>
    <w:rsid w:val="001C4770"/>
    <w:rsid w:val="001E37A7"/>
    <w:rsid w:val="002022A2"/>
    <w:rsid w:val="003467CC"/>
    <w:rsid w:val="00386F45"/>
    <w:rsid w:val="00485084"/>
    <w:rsid w:val="005C6375"/>
    <w:rsid w:val="006A2171"/>
    <w:rsid w:val="00702441"/>
    <w:rsid w:val="00783F71"/>
    <w:rsid w:val="007A495D"/>
    <w:rsid w:val="008203E7"/>
    <w:rsid w:val="008300E4"/>
    <w:rsid w:val="00855AD2"/>
    <w:rsid w:val="008B46CE"/>
    <w:rsid w:val="008B5A7A"/>
    <w:rsid w:val="00A63324"/>
    <w:rsid w:val="00AA57C1"/>
    <w:rsid w:val="00B22F67"/>
    <w:rsid w:val="00B53086"/>
    <w:rsid w:val="00B84E4A"/>
    <w:rsid w:val="00C114F4"/>
    <w:rsid w:val="00C60E43"/>
    <w:rsid w:val="00CB66F3"/>
    <w:rsid w:val="00E316C5"/>
    <w:rsid w:val="00E553A5"/>
    <w:rsid w:val="00E823B1"/>
    <w:rsid w:val="00EF66AE"/>
    <w:rsid w:val="013A0D58"/>
    <w:rsid w:val="06E83F2A"/>
    <w:rsid w:val="07DE6A7F"/>
    <w:rsid w:val="16826672"/>
    <w:rsid w:val="360E0429"/>
    <w:rsid w:val="3DD77351"/>
    <w:rsid w:val="41356808"/>
    <w:rsid w:val="42445E75"/>
    <w:rsid w:val="46F4261E"/>
    <w:rsid w:val="5EC24E23"/>
    <w:rsid w:val="68482A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autoSpaceDE w:val="0"/>
      <w:autoSpaceDN w:val="0"/>
      <w:snapToGrid w:val="0"/>
      <w:spacing w:line="520" w:lineRule="exact"/>
      <w:ind w:firstLine="480" w:firstLineChars="200"/>
    </w:pPr>
    <w:rPr>
      <w:rFonts w:ascii="仿宋" w:hAnsi="仿宋" w:eastAsia="仿宋" w:cs="仿宋"/>
      <w:sz w:val="24"/>
      <w:szCs w:val="24"/>
      <w:lang w:val="en-US" w:eastAsia="zh-CN" w:bidi="ar-SA"/>
    </w:rPr>
  </w:style>
  <w:style w:type="paragraph" w:styleId="2">
    <w:name w:val="heading 1"/>
    <w:basedOn w:val="1"/>
    <w:next w:val="1"/>
    <w:qFormat/>
    <w:uiPriority w:val="0"/>
    <w:pPr>
      <w:spacing w:line="620" w:lineRule="exact"/>
      <w:jc w:val="center"/>
      <w:outlineLvl w:val="0"/>
    </w:pPr>
    <w:rPr>
      <w:rFonts w:eastAsia="方正小标宋简体"/>
      <w:sz w:val="44"/>
    </w:rPr>
  </w:style>
  <w:style w:type="paragraph" w:styleId="3">
    <w:name w:val="heading 2"/>
    <w:basedOn w:val="1"/>
    <w:next w:val="1"/>
    <w:qFormat/>
    <w:uiPriority w:val="1"/>
    <w:pPr>
      <w:ind w:left="-22"/>
      <w:outlineLvl w:val="1"/>
    </w:pPr>
    <w:rPr>
      <w:rFonts w:ascii="Arial Unicode MS" w:hAnsi="Arial Unicode MS" w:eastAsia="Arial Unicode MS" w:cs="Arial Unicode MS"/>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Balloon Text"/>
    <w:basedOn w:val="1"/>
    <w:link w:val="15"/>
    <w:unhideWhenUsed/>
    <w:qFormat/>
    <w:uiPriority w:val="99"/>
    <w:pPr>
      <w:widowControl w:val="0"/>
      <w:autoSpaceDE/>
      <w:autoSpaceDN/>
      <w:spacing w:line="240" w:lineRule="auto"/>
      <w:ind w:firstLine="0" w:firstLineChars="0"/>
      <w:jc w:val="both"/>
    </w:pPr>
    <w:rPr>
      <w:rFonts w:asciiTheme="minorHAnsi" w:hAnsiTheme="minorHAnsi" w:eastAsiaTheme="minorEastAsia" w:cstheme="minorBidi"/>
      <w:kern w:val="2"/>
      <w:sz w:val="18"/>
      <w:szCs w:val="18"/>
    </w:rPr>
  </w:style>
  <w:style w:type="paragraph" w:styleId="6">
    <w:name w:val="footer"/>
    <w:basedOn w:val="1"/>
    <w:qFormat/>
    <w:uiPriority w:val="0"/>
    <w:pPr>
      <w:tabs>
        <w:tab w:val="center" w:pos="4153"/>
        <w:tab w:val="right" w:pos="8306"/>
      </w:tabs>
    </w:pPr>
    <w:rPr>
      <w:sz w:val="18"/>
    </w:rPr>
  </w:style>
  <w:style w:type="paragraph" w:styleId="7">
    <w:name w:val="header"/>
    <w:basedOn w:val="1"/>
    <w:link w:val="13"/>
    <w:qFormat/>
    <w:uiPriority w:val="0"/>
    <w:pPr>
      <w:pBdr>
        <w:bottom w:val="single" w:color="auto" w:sz="6" w:space="1"/>
      </w:pBdr>
      <w:tabs>
        <w:tab w:val="center" w:pos="4153"/>
        <w:tab w:val="right" w:pos="8306"/>
      </w:tabs>
      <w:jc w:val="center"/>
    </w:pPr>
    <w:rPr>
      <w:sz w:val="18"/>
      <w:szCs w:val="18"/>
    </w:rPr>
  </w:style>
  <w:style w:type="paragraph" w:styleId="8">
    <w:name w:val="HTML Preformatted"/>
    <w:basedOn w:val="1"/>
    <w:link w:val="1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style>
  <w:style w:type="paragraph" w:styleId="9">
    <w:name w:val="Normal (Web)"/>
    <w:basedOn w:val="1"/>
    <w:qFormat/>
    <w:uiPriority w:val="0"/>
    <w:pPr>
      <w:autoSpaceDE/>
      <w:autoSpaceDN/>
      <w:spacing w:before="100" w:beforeAutospacing="1" w:after="100" w:afterAutospacing="1"/>
    </w:pPr>
  </w:style>
  <w:style w:type="paragraph" w:customStyle="1" w:styleId="12">
    <w:name w:val="Table Paragraph"/>
    <w:basedOn w:val="1"/>
    <w:qFormat/>
    <w:uiPriority w:val="1"/>
  </w:style>
  <w:style w:type="character" w:customStyle="1" w:styleId="13">
    <w:name w:val="页眉 Char"/>
    <w:basedOn w:val="11"/>
    <w:link w:val="7"/>
    <w:qFormat/>
    <w:uiPriority w:val="0"/>
    <w:rPr>
      <w:rFonts w:ascii="宋体" w:hAnsi="宋体" w:eastAsia="宋体" w:cs="宋体"/>
      <w:sz w:val="18"/>
      <w:szCs w:val="18"/>
    </w:rPr>
  </w:style>
  <w:style w:type="character" w:customStyle="1" w:styleId="14">
    <w:name w:val="HTML 预设格式 Char"/>
    <w:basedOn w:val="11"/>
    <w:link w:val="8"/>
    <w:qFormat/>
    <w:uiPriority w:val="0"/>
    <w:rPr>
      <w:rFonts w:ascii="宋体" w:hAnsi="宋体" w:eastAsia="宋体" w:cs="宋体"/>
      <w:sz w:val="24"/>
      <w:szCs w:val="24"/>
    </w:rPr>
  </w:style>
  <w:style w:type="character" w:customStyle="1" w:styleId="15">
    <w:name w:val="批注框文本 Char"/>
    <w:basedOn w:val="11"/>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4060</Words>
  <Characters>4209</Characters>
  <Lines>30</Lines>
  <Paragraphs>8</Paragraphs>
  <TotalTime>61</TotalTime>
  <ScaleCrop>false</ScaleCrop>
  <LinksUpToDate>false</LinksUpToDate>
  <CharactersWithSpaces>4213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2024-04-10T08:04:00Z</dcterms:created>
  <dc:creator>Administrator</dc:creator>
  <cp:lastModifiedBy>邓婷</cp:lastModifiedBy>
  <cp:lastPrinted>2024-05-11T02:48:00Z</cp:lastPrinted>
  <dcterms:modified xsi:type="dcterms:W3CDTF">2025-02-21T07:36:29Z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2E33F3CBD30747A3A761B5BEEFCFA1AE_13</vt:lpwstr>
  </property>
  <property fmtid="{D5CDD505-2E9C-101B-9397-08002B2CF9AE}" pid="4" name="KSOTemplateDocerSaveRecord">
    <vt:lpwstr>eyJoZGlkIjoiMDZlNGIwZmI4ZTFmN2U2MzBlYTUxMzQyY2VkMWEwOWQiLCJ1c2VySWQiOiIxMDY5MjgzMDcxIn0=</vt:lpwstr>
  </property>
</Properties>
</file>