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ind w:left="210" w:leftChars="1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ab/>
      </w:r>
    </w:p>
    <w:p>
      <w:pPr>
        <w:kinsoku w:val="0"/>
        <w:overflowPunct w:val="0"/>
        <w:autoSpaceDE w:val="0"/>
        <w:autoSpaceDN w:val="0"/>
        <w:adjustRightInd w:val="0"/>
        <w:snapToGrid w:val="0"/>
        <w:jc w:val="center"/>
        <w:rPr>
          <w:rFonts w:ascii="Times New Roman" w:hAnsi="Times New Roman" w:eastAsia="黑体"/>
          <w:color w:val="000000" w:themeColor="text1"/>
          <w:sz w:val="72"/>
          <w14:textFill>
            <w14:solidFill>
              <w14:schemeClr w14:val="tx1"/>
            </w14:solidFill>
          </w14:textFill>
        </w:rPr>
      </w:pPr>
      <w:r>
        <w:rPr>
          <w:rFonts w:hint="eastAsia" w:ascii="Times New Roman" w:hAnsi="Times New Roman" w:eastAsia="黑体"/>
          <w:color w:val="000000" w:themeColor="text1"/>
          <w:sz w:val="72"/>
          <w14:textFill>
            <w14:solidFill>
              <w14:schemeClr w14:val="tx1"/>
            </w14:solidFill>
          </w14:textFill>
        </w:rPr>
        <w:br w:type="textWrapping"/>
      </w:r>
    </w:p>
    <w:p>
      <w:pPr>
        <w:kinsoku w:val="0"/>
        <w:overflowPunct w:val="0"/>
        <w:autoSpaceDE w:val="0"/>
        <w:autoSpaceDN w:val="0"/>
        <w:adjustRightInd w:val="0"/>
        <w:snapToGrid w:val="0"/>
        <w:jc w:val="center"/>
        <w:rPr>
          <w:rFonts w:ascii="Times New Roman" w:hAnsi="Times New Roman" w:eastAsia="黑体"/>
          <w:color w:val="000000" w:themeColor="text1"/>
          <w:sz w:val="72"/>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b/>
          <w:color w:val="000000" w:themeColor="text1"/>
          <w:sz w:val="72"/>
          <w14:textFill>
            <w14:solidFill>
              <w14:schemeClr w14:val="tx1"/>
            </w14:solidFill>
          </w14:textFill>
        </w:rPr>
      </w:pPr>
      <w:r>
        <w:rPr>
          <w:rFonts w:ascii="Times New Roman" w:hAnsi="Times New Roman"/>
          <w:b/>
          <w:color w:val="000000" w:themeColor="text1"/>
          <w:sz w:val="72"/>
          <w14:textFill>
            <w14:solidFill>
              <w14:schemeClr w14:val="tx1"/>
            </w14:solidFill>
          </w14:textFill>
        </w:rPr>
        <w:t>建设项目环境影响报告表</w:t>
      </w:r>
    </w:p>
    <w:p>
      <w:pPr>
        <w:kinsoku w:val="0"/>
        <w:overflowPunct w:val="0"/>
        <w:autoSpaceDE w:val="0"/>
        <w:autoSpaceDN w:val="0"/>
        <w:adjustRightInd w:val="0"/>
        <w:snapToGrid w:val="0"/>
        <w:jc w:val="center"/>
        <w:rPr>
          <w:rFonts w:ascii="Times New Roman" w:hAnsi="Times New Roman"/>
          <w:color w:val="000000" w:themeColor="text1"/>
          <w:sz w:val="44"/>
          <w:szCs w:val="44"/>
          <w14:textFill>
            <w14:solidFill>
              <w14:schemeClr w14:val="tx1"/>
            </w14:solidFill>
          </w14:textFill>
        </w:rPr>
      </w:pPr>
      <w:r>
        <w:rPr>
          <w:rFonts w:ascii="Times New Roman" w:hAnsi="Times New Roman"/>
          <w:color w:val="000000" w:themeColor="text1"/>
          <w:sz w:val="44"/>
          <w:szCs w:val="44"/>
          <w14:textFill>
            <w14:solidFill>
              <w14:schemeClr w14:val="tx1"/>
            </w14:solidFill>
          </w14:textFill>
        </w:rPr>
        <w:t>（</w:t>
      </w:r>
      <w:r>
        <w:rPr>
          <w:rFonts w:hint="eastAsia" w:ascii="Times New Roman" w:hAnsi="Times New Roman"/>
          <w:color w:val="000000" w:themeColor="text1"/>
          <w:sz w:val="44"/>
          <w:szCs w:val="44"/>
          <w14:textFill>
            <w14:solidFill>
              <w14:schemeClr w14:val="tx1"/>
            </w14:solidFill>
          </w14:textFill>
        </w:rPr>
        <w:t>报批稿</w:t>
      </w:r>
      <w:r>
        <w:rPr>
          <w:rFonts w:ascii="Times New Roman" w:hAnsi="Times New Roman"/>
          <w:color w:val="000000" w:themeColor="text1"/>
          <w:sz w:val="44"/>
          <w:szCs w:val="44"/>
          <w14:textFill>
            <w14:solidFill>
              <w14:schemeClr w14:val="tx1"/>
            </w14:solidFill>
          </w14:textFill>
        </w:rPr>
        <w:t>）</w:t>
      </w: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spacing w:line="360" w:lineRule="auto"/>
        <w:ind w:left="-210" w:leftChars="-100"/>
        <w:jc w:val="left"/>
        <w:rPr>
          <w:rFonts w:ascii="Times New Roman" w:hAnsi="Times New Roman"/>
          <w:b/>
          <w:color w:val="000000" w:themeColor="text1"/>
          <w:sz w:val="30"/>
          <w:szCs w:val="30"/>
          <w:u w:val="single"/>
          <w14:textFill>
            <w14:solidFill>
              <w14:schemeClr w14:val="tx1"/>
            </w14:solidFill>
          </w14:textFill>
        </w:rPr>
      </w:pPr>
      <w:r>
        <w:rPr>
          <w:rFonts w:ascii="Times New Roman" w:hAnsi="Times New Roman"/>
          <w:b/>
          <w:color w:val="000000" w:themeColor="text1"/>
          <w:sz w:val="30"/>
          <w:szCs w:val="30"/>
          <w:u w:val="single"/>
          <w14:textFill>
            <w14:solidFill>
              <w14:schemeClr w14:val="tx1"/>
            </w14:solidFill>
          </w14:textFill>
        </w:rPr>
        <w:t>项目名称：</w:t>
      </w:r>
      <w:r>
        <w:rPr>
          <w:rFonts w:hint="eastAsia" w:ascii="Times New Roman" w:hAnsi="Times New Roman"/>
          <w:b/>
          <w:color w:val="000000" w:themeColor="text1"/>
          <w:sz w:val="30"/>
          <w:szCs w:val="30"/>
          <w:u w:val="single"/>
          <w14:textFill>
            <w14:solidFill>
              <w14:schemeClr w14:val="tx1"/>
            </w14:solidFill>
          </w14:textFill>
        </w:rPr>
        <w:t>中国石化销售股份有限公司湖南衡阳石油分公司祁东城西加油站改建项目</w:t>
      </w:r>
    </w:p>
    <w:p>
      <w:pPr>
        <w:spacing w:line="360" w:lineRule="auto"/>
        <w:ind w:left="-210" w:leftChars="-100"/>
        <w:jc w:val="left"/>
        <w:rPr>
          <w:rFonts w:ascii="Times New Roman" w:hAnsi="Times New Roman"/>
          <w:b/>
          <w:color w:val="000000" w:themeColor="text1"/>
          <w:sz w:val="30"/>
          <w:szCs w:val="30"/>
          <w:u w:val="single"/>
          <w14:textFill>
            <w14:solidFill>
              <w14:schemeClr w14:val="tx1"/>
            </w14:solidFill>
          </w14:textFill>
        </w:rPr>
      </w:pPr>
      <w:r>
        <w:rPr>
          <w:rFonts w:ascii="Times New Roman" w:hAnsi="Times New Roman"/>
          <w:b/>
          <w:color w:val="000000" w:themeColor="text1"/>
          <w:sz w:val="30"/>
          <w:szCs w:val="30"/>
          <w:u w:val="single"/>
          <w14:textFill>
            <w14:solidFill>
              <w14:schemeClr w14:val="tx1"/>
            </w14:solidFill>
          </w14:textFill>
        </w:rPr>
        <w:t>建设单位：</w:t>
      </w:r>
      <w:r>
        <w:rPr>
          <w:rFonts w:hint="eastAsia" w:ascii="Times New Roman" w:hAnsi="Times New Roman"/>
          <w:b/>
          <w:color w:val="000000" w:themeColor="text1"/>
          <w:sz w:val="30"/>
          <w:szCs w:val="30"/>
          <w:u w:val="single"/>
          <w14:textFill>
            <w14:solidFill>
              <w14:schemeClr w14:val="tx1"/>
            </w14:solidFill>
          </w14:textFill>
        </w:rPr>
        <w:t>中国石化销售股份有限公司湖南衡阳石油分公司</w:t>
      </w:r>
      <w:r>
        <w:rPr>
          <w:rFonts w:ascii="Times New Roman" w:hAnsi="Times New Roman"/>
          <w:b/>
          <w:color w:val="000000" w:themeColor="text1"/>
          <w:sz w:val="30"/>
          <w:szCs w:val="30"/>
          <w:u w:val="single"/>
          <w14:textFill>
            <w14:solidFill>
              <w14:schemeClr w14:val="tx1"/>
            </w14:solidFill>
          </w14:textFill>
        </w:rPr>
        <w:t>(盖章)</w:t>
      </w:r>
    </w:p>
    <w:p>
      <w:pPr>
        <w:spacing w:line="360" w:lineRule="auto"/>
        <w:ind w:left="-210" w:leftChars="-100"/>
        <w:jc w:val="left"/>
        <w:rPr>
          <w:rFonts w:ascii="Times New Roman" w:hAnsi="Times New Roman"/>
          <w:b/>
          <w:color w:val="000000" w:themeColor="text1"/>
          <w:sz w:val="30"/>
          <w:szCs w:val="30"/>
          <w:u w:val="single"/>
          <w14:textFill>
            <w14:solidFill>
              <w14:schemeClr w14:val="tx1"/>
            </w14:solidFill>
          </w14:textFill>
        </w:rPr>
      </w:pPr>
      <w:r>
        <w:rPr>
          <w:rFonts w:ascii="Times New Roman" w:hAnsi="Times New Roman"/>
          <w:b/>
          <w:color w:val="000000" w:themeColor="text1"/>
          <w:sz w:val="30"/>
          <w:szCs w:val="30"/>
          <w:u w:val="single"/>
          <w14:textFill>
            <w14:solidFill>
              <w14:schemeClr w14:val="tx1"/>
            </w14:solidFill>
          </w14:textFill>
        </w:rPr>
        <w:t>环评单位：</w:t>
      </w:r>
      <w:bookmarkStart w:id="44" w:name="_GoBack"/>
      <w:r>
        <w:rPr>
          <w:rFonts w:hint="eastAsia" w:ascii="Times New Roman" w:hAnsi="Times New Roman"/>
          <w:b/>
          <w:bCs/>
          <w:color w:val="000000" w:themeColor="text1"/>
          <w:sz w:val="30"/>
          <w:szCs w:val="30"/>
          <w:u w:val="single"/>
          <w14:textFill>
            <w14:solidFill>
              <w14:schemeClr w14:val="tx1"/>
            </w14:solidFill>
          </w14:textFill>
        </w:rPr>
        <w:t>重庆大润环境科学研究院有限公司</w:t>
      </w:r>
      <w:bookmarkEnd w:id="44"/>
    </w:p>
    <w:p>
      <w:pPr>
        <w:spacing w:line="360" w:lineRule="auto"/>
        <w:jc w:val="center"/>
        <w:rPr>
          <w:rFonts w:ascii="Times New Roman" w:hAnsi="Times New Roman"/>
          <w:color w:val="000000" w:themeColor="text1"/>
          <w:sz w:val="20"/>
          <w14:textFill>
            <w14:solidFill>
              <w14:schemeClr w14:val="tx1"/>
            </w14:solidFill>
          </w14:textFill>
        </w:rPr>
      </w:pPr>
    </w:p>
    <w:p>
      <w:pPr>
        <w:spacing w:line="360" w:lineRule="auto"/>
        <w:jc w:val="center"/>
        <w:rPr>
          <w:rFonts w:ascii="Times New Roman" w:hAnsi="Times New Roman"/>
          <w:color w:val="000000" w:themeColor="text1"/>
          <w:sz w:val="20"/>
          <w14:textFill>
            <w14:solidFill>
              <w14:schemeClr w14:val="tx1"/>
            </w14:solidFill>
          </w14:textFill>
        </w:rPr>
      </w:pPr>
    </w:p>
    <w:p>
      <w:pPr>
        <w:jc w:val="center"/>
        <w:rPr>
          <w:rFonts w:ascii="Times New Roman" w:hAnsi="Times New Roman"/>
          <w:color w:val="000000" w:themeColor="text1"/>
          <w:sz w:val="20"/>
          <w14:textFill>
            <w14:solidFill>
              <w14:schemeClr w14:val="tx1"/>
            </w14:solidFill>
          </w14:textFill>
        </w:rPr>
      </w:pPr>
    </w:p>
    <w:p>
      <w:pPr>
        <w:jc w:val="center"/>
        <w:rPr>
          <w:rFonts w:ascii="Times New Roman" w:hAnsi="Times New Roman"/>
          <w:color w:val="000000" w:themeColor="text1"/>
          <w:sz w:val="20"/>
          <w14:textFill>
            <w14:solidFill>
              <w14:schemeClr w14:val="tx1"/>
            </w14:solidFill>
          </w14:textFill>
        </w:rPr>
      </w:pPr>
    </w:p>
    <w:p>
      <w:pPr>
        <w:spacing w:line="900" w:lineRule="exact"/>
        <w:jc w:val="cente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编制日期：20</w:t>
      </w:r>
      <w:r>
        <w:rPr>
          <w:rFonts w:hint="eastAsia" w:ascii="Times New Roman" w:hAnsi="Times New Roman"/>
          <w:b/>
          <w:color w:val="000000" w:themeColor="text1"/>
          <w:sz w:val="32"/>
          <w:szCs w:val="32"/>
          <w14:textFill>
            <w14:solidFill>
              <w14:schemeClr w14:val="tx1"/>
            </w14:solidFill>
          </w14:textFill>
        </w:rPr>
        <w:t>20</w:t>
      </w:r>
      <w:r>
        <w:rPr>
          <w:rFonts w:ascii="Times New Roman" w:hAnsi="Times New Roman"/>
          <w:b/>
          <w:color w:val="000000" w:themeColor="text1"/>
          <w:sz w:val="32"/>
          <w:szCs w:val="32"/>
          <w14:textFill>
            <w14:solidFill>
              <w14:schemeClr w14:val="tx1"/>
            </w14:solidFill>
          </w14:textFill>
        </w:rPr>
        <w:t>年</w:t>
      </w:r>
      <w:r>
        <w:rPr>
          <w:rFonts w:hint="eastAsia" w:ascii="Times New Roman" w:hAnsi="Times New Roman"/>
          <w:b/>
          <w:color w:val="000000" w:themeColor="text1"/>
          <w:sz w:val="32"/>
          <w:szCs w:val="32"/>
          <w14:textFill>
            <w14:solidFill>
              <w14:schemeClr w14:val="tx1"/>
            </w14:solidFill>
          </w14:textFill>
        </w:rPr>
        <w:t>2</w:t>
      </w:r>
      <w:r>
        <w:rPr>
          <w:rFonts w:ascii="Times New Roman" w:hAnsi="Times New Roman"/>
          <w:b/>
          <w:color w:val="000000" w:themeColor="text1"/>
          <w:sz w:val="32"/>
          <w:szCs w:val="32"/>
          <w14:textFill>
            <w14:solidFill>
              <w14:schemeClr w14:val="tx1"/>
            </w14:solidFill>
          </w14:textFill>
        </w:rPr>
        <w:t>月</w:t>
      </w:r>
    </w:p>
    <w:p>
      <w:pPr>
        <w:widowControl/>
        <w:jc w:val="left"/>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br w:type="page"/>
      </w:r>
    </w:p>
    <w:p>
      <w:pPr>
        <w:widowControl/>
        <w:jc w:val="center"/>
        <w:rPr>
          <w:rFonts w:ascii="Times New Roman" w:hAnsi="Times New Roman"/>
          <w:b/>
          <w:color w:val="000000" w:themeColor="text1"/>
          <w:sz w:val="36"/>
          <w:szCs w:val="36"/>
          <w14:textFill>
            <w14:solidFill>
              <w14:schemeClr w14:val="tx1"/>
            </w14:solidFill>
          </w14:textFill>
        </w:rPr>
      </w:pPr>
      <w:r>
        <w:rPr>
          <w:rFonts w:ascii="Times New Roman" w:hAnsi="Times New Roman"/>
          <w:b/>
          <w:color w:val="000000" w:themeColor="text1"/>
          <w:sz w:val="36"/>
          <w:szCs w:val="36"/>
          <w14:textFill>
            <w14:solidFill>
              <w14:schemeClr w14:val="tx1"/>
            </w14:solidFill>
          </w14:textFill>
        </w:rPr>
        <w:t>修改说明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专家意见</w:t>
            </w:r>
          </w:p>
        </w:tc>
        <w:tc>
          <w:tcPr>
            <w:tcW w:w="305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修改情况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5"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1、核实工程加油量，明确拟拆除油罐去向；</w:t>
            </w:r>
          </w:p>
        </w:tc>
        <w:tc>
          <w:tcPr>
            <w:tcW w:w="305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已核实</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汽油加油量设计为</w:t>
            </w:r>
            <w:r>
              <w:rPr>
                <w:rFonts w:hint="eastAsia"/>
                <w:color w:val="000000" w:themeColor="text1"/>
                <w14:textFill>
                  <w14:solidFill>
                    <w14:schemeClr w14:val="tx1"/>
                  </w14:solidFill>
                </w14:textFill>
              </w:rPr>
              <w:t>300t/a，柴油加油量设计为1000t/a；拆除油罐去向已明确，详见P9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5"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2、根据汽油、柴油挥发性，核实项目非甲烷总烃产排量；核实油气回收装置数量，细化设置位置说明；</w:t>
            </w:r>
          </w:p>
        </w:tc>
        <w:tc>
          <w:tcPr>
            <w:tcW w:w="305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已修改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详见</w:t>
            </w:r>
            <w:r>
              <w:rPr>
                <w:rFonts w:hint="eastAsia"/>
                <w:color w:val="000000" w:themeColor="text1"/>
                <w14:textFill>
                  <w14:solidFill>
                    <w14:schemeClr w14:val="tx1"/>
                  </w14:solidFill>
                </w14:textFill>
              </w:rPr>
              <w:t>P29-30；P40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5"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3、核实废水排放路径及去向，根据项目所在地管网建设现状及规划，完善分析废水可排入渔陂污水处理厂的可行性；</w:t>
            </w:r>
          </w:p>
        </w:tc>
        <w:tc>
          <w:tcPr>
            <w:tcW w:w="305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已核实</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详见</w:t>
            </w:r>
            <w:r>
              <w:rPr>
                <w:rFonts w:hint="eastAsia"/>
                <w:color w:val="000000" w:themeColor="text1"/>
                <w14:textFill>
                  <w14:solidFill>
                    <w14:schemeClr w14:val="tx1"/>
                  </w14:solidFill>
                </w14:textFill>
              </w:rPr>
              <w:t>P48及附图5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5"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4、明确油罐清罐频次，核实清罐废液、废渣产生量；</w:t>
            </w:r>
          </w:p>
        </w:tc>
        <w:tc>
          <w:tcPr>
            <w:tcW w:w="305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已核实</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详见</w:t>
            </w:r>
            <w:r>
              <w:rPr>
                <w:rFonts w:hint="eastAsia"/>
                <w:color w:val="000000" w:themeColor="text1"/>
                <w14:textFill>
                  <w14:solidFill>
                    <w14:schemeClr w14:val="tx1"/>
                  </w14:solidFill>
                </w14:textFill>
              </w:rPr>
              <w:t>P33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5"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5、核实环保投资，补充罐区防渗等环保验收内容；</w:t>
            </w:r>
          </w:p>
        </w:tc>
        <w:tc>
          <w:tcPr>
            <w:tcW w:w="305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已核实修改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详见</w:t>
            </w:r>
            <w:r>
              <w:rPr>
                <w:rFonts w:hint="eastAsia"/>
                <w:color w:val="000000" w:themeColor="text1"/>
                <w14:textFill>
                  <w14:solidFill>
                    <w14:schemeClr w14:val="tx1"/>
                  </w14:solidFill>
                </w14:textFill>
              </w:rPr>
              <w:t>P62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5"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6、完善项目平面布置图，图中补充标注地下水观测井、油气回收装置、隔油沉砂池、化粪池位置；</w:t>
            </w:r>
          </w:p>
        </w:tc>
        <w:tc>
          <w:tcPr>
            <w:tcW w:w="305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已完善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详见附图</w:t>
            </w: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5"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7、提出项目开展安全评价要求。</w:t>
            </w:r>
          </w:p>
        </w:tc>
        <w:tc>
          <w:tcPr>
            <w:tcW w:w="305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已补充</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详见</w:t>
            </w:r>
            <w:r>
              <w:rPr>
                <w:rFonts w:hint="eastAsia"/>
                <w:color w:val="000000" w:themeColor="text1"/>
                <w14:textFill>
                  <w14:solidFill>
                    <w14:schemeClr w14:val="tx1"/>
                  </w14:solidFill>
                </w14:textFill>
              </w:rPr>
              <w:t>P1及附件10</w:t>
            </w:r>
          </w:p>
        </w:tc>
      </w:tr>
    </w:tbl>
    <w:p>
      <w:pPr>
        <w:widowControl/>
        <w:jc w:val="left"/>
        <w:rPr>
          <w:rFonts w:ascii="Times New Roman" w:hAnsi="Times New Roman"/>
          <w:b/>
          <w:color w:val="000000" w:themeColor="text1"/>
          <w:sz w:val="36"/>
          <w:szCs w:val="36"/>
          <w14:textFill>
            <w14:solidFill>
              <w14:schemeClr w14:val="tx1"/>
            </w14:solidFill>
          </w14:textFill>
        </w:rPr>
      </w:pPr>
      <w:r>
        <w:rPr>
          <w:rFonts w:ascii="Times New Roman" w:hAnsi="Times New Roman"/>
          <w:b/>
          <w:color w:val="000000" w:themeColor="text1"/>
          <w:sz w:val="36"/>
          <w:szCs w:val="36"/>
          <w14:textFill>
            <w14:solidFill>
              <w14:schemeClr w14:val="tx1"/>
            </w14:solidFill>
          </w14:textFill>
        </w:rPr>
        <w:br w:type="page"/>
      </w:r>
    </w:p>
    <w:p>
      <w:pPr>
        <w:pStyle w:val="19"/>
        <w:tabs>
          <w:tab w:val="right" w:leader="dot" w:pos="8296"/>
        </w:tabs>
        <w:jc w:val="center"/>
        <w:rPr>
          <w:rFonts w:ascii="Times New Roman" w:hAnsi="Times New Roman"/>
          <w:b/>
          <w:color w:val="000000" w:themeColor="text1"/>
          <w:sz w:val="36"/>
          <w:szCs w:val="36"/>
          <w14:textFill>
            <w14:solidFill>
              <w14:schemeClr w14:val="tx1"/>
            </w14:solidFill>
          </w14:textFill>
        </w:rPr>
      </w:pPr>
      <w:r>
        <w:rPr>
          <w:rFonts w:ascii="Times New Roman" w:hAnsi="Times New Roman"/>
          <w:b/>
          <w:color w:val="000000" w:themeColor="text1"/>
          <w:sz w:val="36"/>
          <w:szCs w:val="36"/>
          <w14:textFill>
            <w14:solidFill>
              <w14:schemeClr w14:val="tx1"/>
            </w14:solidFill>
          </w14:textFill>
        </w:rPr>
        <w:t>目 录</w:t>
      </w:r>
    </w:p>
    <w:p>
      <w:pPr>
        <w:pStyle w:val="19"/>
        <w:tabs>
          <w:tab w:val="right" w:leader="dot" w:pos="9174"/>
        </w:tabs>
        <w:rPr>
          <w:rFonts w:asciiTheme="minorHAnsi" w:hAnsiTheme="minorHAnsi" w:eastAsiaTheme="minorEastAsia" w:cstheme="minorBidi"/>
          <w:b/>
          <w:color w:val="000000" w:themeColor="text1"/>
          <w:sz w:val="28"/>
          <w:szCs w:val="28"/>
          <w14:textFill>
            <w14:solidFill>
              <w14:schemeClr w14:val="tx1"/>
            </w14:solidFill>
          </w14:textFill>
        </w:rPr>
      </w:pPr>
      <w:r>
        <w:rPr>
          <w:rFonts w:ascii="Times New Roman" w:hAnsi="Times New Roman" w:eastAsia="黑体"/>
          <w:color w:val="000000" w:themeColor="text1"/>
          <w:sz w:val="28"/>
          <w:szCs w:val="28"/>
          <w14:textFill>
            <w14:solidFill>
              <w14:schemeClr w14:val="tx1"/>
            </w14:solidFill>
          </w14:textFill>
        </w:rPr>
        <w:fldChar w:fldCharType="begin"/>
      </w:r>
      <w:r>
        <w:rPr>
          <w:rFonts w:ascii="Times New Roman" w:hAnsi="Times New Roman" w:eastAsia="黑体"/>
          <w:color w:val="000000" w:themeColor="text1"/>
          <w:sz w:val="28"/>
          <w:szCs w:val="28"/>
          <w14:textFill>
            <w14:solidFill>
              <w14:schemeClr w14:val="tx1"/>
            </w14:solidFill>
          </w14:textFill>
        </w:rPr>
        <w:instrText xml:space="preserve"> TOC \o "1-1" \h \z \u </w:instrText>
      </w:r>
      <w:r>
        <w:rPr>
          <w:rFonts w:ascii="Times New Roman" w:hAnsi="Times New Roman" w:eastAsia="黑体"/>
          <w:color w:val="000000" w:themeColor="text1"/>
          <w:sz w:val="28"/>
          <w:szCs w:val="28"/>
          <w14:textFill>
            <w14:solidFill>
              <w14:schemeClr w14:val="tx1"/>
            </w14:solidFill>
          </w14:textFill>
        </w:rPr>
        <w:fldChar w:fldCharType="separate"/>
      </w:r>
      <w:r>
        <w:fldChar w:fldCharType="begin"/>
      </w:r>
      <w:r>
        <w:instrText xml:space="preserve"> HYPERLINK \l "_Toc29913610" </w:instrText>
      </w:r>
      <w:r>
        <w:fldChar w:fldCharType="separate"/>
      </w:r>
      <w:r>
        <w:rPr>
          <w:rStyle w:val="33"/>
          <w:rFonts w:hint="eastAsia" w:ascii="Times New Roman" w:hAnsi="Times New Roman"/>
          <w:b/>
          <w:color w:val="000000" w:themeColor="text1"/>
          <w:sz w:val="28"/>
          <w:szCs w:val="28"/>
          <w14:textFill>
            <w14:solidFill>
              <w14:schemeClr w14:val="tx1"/>
            </w14:solidFill>
          </w14:textFill>
        </w:rPr>
        <w:t>一、建设项目基本情况</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_Toc29913610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1</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pStyle w:val="19"/>
        <w:tabs>
          <w:tab w:val="right" w:leader="dot" w:pos="9174"/>
        </w:tabs>
        <w:rPr>
          <w:rFonts w:asciiTheme="minorHAnsi" w:hAnsiTheme="minorHAnsi" w:eastAsiaTheme="minorEastAsia" w:cstheme="minorBidi"/>
          <w:b/>
          <w:color w:val="000000" w:themeColor="text1"/>
          <w:sz w:val="28"/>
          <w:szCs w:val="28"/>
          <w14:textFill>
            <w14:solidFill>
              <w14:schemeClr w14:val="tx1"/>
            </w14:solidFill>
          </w14:textFill>
        </w:rPr>
      </w:pPr>
      <w:r>
        <w:fldChar w:fldCharType="begin"/>
      </w:r>
      <w:r>
        <w:instrText xml:space="preserve"> HYPERLINK \l "_Toc29913611" </w:instrText>
      </w:r>
      <w:r>
        <w:fldChar w:fldCharType="separate"/>
      </w:r>
      <w:r>
        <w:rPr>
          <w:rStyle w:val="33"/>
          <w:rFonts w:hint="eastAsia" w:ascii="Times New Roman" w:hAnsi="Times New Roman"/>
          <w:b/>
          <w:color w:val="000000" w:themeColor="text1"/>
          <w:sz w:val="28"/>
          <w:szCs w:val="28"/>
          <w14:textFill>
            <w14:solidFill>
              <w14:schemeClr w14:val="tx1"/>
            </w14:solidFill>
          </w14:textFill>
        </w:rPr>
        <w:t>二、建设项目所在地自然环境简况</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_Toc29913611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10</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pStyle w:val="19"/>
        <w:tabs>
          <w:tab w:val="right" w:leader="dot" w:pos="9174"/>
        </w:tabs>
        <w:rPr>
          <w:rFonts w:asciiTheme="minorHAnsi" w:hAnsiTheme="minorHAnsi" w:eastAsiaTheme="minorEastAsia" w:cstheme="minorBidi"/>
          <w:b/>
          <w:color w:val="000000" w:themeColor="text1"/>
          <w:sz w:val="28"/>
          <w:szCs w:val="28"/>
          <w14:textFill>
            <w14:solidFill>
              <w14:schemeClr w14:val="tx1"/>
            </w14:solidFill>
          </w14:textFill>
        </w:rPr>
      </w:pPr>
      <w:r>
        <w:fldChar w:fldCharType="begin"/>
      </w:r>
      <w:r>
        <w:instrText xml:space="preserve"> HYPERLINK \l "_Toc29913612" </w:instrText>
      </w:r>
      <w:r>
        <w:fldChar w:fldCharType="separate"/>
      </w:r>
      <w:r>
        <w:rPr>
          <w:rStyle w:val="33"/>
          <w:rFonts w:hint="eastAsia" w:ascii="Times New Roman" w:hAnsi="Times New Roman"/>
          <w:b/>
          <w:color w:val="000000" w:themeColor="text1"/>
          <w:sz w:val="28"/>
          <w:szCs w:val="28"/>
          <w14:textFill>
            <w14:solidFill>
              <w14:schemeClr w14:val="tx1"/>
            </w14:solidFill>
          </w14:textFill>
        </w:rPr>
        <w:t>三、建设项目所在地环境现状简况</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_Toc29913612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14</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pStyle w:val="19"/>
        <w:tabs>
          <w:tab w:val="right" w:leader="dot" w:pos="9174"/>
        </w:tabs>
        <w:rPr>
          <w:rFonts w:asciiTheme="minorHAnsi" w:hAnsiTheme="minorHAnsi" w:eastAsiaTheme="minorEastAsia" w:cstheme="minorBidi"/>
          <w:b/>
          <w:color w:val="000000" w:themeColor="text1"/>
          <w:sz w:val="28"/>
          <w:szCs w:val="28"/>
          <w14:textFill>
            <w14:solidFill>
              <w14:schemeClr w14:val="tx1"/>
            </w14:solidFill>
          </w14:textFill>
        </w:rPr>
      </w:pPr>
      <w:r>
        <w:fldChar w:fldCharType="begin"/>
      </w:r>
      <w:r>
        <w:instrText xml:space="preserve"> HYPERLINK \l "_Toc29913613" </w:instrText>
      </w:r>
      <w:r>
        <w:fldChar w:fldCharType="separate"/>
      </w:r>
      <w:r>
        <w:rPr>
          <w:rStyle w:val="33"/>
          <w:rFonts w:hint="eastAsia" w:ascii="Times New Roman" w:hAnsi="Times New Roman"/>
          <w:b/>
          <w:color w:val="000000" w:themeColor="text1"/>
          <w:sz w:val="28"/>
          <w:szCs w:val="28"/>
          <w14:textFill>
            <w14:solidFill>
              <w14:schemeClr w14:val="tx1"/>
            </w14:solidFill>
          </w14:textFill>
        </w:rPr>
        <w:t>四、评价适用标准</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_Toc29913613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21</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pStyle w:val="19"/>
        <w:tabs>
          <w:tab w:val="right" w:leader="dot" w:pos="9174"/>
        </w:tabs>
        <w:rPr>
          <w:rFonts w:asciiTheme="minorHAnsi" w:hAnsiTheme="minorHAnsi" w:eastAsiaTheme="minorEastAsia" w:cstheme="minorBidi"/>
          <w:b/>
          <w:color w:val="000000" w:themeColor="text1"/>
          <w:sz w:val="28"/>
          <w:szCs w:val="28"/>
          <w14:textFill>
            <w14:solidFill>
              <w14:schemeClr w14:val="tx1"/>
            </w14:solidFill>
          </w14:textFill>
        </w:rPr>
      </w:pPr>
      <w:r>
        <w:fldChar w:fldCharType="begin"/>
      </w:r>
      <w:r>
        <w:instrText xml:space="preserve"> HYPERLINK \l "_Toc29913614" </w:instrText>
      </w:r>
      <w:r>
        <w:fldChar w:fldCharType="separate"/>
      </w:r>
      <w:r>
        <w:rPr>
          <w:rStyle w:val="33"/>
          <w:rFonts w:hint="eastAsia" w:ascii="Times New Roman" w:hAnsi="Times New Roman"/>
          <w:b/>
          <w:color w:val="000000" w:themeColor="text1"/>
          <w:sz w:val="28"/>
          <w:szCs w:val="28"/>
          <w14:textFill>
            <w14:solidFill>
              <w14:schemeClr w14:val="tx1"/>
            </w14:solidFill>
          </w14:textFill>
        </w:rPr>
        <w:t>五、建设项目工程分析</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_Toc29913614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25</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pStyle w:val="19"/>
        <w:tabs>
          <w:tab w:val="right" w:leader="dot" w:pos="9174"/>
        </w:tabs>
        <w:rPr>
          <w:rFonts w:asciiTheme="minorHAnsi" w:hAnsiTheme="minorHAnsi" w:eastAsiaTheme="minorEastAsia" w:cstheme="minorBidi"/>
          <w:b/>
          <w:color w:val="000000" w:themeColor="text1"/>
          <w:sz w:val="28"/>
          <w:szCs w:val="28"/>
          <w14:textFill>
            <w14:solidFill>
              <w14:schemeClr w14:val="tx1"/>
            </w14:solidFill>
          </w14:textFill>
        </w:rPr>
      </w:pPr>
      <w:r>
        <w:fldChar w:fldCharType="begin"/>
      </w:r>
      <w:r>
        <w:instrText xml:space="preserve"> HYPERLINK \l "_Toc29913615" </w:instrText>
      </w:r>
      <w:r>
        <w:fldChar w:fldCharType="separate"/>
      </w:r>
      <w:r>
        <w:rPr>
          <w:rStyle w:val="33"/>
          <w:rFonts w:hint="eastAsia" w:ascii="Times New Roman" w:hAnsi="Times New Roman" w:eastAsia="黑体"/>
          <w:b/>
          <w:color w:val="000000" w:themeColor="text1"/>
          <w:sz w:val="28"/>
          <w:szCs w:val="28"/>
          <w14:textFill>
            <w14:solidFill>
              <w14:schemeClr w14:val="tx1"/>
            </w14:solidFill>
          </w14:textFill>
        </w:rPr>
        <w:t>六、</w:t>
      </w:r>
      <w:r>
        <w:rPr>
          <w:rStyle w:val="33"/>
          <w:rFonts w:hint="eastAsia" w:ascii="Times New Roman" w:hAnsi="Times New Roman"/>
          <w:b/>
          <w:color w:val="000000" w:themeColor="text1"/>
          <w:sz w:val="28"/>
          <w:szCs w:val="28"/>
          <w14:textFill>
            <w14:solidFill>
              <w14:schemeClr w14:val="tx1"/>
            </w14:solidFill>
          </w14:textFill>
        </w:rPr>
        <w:t>项目主要污染物产生及预计排放情况</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_Toc29913615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35</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pStyle w:val="19"/>
        <w:tabs>
          <w:tab w:val="right" w:leader="dot" w:pos="9174"/>
        </w:tabs>
        <w:rPr>
          <w:rFonts w:asciiTheme="minorHAnsi" w:hAnsiTheme="minorHAnsi" w:eastAsiaTheme="minorEastAsia" w:cstheme="minorBidi"/>
          <w:b/>
          <w:color w:val="000000" w:themeColor="text1"/>
          <w:sz w:val="28"/>
          <w:szCs w:val="28"/>
          <w14:textFill>
            <w14:solidFill>
              <w14:schemeClr w14:val="tx1"/>
            </w14:solidFill>
          </w14:textFill>
        </w:rPr>
      </w:pPr>
      <w:r>
        <w:fldChar w:fldCharType="begin"/>
      </w:r>
      <w:r>
        <w:instrText xml:space="preserve"> HYPERLINK \l "_Toc29913616" </w:instrText>
      </w:r>
      <w:r>
        <w:fldChar w:fldCharType="separate"/>
      </w:r>
      <w:r>
        <w:rPr>
          <w:rStyle w:val="33"/>
          <w:rFonts w:hint="eastAsia" w:ascii="Times New Roman" w:hAnsi="Times New Roman"/>
          <w:b/>
          <w:color w:val="000000" w:themeColor="text1"/>
          <w:sz w:val="28"/>
          <w:szCs w:val="28"/>
          <w14:textFill>
            <w14:solidFill>
              <w14:schemeClr w14:val="tx1"/>
            </w14:solidFill>
          </w14:textFill>
        </w:rPr>
        <w:t>七、环境影响分析</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_Toc29913616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35</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pStyle w:val="19"/>
        <w:tabs>
          <w:tab w:val="right" w:leader="dot" w:pos="9174"/>
        </w:tabs>
        <w:rPr>
          <w:rFonts w:asciiTheme="minorHAnsi" w:hAnsiTheme="minorHAnsi" w:eastAsiaTheme="minorEastAsia" w:cstheme="minorBidi"/>
          <w:b/>
          <w:color w:val="000000" w:themeColor="text1"/>
          <w:sz w:val="28"/>
          <w:szCs w:val="28"/>
          <w14:textFill>
            <w14:solidFill>
              <w14:schemeClr w14:val="tx1"/>
            </w14:solidFill>
          </w14:textFill>
        </w:rPr>
      </w:pPr>
      <w:r>
        <w:fldChar w:fldCharType="begin"/>
      </w:r>
      <w:r>
        <w:instrText xml:space="preserve"> HYPERLINK \l "_Toc29913617" </w:instrText>
      </w:r>
      <w:r>
        <w:fldChar w:fldCharType="separate"/>
      </w:r>
      <w:r>
        <w:rPr>
          <w:rStyle w:val="33"/>
          <w:rFonts w:hint="eastAsia" w:ascii="Times New Roman" w:hAnsi="Times New Roman"/>
          <w:b/>
          <w:color w:val="000000" w:themeColor="text1"/>
          <w:sz w:val="28"/>
          <w:szCs w:val="28"/>
          <w14:textFill>
            <w14:solidFill>
              <w14:schemeClr w14:val="tx1"/>
            </w14:solidFill>
          </w14:textFill>
        </w:rPr>
        <w:t>八、建设项目拟采取的防治措施及预期治理效果</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_Toc29913617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65</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pStyle w:val="19"/>
        <w:tabs>
          <w:tab w:val="right" w:leader="dot" w:pos="9174"/>
        </w:tabs>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"_Toc29913618" </w:instrText>
      </w:r>
      <w:r>
        <w:fldChar w:fldCharType="separate"/>
      </w:r>
      <w:r>
        <w:rPr>
          <w:rStyle w:val="33"/>
          <w:rFonts w:hint="eastAsia" w:ascii="Times New Roman" w:hAnsi="Times New Roman"/>
          <w:b/>
          <w:color w:val="000000" w:themeColor="text1"/>
          <w:sz w:val="28"/>
          <w:szCs w:val="28"/>
          <w14:textFill>
            <w14:solidFill>
              <w14:schemeClr w14:val="tx1"/>
            </w14:solidFill>
          </w14:textFill>
        </w:rPr>
        <w:t>九、结论与建议</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_Toc29913618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66</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spacing w:line="360" w:lineRule="auto"/>
        <w:jc w:val="center"/>
        <w:rPr>
          <w:rFonts w:ascii="Times New Roman" w:hAnsi="Times New Roman" w:eastAsia="黑体"/>
          <w:b/>
          <w:color w:val="000000" w:themeColor="text1"/>
          <w:sz w:val="28"/>
          <w:szCs w:val="28"/>
          <w14:textFill>
            <w14:solidFill>
              <w14:schemeClr w14:val="tx1"/>
            </w14:solidFill>
          </w14:textFill>
        </w:rPr>
      </w:pPr>
      <w:r>
        <w:rPr>
          <w:rFonts w:ascii="Times New Roman" w:hAnsi="Times New Roman" w:eastAsia="黑体"/>
          <w:color w:val="000000" w:themeColor="text1"/>
          <w:sz w:val="28"/>
          <w:szCs w:val="28"/>
          <w14:textFill>
            <w14:solidFill>
              <w14:schemeClr w14:val="tx1"/>
            </w14:solidFill>
          </w14:textFill>
        </w:rPr>
        <w:fldChar w:fldCharType="end"/>
      </w:r>
    </w:p>
    <w:p>
      <w:pPr>
        <w:adjustRightInd w:val="0"/>
        <w:snapToGrid w:val="0"/>
        <w:spacing w:line="360" w:lineRule="auto"/>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br w:type="page"/>
      </w:r>
      <w:r>
        <w:rPr>
          <w:rFonts w:ascii="Times New Roman" w:hAnsi="Times New Roman"/>
          <w:b/>
          <w:color w:val="000000" w:themeColor="text1"/>
          <w:sz w:val="28"/>
          <w:szCs w:val="28"/>
          <w14:textFill>
            <w14:solidFill>
              <w14:schemeClr w14:val="tx1"/>
            </w14:solidFill>
          </w14:textFill>
        </w:rPr>
        <w:t>附件：</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附件1：环评委托书</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附件2：</w:t>
      </w:r>
      <w:r>
        <w:rPr>
          <w:rFonts w:hint="eastAsia"/>
          <w:color w:val="000000" w:themeColor="text1"/>
          <w14:textFill>
            <w14:solidFill>
              <w14:schemeClr w14:val="tx1"/>
            </w14:solidFill>
          </w14:textFill>
        </w:rPr>
        <w:t>企业营业执照</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附件3：</w:t>
      </w:r>
      <w:r>
        <w:rPr>
          <w:color w:val="000000" w:themeColor="text1"/>
          <w14:textFill>
            <w14:solidFill>
              <w14:schemeClr w14:val="tx1"/>
            </w14:solidFill>
          </w14:textFill>
        </w:rPr>
        <w:t>建设单位名称变更证明文件</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原有项目环评批复</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原有项目验收登记卡</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建设工程规划许可证</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附件7：项目申请改建的报告</w:t>
      </w:r>
    </w:p>
    <w:p>
      <w:pPr>
        <w:pStyle w:val="54"/>
        <w:ind w:firstLine="480"/>
        <w:rPr>
          <w:color w:val="000000" w:themeColor="text1"/>
          <w14:textFill>
            <w14:solidFill>
              <w14:schemeClr w14:val="tx1"/>
            </w14:solidFill>
          </w14:textFill>
        </w:rPr>
      </w:pPr>
      <w:r>
        <w:rPr>
          <w:color w:val="000000" w:themeColor="text1"/>
          <w:szCs w:val="22"/>
          <w14:textFill>
            <w14:solidFill>
              <w14:schemeClr w14:val="tx1"/>
            </w14:solidFill>
          </w14:textFill>
        </w:rPr>
        <w:t>附件</w:t>
      </w:r>
      <w:r>
        <w:rPr>
          <w:rFonts w:hint="eastAsia"/>
          <w:color w:val="000000" w:themeColor="text1"/>
          <w:szCs w:val="22"/>
          <w14:textFill>
            <w14:solidFill>
              <w14:schemeClr w14:val="tx1"/>
            </w14:solidFill>
          </w14:textFill>
        </w:rPr>
        <w:t>8</w:t>
      </w:r>
      <w:r>
        <w:rPr>
          <w:color w:val="000000" w:themeColor="text1"/>
          <w:szCs w:val="22"/>
          <w14:textFill>
            <w14:solidFill>
              <w14:schemeClr w14:val="tx1"/>
            </w14:solidFill>
          </w14:textFill>
        </w:rPr>
        <w:t>：</w:t>
      </w:r>
      <w:r>
        <w:rPr>
          <w:rFonts w:hint="eastAsia"/>
          <w:color w:val="000000" w:themeColor="text1"/>
          <w14:textFill>
            <w14:solidFill>
              <w14:schemeClr w14:val="tx1"/>
            </w14:solidFill>
          </w14:textFill>
        </w:rPr>
        <w:t>企业占地备案证明</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附件9：噪声数据引用检测报告</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附件10：安全评价意见</w:t>
      </w:r>
    </w:p>
    <w:p>
      <w:pPr>
        <w:pStyle w:val="54"/>
        <w:ind w:firstLine="480"/>
        <w:rPr>
          <w:color w:val="000000" w:themeColor="text1"/>
          <w:szCs w:val="22"/>
          <w:u w:val="single"/>
          <w14:textFill>
            <w14:solidFill>
              <w14:schemeClr w14:val="tx1"/>
            </w14:solidFill>
          </w14:textFill>
        </w:rPr>
      </w:pPr>
      <w:r>
        <w:rPr>
          <w:rFonts w:hint="eastAsia"/>
          <w:color w:val="000000" w:themeColor="text1"/>
          <w:szCs w:val="22"/>
          <w:u w:val="single"/>
          <w14:textFill>
            <w14:solidFill>
              <w14:schemeClr w14:val="tx1"/>
            </w14:solidFill>
          </w14:textFill>
        </w:rPr>
        <w:t>附件11：专家意见及签到表</w:t>
      </w:r>
    </w:p>
    <w:p>
      <w:pPr>
        <w:adjustRightInd w:val="0"/>
        <w:snapToGrid w:val="0"/>
        <w:spacing w:line="360" w:lineRule="auto"/>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附图：</w:t>
      </w:r>
    </w:p>
    <w:p>
      <w:pPr>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附图1：项目地理位置示意图</w:t>
      </w:r>
    </w:p>
    <w:p>
      <w:pPr>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附图2：</w:t>
      </w:r>
      <w:r>
        <w:rPr>
          <w:rFonts w:hint="eastAsia" w:ascii="Times New Roman" w:hAnsi="Times New Roman"/>
          <w:color w:val="000000" w:themeColor="text1"/>
          <w:sz w:val="24"/>
          <w:szCs w:val="24"/>
          <w14:textFill>
            <w14:solidFill>
              <w14:schemeClr w14:val="tx1"/>
            </w14:solidFill>
          </w14:textFill>
        </w:rPr>
        <w:t>项目主要环境保护目标图</w:t>
      </w:r>
    </w:p>
    <w:p>
      <w:pPr>
        <w:snapToGrid w:val="0"/>
        <w:spacing w:line="360" w:lineRule="auto"/>
        <w:ind w:firstLine="480" w:firstLineChars="2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附图3：</w:t>
      </w:r>
      <w:r>
        <w:rPr>
          <w:rFonts w:hint="eastAsia" w:ascii="Times New Roman" w:hAnsi="Times New Roman"/>
          <w:color w:val="000000" w:themeColor="text1"/>
          <w:sz w:val="24"/>
          <w:szCs w:val="24"/>
          <w:u w:val="single"/>
          <w14:textFill>
            <w14:solidFill>
              <w14:schemeClr w14:val="tx1"/>
            </w14:solidFill>
          </w14:textFill>
        </w:rPr>
        <w:t>项目平面布置图</w:t>
      </w:r>
    </w:p>
    <w:p>
      <w:pPr>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附图4：项目现场照片</w:t>
      </w:r>
    </w:p>
    <w:p>
      <w:pPr>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附图</w:t>
      </w:r>
      <w:r>
        <w:rPr>
          <w:rFonts w:hint="eastAsia" w:ascii="Times New Roman" w:hAnsi="Times New Roman"/>
          <w:color w:val="000000" w:themeColor="text1"/>
          <w:sz w:val="24"/>
          <w:szCs w:val="24"/>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祁东县渔陂污水处理厂纳污范围图</w:t>
      </w:r>
    </w:p>
    <w:p>
      <w:pPr>
        <w:adjustRightInd w:val="0"/>
        <w:snapToGrid w:val="0"/>
        <w:spacing w:line="360" w:lineRule="auto"/>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附表</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附表1：建设项目环评审批基础信息表</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附表2：建设项目大气环境影响评价自查表</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附表3：建设项目地表水环境影响评价自查表</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附表4：建设项目环境风险评价自查表</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附表5：建设项目土壤环境影响评价自查表</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sectPr>
          <w:footerReference r:id="rId3" w:type="even"/>
          <w:pgSz w:w="11906" w:h="16838"/>
          <w:pgMar w:top="1440" w:right="1361" w:bottom="1440" w:left="1361" w:header="851" w:footer="992" w:gutter="0"/>
          <w:pgNumType w:start="1"/>
          <w:cols w:space="720" w:num="1"/>
          <w:docGrid w:type="lines" w:linePitch="312" w:charSpace="0"/>
        </w:sectPr>
      </w:pPr>
    </w:p>
    <w:p>
      <w:pPr>
        <w:pStyle w:val="2"/>
        <w:spacing w:before="0" w:after="0" w:line="360" w:lineRule="auto"/>
        <w:rPr>
          <w:rFonts w:ascii="Times New Roman" w:hAnsi="Times New Roman"/>
          <w:color w:val="000000" w:themeColor="text1"/>
          <w:sz w:val="28"/>
          <w:szCs w:val="28"/>
          <w14:textFill>
            <w14:solidFill>
              <w14:schemeClr w14:val="tx1"/>
            </w14:solidFill>
          </w14:textFill>
        </w:rPr>
      </w:pPr>
      <w:bookmarkStart w:id="0" w:name="_Toc29913610"/>
      <w:bookmarkStart w:id="1" w:name="_Toc287535105"/>
      <w:r>
        <w:rPr>
          <w:rFonts w:ascii="Times New Roman" w:hAnsi="Times New Roman"/>
          <w:color w:val="000000" w:themeColor="text1"/>
          <w:sz w:val="28"/>
          <w:szCs w:val="28"/>
          <w14:textFill>
            <w14:solidFill>
              <w14:schemeClr w14:val="tx1"/>
            </w14:solidFill>
          </w14:textFill>
        </w:rPr>
        <w:t>一、建设项目基本情况</w:t>
      </w:r>
      <w:bookmarkEnd w:id="0"/>
      <w:bookmarkEnd w:id="1"/>
    </w:p>
    <w:tbl>
      <w:tblPr>
        <w:tblStyle w:val="28"/>
        <w:tblW w:w="94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1066"/>
        <w:gridCol w:w="656"/>
        <w:gridCol w:w="1303"/>
        <w:gridCol w:w="1393"/>
        <w:gridCol w:w="931"/>
        <w:gridCol w:w="754"/>
        <w:gridCol w:w="1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项目名称</w:t>
            </w:r>
          </w:p>
        </w:tc>
        <w:tc>
          <w:tcPr>
            <w:tcW w:w="7355" w:type="dxa"/>
            <w:gridSpan w:val="7"/>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中国石化销售股份有限公司湖南衡阳石油分公司祁东城西加油站改建项目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建设单位</w:t>
            </w:r>
          </w:p>
        </w:tc>
        <w:tc>
          <w:tcPr>
            <w:tcW w:w="7355" w:type="dxa"/>
            <w:gridSpan w:val="7"/>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中国石化销售股份有限公司湖南衡阳石油分公司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法人代表</w:t>
            </w:r>
          </w:p>
        </w:tc>
        <w:tc>
          <w:tcPr>
            <w:tcW w:w="3025" w:type="dxa"/>
            <w:gridSpan w:val="3"/>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田伟</w:t>
            </w:r>
          </w:p>
        </w:tc>
        <w:tc>
          <w:tcPr>
            <w:tcW w:w="1393"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联系人</w:t>
            </w:r>
          </w:p>
        </w:tc>
        <w:tc>
          <w:tcPr>
            <w:tcW w:w="2937" w:type="dxa"/>
            <w:gridSpan w:val="3"/>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胡翔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通讯地址</w:t>
            </w:r>
          </w:p>
        </w:tc>
        <w:tc>
          <w:tcPr>
            <w:tcW w:w="7355" w:type="dxa"/>
            <w:gridSpan w:val="7"/>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衡阳市蒸湘南路29号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联系电话</w:t>
            </w:r>
          </w:p>
        </w:tc>
        <w:tc>
          <w:tcPr>
            <w:tcW w:w="1722" w:type="dxa"/>
            <w:gridSpan w:val="2"/>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0734-8163099</w:t>
            </w:r>
          </w:p>
        </w:tc>
        <w:tc>
          <w:tcPr>
            <w:tcW w:w="1303"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传真</w:t>
            </w:r>
          </w:p>
        </w:tc>
        <w:tc>
          <w:tcPr>
            <w:tcW w:w="1393"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c>
          <w:tcPr>
            <w:tcW w:w="931"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邮政编码</w:t>
            </w:r>
          </w:p>
        </w:tc>
        <w:tc>
          <w:tcPr>
            <w:tcW w:w="2006" w:type="dxa"/>
            <w:gridSpan w:val="2"/>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建设地点</w:t>
            </w:r>
          </w:p>
        </w:tc>
        <w:tc>
          <w:tcPr>
            <w:tcW w:w="7355" w:type="dxa"/>
            <w:gridSpan w:val="7"/>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祁东县洪桥镇洪丰村G322线北侧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立项审批部门</w:t>
            </w:r>
          </w:p>
        </w:tc>
        <w:tc>
          <w:tcPr>
            <w:tcW w:w="3025" w:type="dxa"/>
            <w:gridSpan w:val="3"/>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c>
          <w:tcPr>
            <w:tcW w:w="1393"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批准文号</w:t>
            </w:r>
          </w:p>
        </w:tc>
        <w:tc>
          <w:tcPr>
            <w:tcW w:w="2937" w:type="dxa"/>
            <w:gridSpan w:val="3"/>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建设性质</w:t>
            </w:r>
          </w:p>
        </w:tc>
        <w:tc>
          <w:tcPr>
            <w:tcW w:w="3025" w:type="dxa"/>
            <w:gridSpan w:val="3"/>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□新建  ■改</w:t>
            </w:r>
            <w:r>
              <w:rPr>
                <w:rFonts w:hint="eastAsia" w:ascii="Times New Roman" w:hAnsi="Times New Roman"/>
                <w:color w:val="000000" w:themeColor="text1"/>
                <w:sz w:val="24"/>
                <w14:textFill>
                  <w14:solidFill>
                    <w14:schemeClr w14:val="tx1"/>
                  </w14:solidFill>
                </w14:textFill>
              </w:rPr>
              <w:t>、扩</w:t>
            </w:r>
            <w:r>
              <w:rPr>
                <w:rFonts w:ascii="Times New Roman" w:hAnsi="Times New Roman"/>
                <w:color w:val="000000" w:themeColor="text1"/>
                <w:sz w:val="24"/>
                <w14:textFill>
                  <w14:solidFill>
                    <w14:schemeClr w14:val="tx1"/>
                  </w14:solidFill>
                </w14:textFill>
              </w:rPr>
              <w:t>建  □技改</w:t>
            </w:r>
          </w:p>
        </w:tc>
        <w:tc>
          <w:tcPr>
            <w:tcW w:w="1393"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行业类别</w:t>
            </w:r>
          </w:p>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及代码</w:t>
            </w:r>
          </w:p>
        </w:tc>
        <w:tc>
          <w:tcPr>
            <w:tcW w:w="2937" w:type="dxa"/>
            <w:gridSpan w:val="3"/>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F5264机动车燃料零售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占地面积</w:t>
            </w:r>
          </w:p>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(平方米)</w:t>
            </w:r>
          </w:p>
        </w:tc>
        <w:tc>
          <w:tcPr>
            <w:tcW w:w="3025" w:type="dxa"/>
            <w:gridSpan w:val="3"/>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4000</w:t>
            </w:r>
          </w:p>
        </w:tc>
        <w:tc>
          <w:tcPr>
            <w:tcW w:w="1393"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绿化面积</w:t>
            </w:r>
          </w:p>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(平方米)</w:t>
            </w:r>
          </w:p>
        </w:tc>
        <w:tc>
          <w:tcPr>
            <w:tcW w:w="2937" w:type="dxa"/>
            <w:gridSpan w:val="3"/>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总投资（万元）</w:t>
            </w:r>
          </w:p>
        </w:tc>
        <w:tc>
          <w:tcPr>
            <w:tcW w:w="1066"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400</w:t>
            </w:r>
          </w:p>
        </w:tc>
        <w:tc>
          <w:tcPr>
            <w:tcW w:w="1959" w:type="dxa"/>
            <w:gridSpan w:val="2"/>
            <w:vAlign w:val="center"/>
          </w:tcPr>
          <w:p>
            <w:pPr>
              <w:spacing w:line="300" w:lineRule="exact"/>
              <w:jc w:val="center"/>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u w:val="single"/>
                <w14:textFill>
                  <w14:solidFill>
                    <w14:schemeClr w14:val="tx1"/>
                  </w14:solidFill>
                </w14:textFill>
              </w:rPr>
              <w:t>其中：环保</w:t>
            </w:r>
          </w:p>
          <w:p>
            <w:pPr>
              <w:spacing w:line="300" w:lineRule="exact"/>
              <w:jc w:val="center"/>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u w:val="single"/>
                <w14:textFill>
                  <w14:solidFill>
                    <w14:schemeClr w14:val="tx1"/>
                  </w14:solidFill>
                </w14:textFill>
              </w:rPr>
              <w:t>投资（万元）</w:t>
            </w:r>
          </w:p>
        </w:tc>
        <w:tc>
          <w:tcPr>
            <w:tcW w:w="1393" w:type="dxa"/>
            <w:vAlign w:val="center"/>
          </w:tcPr>
          <w:p>
            <w:pPr>
              <w:widowControl/>
              <w:jc w:val="center"/>
              <w:rPr>
                <w:rFonts w:ascii="Times New Roman" w:hAnsi="Times New Roman"/>
                <w:color w:val="000000" w:themeColor="text1"/>
                <w:sz w:val="24"/>
                <w:u w:val="single"/>
                <w14:textFill>
                  <w14:solidFill>
                    <w14:schemeClr w14:val="tx1"/>
                  </w14:solidFill>
                </w14:textFill>
              </w:rPr>
            </w:pPr>
            <w:r>
              <w:rPr>
                <w:rFonts w:hint="eastAsia" w:ascii="Times New Roman" w:hAnsi="Times New Roman"/>
                <w:color w:val="000000" w:themeColor="text1"/>
                <w:sz w:val="24"/>
                <w:u w:val="single"/>
                <w14:textFill>
                  <w14:solidFill>
                    <w14:schemeClr w14:val="tx1"/>
                  </w14:solidFill>
                </w14:textFill>
              </w:rPr>
              <w:t>24.5</w:t>
            </w:r>
          </w:p>
        </w:tc>
        <w:tc>
          <w:tcPr>
            <w:tcW w:w="1685" w:type="dxa"/>
            <w:gridSpan w:val="2"/>
            <w:vAlign w:val="center"/>
          </w:tcPr>
          <w:p>
            <w:pPr>
              <w:spacing w:line="300" w:lineRule="exact"/>
              <w:jc w:val="center"/>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u w:val="single"/>
                <w14:textFill>
                  <w14:solidFill>
                    <w14:schemeClr w14:val="tx1"/>
                  </w14:solidFill>
                </w14:textFill>
              </w:rPr>
              <w:t>环保投资占总投资比例</w:t>
            </w:r>
          </w:p>
        </w:tc>
        <w:tc>
          <w:tcPr>
            <w:tcW w:w="1252" w:type="dxa"/>
            <w:vAlign w:val="center"/>
          </w:tcPr>
          <w:p>
            <w:pPr>
              <w:widowControl/>
              <w:jc w:val="center"/>
              <w:rPr>
                <w:rFonts w:ascii="Times New Roman" w:hAnsi="Times New Roman"/>
                <w:color w:val="000000" w:themeColor="text1"/>
                <w:sz w:val="24"/>
                <w:u w:val="single"/>
                <w14:textFill>
                  <w14:solidFill>
                    <w14:schemeClr w14:val="tx1"/>
                  </w14:solidFill>
                </w14:textFill>
              </w:rPr>
            </w:pPr>
            <w:r>
              <w:rPr>
                <w:rFonts w:hint="eastAsia" w:ascii="Times New Roman" w:hAnsi="Times New Roman"/>
                <w:color w:val="000000" w:themeColor="text1"/>
                <w:sz w:val="24"/>
                <w:u w:val="single"/>
                <w14:textFill>
                  <w14:solidFill>
                    <w14:schemeClr w14:val="tx1"/>
                  </w14:solidFill>
                </w14:textFill>
              </w:rPr>
              <w:t>6.13%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vAlign w:val="center"/>
          </w:tcPr>
          <w:p>
            <w:pPr>
              <w:adjustRightInd w:val="0"/>
              <w:snapToGri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评价经费（万元）</w:t>
            </w:r>
          </w:p>
        </w:tc>
        <w:tc>
          <w:tcPr>
            <w:tcW w:w="1066"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c>
          <w:tcPr>
            <w:tcW w:w="1959" w:type="dxa"/>
            <w:gridSpan w:val="2"/>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预期投产</w:t>
            </w:r>
          </w:p>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日  期</w:t>
            </w:r>
          </w:p>
        </w:tc>
        <w:tc>
          <w:tcPr>
            <w:tcW w:w="4330" w:type="dxa"/>
            <w:gridSpan w:val="4"/>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2020.3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400" w:type="dxa"/>
            <w:gridSpan w:val="8"/>
          </w:tcPr>
          <w:p>
            <w:pPr>
              <w:snapToGrid w:val="0"/>
              <w:spacing w:line="360" w:lineRule="auto"/>
              <w:rPr>
                <w:rFonts w:ascii="Times New Roman" w:hAnsi="Times New Roman"/>
                <w:b/>
                <w:color w:val="000000" w:themeColor="text1"/>
                <w:sz w:val="30"/>
                <w:szCs w:val="30"/>
                <w14:textFill>
                  <w14:solidFill>
                    <w14:schemeClr w14:val="tx1"/>
                  </w14:solidFill>
                </w14:textFill>
              </w:rPr>
            </w:pPr>
            <w:bookmarkStart w:id="2" w:name="_Toc287535106"/>
            <w:r>
              <w:rPr>
                <w:rStyle w:val="77"/>
                <w:rFonts w:ascii="Times New Roman" w:hAnsi="Times New Roman"/>
                <w:color w:val="000000" w:themeColor="text1"/>
                <w:sz w:val="30"/>
                <w:szCs w:val="30"/>
                <w14:textFill>
                  <w14:solidFill>
                    <w14:schemeClr w14:val="tx1"/>
                  </w14:solidFill>
                </w14:textFill>
              </w:rPr>
              <w:t>工程内容及规模</w:t>
            </w:r>
            <w:bookmarkEnd w:id="2"/>
          </w:p>
          <w:p>
            <w:pPr>
              <w:pStyle w:val="4"/>
              <w:rPr>
                <w:rFonts w:cs="Times New Roman"/>
                <w:bCs/>
                <w:color w:val="000000" w:themeColor="text1"/>
                <w:sz w:val="28"/>
                <w:szCs w:val="28"/>
                <w14:textFill>
                  <w14:solidFill>
                    <w14:schemeClr w14:val="tx1"/>
                  </w14:solidFill>
                </w14:textFill>
              </w:rPr>
            </w:pPr>
            <w:bookmarkStart w:id="3" w:name="_Toc287535107"/>
            <w:r>
              <w:rPr>
                <w:rFonts w:cs="Times New Roman"/>
                <w:bCs/>
                <w:color w:val="000000" w:themeColor="text1"/>
                <w:sz w:val="28"/>
                <w:szCs w:val="28"/>
                <w14:textFill>
                  <w14:solidFill>
                    <w14:schemeClr w14:val="tx1"/>
                  </w14:solidFill>
                </w14:textFill>
              </w:rPr>
              <w:t>1.1 项目由来</w:t>
            </w:r>
            <w:bookmarkEnd w:id="3"/>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中国石化销售股份有限公司湖南衡阳祁东城西加油站始建于2000年，于2014年办理了环评登记表手续，2014年10月29日取得了祁东县环境保护局的环评批复，2014年11月通过环保验收。因油站经营时间较长，站内设备设施老化，且G322线多次修建，路面已高于油站地坪，已严重影响加油站的经营，因此，中国石化销售有限公司衡阳石油分公司向总公司申请对该油站进行改造。</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该站拟拆除现有全部建筑（包括储罐、罩棚、加油机、站房）进行新建，并配套安装</w:t>
            </w:r>
            <w:r>
              <w:rPr>
                <w:rFonts w:hint="eastAsia"/>
                <w:color w:val="000000" w:themeColor="text1"/>
                <w:szCs w:val="22"/>
                <w14:textFill>
                  <w14:solidFill>
                    <w14:schemeClr w14:val="tx1"/>
                  </w14:solidFill>
                </w14:textFill>
              </w:rPr>
              <w:t>视频监控、液位监控、防渗漏监控，重新砌筑实体围墙，车行地坪，</w:t>
            </w:r>
            <w:r>
              <w:rPr>
                <w:rFonts w:hint="eastAsia"/>
                <w:color w:val="000000" w:themeColor="text1"/>
                <w:szCs w:val="22"/>
                <w:u w:val="single"/>
                <w14:textFill>
                  <w14:solidFill>
                    <w14:schemeClr w14:val="tx1"/>
                  </w14:solidFill>
                </w14:textFill>
              </w:rPr>
              <w:t>该项目选址目前已进行</w:t>
            </w:r>
            <w:r>
              <w:rPr>
                <w:rFonts w:hint="eastAsia"/>
                <w:color w:val="000000" w:themeColor="text1"/>
                <w:u w:val="single"/>
                <w14:textFill>
                  <w14:solidFill>
                    <w14:schemeClr w14:val="tx1"/>
                  </w14:solidFill>
                </w14:textFill>
              </w:rPr>
              <w:t>危险</w:t>
            </w:r>
            <w:r>
              <w:rPr>
                <w:color w:val="000000" w:themeColor="text1"/>
                <w:u w:val="single"/>
                <w14:textFill>
                  <w14:solidFill>
                    <w14:schemeClr w14:val="tx1"/>
                  </w14:solidFill>
                </w14:textFill>
              </w:rPr>
              <w:t>化学品建设项目安全条件审查</w:t>
            </w:r>
            <w:r>
              <w:rPr>
                <w:rFonts w:hint="eastAsia"/>
                <w:color w:val="000000" w:themeColor="text1"/>
                <w:szCs w:val="22"/>
                <w:u w:val="single"/>
                <w14:textFill>
                  <w14:solidFill>
                    <w14:schemeClr w14:val="tx1"/>
                  </w14:solidFill>
                </w14:textFill>
              </w:rPr>
              <w:t>，审查意见书详见附件10</w:t>
            </w:r>
            <w:r>
              <w:rPr>
                <w:rFonts w:hint="eastAsia"/>
                <w:color w:val="000000" w:themeColor="text1"/>
                <w:u w:val="single"/>
                <w14:textFill>
                  <w14:solidFill>
                    <w14:schemeClr w14:val="tx1"/>
                  </w14:solidFill>
                </w14:textFill>
              </w:rPr>
              <w:t>。</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环境保护法》（中华人民共和国主席令第九号）、《中华人民共和国环境影响评价法》（中华人民共和国主席令第四十八号）、《国务院关于修改〈建设项目环境保护管理条例〉的决定》（中华人民共和国国务院令第682号）及依据《建设项目环境影响评价分类管理名录》（环保部令第44号）和关于修改《建设项目环境影响评价分类管理名录》部分内容的决定（生态环境部令第1号）的有关规定，本项目属于“四十、社会事业与服务业—</w:t>
            </w:r>
            <w:r>
              <w:rPr>
                <w:color w:val="000000" w:themeColor="text1"/>
                <w14:textFill>
                  <w14:solidFill>
                    <w14:schemeClr w14:val="tx1"/>
                  </w14:solidFill>
                </w14:textFill>
              </w:rPr>
              <w:t>124</w:t>
            </w:r>
            <w:r>
              <w:rPr>
                <w:rFonts w:hint="eastAsia"/>
                <w:color w:val="000000" w:themeColor="text1"/>
                <w14:textFill>
                  <w14:solidFill>
                    <w14:schemeClr w14:val="tx1"/>
                  </w14:solidFill>
                </w14:textFill>
              </w:rPr>
              <w:t>加油、加气站”，应编制环境影响报告表。</w:t>
            </w:r>
            <w:r>
              <w:rPr>
                <w:color w:val="000000" w:themeColor="text1"/>
                <w:szCs w:val="22"/>
                <w14:textFill>
                  <w14:solidFill>
                    <w14:schemeClr w14:val="tx1"/>
                  </w14:solidFill>
                </w14:textFill>
              </w:rPr>
              <w:t>中国石化销售股份有限公司湖南衡阳石油分公司</w:t>
            </w:r>
            <w:r>
              <w:rPr>
                <w:rFonts w:hint="eastAsia"/>
                <w:color w:val="000000" w:themeColor="text1"/>
                <w14:textFill>
                  <w14:solidFill>
                    <w14:schemeClr w14:val="tx1"/>
                  </w14:solidFill>
                </w14:textFill>
              </w:rPr>
              <w:t>委托我公司承担“</w:t>
            </w:r>
            <w:r>
              <w:rPr>
                <w:color w:val="000000" w:themeColor="text1"/>
                <w:szCs w:val="22"/>
                <w14:textFill>
                  <w14:solidFill>
                    <w14:schemeClr w14:val="tx1"/>
                  </w14:solidFill>
                </w14:textFill>
              </w:rPr>
              <w:t>中国石化销售股份有限公司湖南衡阳石油分公司祁东城西加油站改建项目</w:t>
            </w:r>
            <w:r>
              <w:rPr>
                <w:rFonts w:hint="eastAsia"/>
                <w:color w:val="000000" w:themeColor="text1"/>
                <w14:textFill>
                  <w14:solidFill>
                    <w14:schemeClr w14:val="tx1"/>
                  </w14:solidFill>
                </w14:textFill>
              </w:rPr>
              <w:t>”的环境影响评价的编制工作。评价单位接受委托后，在现场踏勘、监测和资料收集等的基础上，根据环评技术导则及其它有关文件，编制完成了《</w:t>
            </w:r>
            <w:r>
              <w:rPr>
                <w:color w:val="000000" w:themeColor="text1"/>
                <w:szCs w:val="22"/>
                <w14:textFill>
                  <w14:solidFill>
                    <w14:schemeClr w14:val="tx1"/>
                  </w14:solidFill>
                </w14:textFill>
              </w:rPr>
              <w:t>中国石化销售股份有限公司湖南衡阳石油分公司祁东城西加油站改建项目</w:t>
            </w:r>
            <w:r>
              <w:rPr>
                <w:rFonts w:hint="eastAsia"/>
                <w:color w:val="000000" w:themeColor="text1"/>
                <w14:textFill>
                  <w14:solidFill>
                    <w14:schemeClr w14:val="tx1"/>
                  </w14:solidFill>
                </w14:textFill>
              </w:rPr>
              <w:t>环境影响评价报告表》。</w:t>
            </w:r>
          </w:p>
          <w:p>
            <w:pPr>
              <w:pStyle w:val="3"/>
              <w:rPr>
                <w:color w:val="000000" w:themeColor="text1"/>
                <w14:textFill>
                  <w14:solidFill>
                    <w14:schemeClr w14:val="tx1"/>
                  </w14:solidFill>
                </w14:textFill>
              </w:rPr>
            </w:pPr>
            <w:r>
              <w:rPr>
                <w:color w:val="000000" w:themeColor="text1"/>
                <w14:textFill>
                  <w14:solidFill>
                    <w14:schemeClr w14:val="tx1"/>
                  </w14:solidFill>
                </w14:textFill>
              </w:rPr>
              <w:t>1.2 项目概况</w:t>
            </w:r>
          </w:p>
          <w:p>
            <w:pPr>
              <w:pStyle w:val="54"/>
              <w:ind w:firstLine="480"/>
              <w:rPr>
                <w:color w:val="000000" w:themeColor="text1"/>
                <w14:textFill>
                  <w14:solidFill>
                    <w14:schemeClr w14:val="tx1"/>
                  </w14:solidFill>
                </w14:textFill>
              </w:rPr>
            </w:pPr>
            <w:r>
              <w:rPr>
                <w:color w:val="000000" w:themeColor="text1"/>
                <w:kern w:val="0"/>
                <w:lang w:val="zh-CN"/>
                <w14:textFill>
                  <w14:solidFill>
                    <w14:schemeClr w14:val="tx1"/>
                  </w14:solidFill>
                </w14:textFill>
              </w:rPr>
              <w:t>项目名称：</w:t>
            </w:r>
            <w:r>
              <w:rPr>
                <w:color w:val="000000" w:themeColor="text1"/>
                <w:szCs w:val="22"/>
                <w14:textFill>
                  <w14:solidFill>
                    <w14:schemeClr w14:val="tx1"/>
                  </w14:solidFill>
                </w14:textFill>
              </w:rPr>
              <w:t>中国石化销售股份有限公司湖南衡阳石油分公司祁东城西加油站改建项目</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建设性质：</w:t>
            </w:r>
            <w:r>
              <w:rPr>
                <w:rFonts w:hint="eastAsia"/>
                <w:color w:val="000000" w:themeColor="text1"/>
                <w14:textFill>
                  <w14:solidFill>
                    <w14:schemeClr w14:val="tx1"/>
                  </w14:solidFill>
                </w14:textFill>
              </w:rPr>
              <w:t>改建</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建设单位：</w:t>
            </w:r>
            <w:r>
              <w:rPr>
                <w:color w:val="000000" w:themeColor="text1"/>
                <w:szCs w:val="22"/>
                <w14:textFill>
                  <w14:solidFill>
                    <w14:schemeClr w14:val="tx1"/>
                  </w14:solidFill>
                </w14:textFill>
              </w:rPr>
              <w:t>中国石化销售股份有限公司湖南衡阳石油分公司</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建设地点：</w:t>
            </w:r>
            <w:r>
              <w:rPr>
                <w:color w:val="000000" w:themeColor="text1"/>
                <w:szCs w:val="22"/>
                <w14:textFill>
                  <w14:solidFill>
                    <w14:schemeClr w14:val="tx1"/>
                  </w14:solidFill>
                </w14:textFill>
              </w:rPr>
              <w:t>祁东县洪桥镇洪丰村G322线北侧</w:t>
            </w:r>
            <w:r>
              <w:rPr>
                <w:color w:val="000000" w:themeColor="text1"/>
                <w:szCs w:val="28"/>
                <w14:textFill>
                  <w14:solidFill>
                    <w14:schemeClr w14:val="tx1"/>
                  </w14:solidFill>
                </w14:textFill>
              </w:rPr>
              <w:t>，</w:t>
            </w:r>
            <w:r>
              <w:rPr>
                <w:color w:val="000000" w:themeColor="text1"/>
                <w14:textFill>
                  <w14:solidFill>
                    <w14:schemeClr w14:val="tx1"/>
                  </w14:solidFill>
                </w14:textFill>
              </w:rPr>
              <w:t>中心地理坐标为E112.069968605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，N26.794981393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（地理位置见附图1）；</w:t>
            </w:r>
          </w:p>
          <w:p>
            <w:pPr>
              <w:pStyle w:val="54"/>
              <w:ind w:firstLine="480"/>
              <w:rPr>
                <w:snapToGrid w:val="0"/>
                <w:color w:val="000000" w:themeColor="text1"/>
                <w:kern w:val="0"/>
                <w14:textFill>
                  <w14:solidFill>
                    <w14:schemeClr w14:val="tx1"/>
                  </w14:solidFill>
                </w14:textFill>
              </w:rPr>
            </w:pPr>
            <w:r>
              <w:rPr>
                <w:color w:val="000000" w:themeColor="text1"/>
                <w14:textFill>
                  <w14:solidFill>
                    <w14:schemeClr w14:val="tx1"/>
                  </w14:solidFill>
                </w14:textFill>
              </w:rPr>
              <w:t>项目投资：项目总投资为</w:t>
            </w:r>
            <w:r>
              <w:rPr>
                <w:rFonts w:hint="eastAsia"/>
                <w:color w:val="000000" w:themeColor="text1"/>
                <w14:textFill>
                  <w14:solidFill>
                    <w14:schemeClr w14:val="tx1"/>
                  </w14:solidFill>
                </w14:textFill>
              </w:rPr>
              <w:t>400</w:t>
            </w:r>
            <w:r>
              <w:rPr>
                <w:color w:val="000000" w:themeColor="text1"/>
                <w14:textFill>
                  <w14:solidFill>
                    <w14:schemeClr w14:val="tx1"/>
                  </w14:solidFill>
                </w14:textFill>
              </w:rPr>
              <w:t>万元，其中环保投资</w:t>
            </w:r>
            <w:r>
              <w:rPr>
                <w:rFonts w:hint="eastAsia"/>
                <w:color w:val="000000" w:themeColor="text1"/>
                <w:u w:val="single"/>
                <w14:textFill>
                  <w14:solidFill>
                    <w14:schemeClr w14:val="tx1"/>
                  </w14:solidFill>
                </w14:textFill>
              </w:rPr>
              <w:t>24.5</w:t>
            </w:r>
            <w:r>
              <w:rPr>
                <w:color w:val="000000" w:themeColor="text1"/>
                <w14:textFill>
                  <w14:solidFill>
                    <w14:schemeClr w14:val="tx1"/>
                  </w14:solidFill>
                </w14:textFill>
              </w:rPr>
              <w:t>万元</w:t>
            </w:r>
            <w:r>
              <w:rPr>
                <w:rFonts w:hint="eastAsia"/>
                <w:snapToGrid w:val="0"/>
                <w:color w:val="000000" w:themeColor="text1"/>
                <w:kern w:val="0"/>
                <w14:textFill>
                  <w14:solidFill>
                    <w14:schemeClr w14:val="tx1"/>
                  </w14:solidFill>
                </w14:textFill>
              </w:rPr>
              <w:t>。</w:t>
            </w:r>
          </w:p>
          <w:p>
            <w:pPr>
              <w:adjustRightInd w:val="0"/>
              <w:snapToGrid w:val="0"/>
              <w:spacing w:before="156" w:beforeLines="50" w:line="360" w:lineRule="auto"/>
              <w:rPr>
                <w:rFonts w:ascii="Times New Roman" w:hAnsi="Times New Roman"/>
                <w:b/>
                <w:bCs/>
                <w:snapToGrid w:val="0"/>
                <w:color w:val="000000" w:themeColor="text1"/>
                <w:spacing w:val="4"/>
                <w:kern w:val="0"/>
                <w:sz w:val="28"/>
                <w:szCs w:val="28"/>
                <w14:textFill>
                  <w14:solidFill>
                    <w14:schemeClr w14:val="tx1"/>
                  </w14:solidFill>
                </w14:textFill>
              </w:rPr>
            </w:pPr>
            <w:r>
              <w:rPr>
                <w:rFonts w:ascii="Times New Roman" w:hAnsi="Times New Roman"/>
                <w:b/>
                <w:bCs/>
                <w:snapToGrid w:val="0"/>
                <w:color w:val="000000" w:themeColor="text1"/>
                <w:spacing w:val="4"/>
                <w:kern w:val="0"/>
                <w:sz w:val="28"/>
                <w:szCs w:val="28"/>
                <w14:textFill>
                  <w14:solidFill>
                    <w14:schemeClr w14:val="tx1"/>
                  </w14:solidFill>
                </w14:textFill>
              </w:rPr>
              <w:t>1.3 工程内容及建筑规模</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1、改建前加油站概况</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改建前加油站目前已全部拆除，拆除前建设该加油站</w:t>
            </w:r>
            <w:r>
              <w:rPr>
                <w:color w:val="000000" w:themeColor="text1"/>
                <w14:textFill>
                  <w14:solidFill>
                    <w14:schemeClr w14:val="tx1"/>
                  </w14:solidFill>
                </w14:textFill>
              </w:rPr>
              <w:t>占地面积4408.06</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color w:val="000000" w:themeColor="text1"/>
                <w14:textFill>
                  <w14:solidFill>
                    <w14:schemeClr w14:val="tx1"/>
                  </w14:solidFill>
                </w14:textFill>
              </w:rPr>
              <w:t>，站内设4台双枪加油枪，配4座油罐，其中2座30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color w:val="000000" w:themeColor="text1"/>
                <w14:textFill>
                  <w14:solidFill>
                    <w14:schemeClr w14:val="tx1"/>
                  </w14:solidFill>
                </w14:textFill>
              </w:rPr>
              <w:t>0#柴油罐，1座30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color w:val="000000" w:themeColor="text1"/>
                <w14:textFill>
                  <w14:solidFill>
                    <w14:schemeClr w14:val="tx1"/>
                  </w14:solidFill>
                </w14:textFill>
              </w:rPr>
              <w:t>92#汽油罐，1座30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color w:val="000000" w:themeColor="text1"/>
                <w14:textFill>
                  <w14:solidFill>
                    <w14:schemeClr w14:val="tx1"/>
                  </w14:solidFill>
                </w14:textFill>
              </w:rPr>
              <w:t>95#汽油罐，油罐总容积为90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color w:val="000000" w:themeColor="text1"/>
                <w14:textFill>
                  <w14:solidFill>
                    <w14:schemeClr w14:val="tx1"/>
                  </w14:solidFill>
                </w14:textFill>
              </w:rPr>
              <w:t>（柴油折半计算）。</w:t>
            </w:r>
            <w:r>
              <w:rPr>
                <w:rFonts w:hint="eastAsia"/>
                <w:color w:val="000000" w:themeColor="text1"/>
                <w14:textFill>
                  <w14:solidFill>
                    <w14:schemeClr w14:val="tx1"/>
                  </w14:solidFill>
                </w14:textFill>
              </w:rPr>
              <w:t>拆除前加油站建设工程</w:t>
            </w:r>
            <w:r>
              <w:rPr>
                <w:color w:val="000000" w:themeColor="text1"/>
                <w14:textFill>
                  <w14:solidFill>
                    <w14:schemeClr w14:val="tx1"/>
                  </w14:solidFill>
                </w14:textFill>
              </w:rPr>
              <w:t>概况如表1-1，</w:t>
            </w:r>
            <w:r>
              <w:rPr>
                <w:rFonts w:hint="eastAsia"/>
                <w:color w:val="000000" w:themeColor="text1"/>
                <w14:textFill>
                  <w14:solidFill>
                    <w14:schemeClr w14:val="tx1"/>
                  </w14:solidFill>
                </w14:textFill>
              </w:rPr>
              <w:t>油品销售量</w:t>
            </w:r>
            <w:r>
              <w:rPr>
                <w:color w:val="000000" w:themeColor="text1"/>
                <w14:textFill>
                  <w14:solidFill>
                    <w14:schemeClr w14:val="tx1"/>
                  </w14:solidFill>
                </w14:textFill>
              </w:rPr>
              <w:t>如表1-2。</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表1-1  原有加油站拆除前建设概况一览表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561"/>
              <w:gridCol w:w="64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5"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类别</w:t>
                  </w:r>
                </w:p>
              </w:tc>
              <w:tc>
                <w:tcPr>
                  <w:tcW w:w="850"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3535"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主要建设内容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5" w:type="pct"/>
                  <w:vMerge w:val="restar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主体工程</w:t>
                  </w:r>
                </w:p>
              </w:tc>
              <w:tc>
                <w:tcPr>
                  <w:tcW w:w="850"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站房</w:t>
                  </w:r>
                </w:p>
              </w:tc>
              <w:tc>
                <w:tcPr>
                  <w:tcW w:w="3535"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站房为砖混结构，</w:t>
                  </w:r>
                  <w:r>
                    <w:rPr>
                      <w:color w:val="000000" w:themeColor="text1"/>
                      <w14:textFill>
                        <w14:solidFill>
                          <w14:schemeClr w14:val="tx1"/>
                        </w14:solidFill>
                      </w14:textFill>
                    </w:rPr>
                    <w:t>1座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5" w:type="pct"/>
                  <w:vMerge w:val="continue"/>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p>
              </w:tc>
              <w:tc>
                <w:tcPr>
                  <w:tcW w:w="850"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罩棚（加油区）</w:t>
                  </w:r>
                </w:p>
              </w:tc>
              <w:tc>
                <w:tcPr>
                  <w:tcW w:w="3535"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钢结构网架</w:t>
                  </w:r>
                  <w:r>
                    <w:rPr>
                      <w:rFonts w:hint="eastAsia"/>
                      <w:color w:val="000000" w:themeColor="text1"/>
                      <w14:textFill>
                        <w14:solidFill>
                          <w14:schemeClr w14:val="tx1"/>
                        </w14:solidFill>
                      </w14:textFill>
                    </w:rPr>
                    <w:t>，占地面积5</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，罩棚柱顶高25</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，下设有4台加油机，</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（2台单油品双枪加油机，2台双油品双枪加油机）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5" w:type="pct"/>
                  <w:vMerge w:val="continue"/>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p>
              </w:tc>
              <w:tc>
                <w:tcPr>
                  <w:tcW w:w="850"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储罐区</w:t>
                  </w:r>
                </w:p>
              </w:tc>
              <w:tc>
                <w:tcPr>
                  <w:tcW w:w="3535"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设有</w:t>
                  </w:r>
                  <w:r>
                    <w:rPr>
                      <w:rFonts w:hint="eastAsia"/>
                      <w:color w:val="000000" w:themeColor="text1"/>
                      <w14:textFill>
                        <w14:solidFill>
                          <w14:schemeClr w14:val="tx1"/>
                        </w14:solidFill>
                      </w14:textFill>
                    </w:rPr>
                    <w:t>4个埋地</w:t>
                  </w:r>
                  <w:r>
                    <w:rPr>
                      <w:color w:val="000000" w:themeColor="text1"/>
                      <w14:textFill>
                        <w14:solidFill>
                          <w14:schemeClr w14:val="tx1"/>
                        </w14:solidFill>
                      </w14:textFill>
                    </w:rPr>
                    <w:t>卧式</w:t>
                  </w:r>
                  <w:r>
                    <w:rPr>
                      <w:rFonts w:hint="eastAsia"/>
                      <w:color w:val="000000" w:themeColor="text1"/>
                      <w14:textFill>
                        <w14:solidFill>
                          <w14:schemeClr w14:val="tx1"/>
                        </w14:solidFill>
                      </w14:textFill>
                    </w:rPr>
                    <w:t>油罐，含2个</w:t>
                  </w:r>
                  <w:r>
                    <w:rPr>
                      <w:color w:val="000000" w:themeColor="text1"/>
                      <w14:textFill>
                        <w14:solidFill>
                          <w14:schemeClr w14:val="tx1"/>
                        </w14:solidFill>
                      </w14:textFill>
                    </w:rPr>
                    <w:t>30m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汽油罐、2个</w:t>
                  </w:r>
                  <w:r>
                    <w:rPr>
                      <w:color w:val="000000" w:themeColor="text1"/>
                      <w14:textFill>
                        <w14:solidFill>
                          <w14:schemeClr w14:val="tx1"/>
                        </w14:solidFill>
                      </w14:textFill>
                    </w:rPr>
                    <w:t>30m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柴油罐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5" w:type="pct"/>
                  <w:vMerge w:val="restar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公用工程</w:t>
                  </w:r>
                </w:p>
              </w:tc>
              <w:tc>
                <w:tcPr>
                  <w:tcW w:w="850"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供水工程</w:t>
                  </w:r>
                </w:p>
              </w:tc>
              <w:tc>
                <w:tcPr>
                  <w:tcW w:w="3535"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自来水供水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5" w:type="pct"/>
                  <w:vMerge w:val="continue"/>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p>
              </w:tc>
              <w:tc>
                <w:tcPr>
                  <w:tcW w:w="850"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供电工程</w:t>
                  </w:r>
                </w:p>
              </w:tc>
              <w:tc>
                <w:tcPr>
                  <w:tcW w:w="3535"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由市政电网供应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5" w:type="pct"/>
                  <w:vMerge w:val="continue"/>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p>
              </w:tc>
              <w:tc>
                <w:tcPr>
                  <w:tcW w:w="850"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消防系统</w:t>
                  </w:r>
                </w:p>
              </w:tc>
              <w:tc>
                <w:tcPr>
                  <w:tcW w:w="3535"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各建（构）筑物均采取耐火设计，设有安全通道，设有灭火器、消防砂、灭火毯等消防物资。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5" w:type="pct"/>
                  <w:vMerge w:val="restart"/>
                  <w:tcBorders>
                    <w:top w:val="single" w:color="auto" w:sz="4" w:space="0"/>
                    <w:left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环保工程</w:t>
                  </w:r>
                </w:p>
              </w:tc>
              <w:tc>
                <w:tcPr>
                  <w:tcW w:w="850"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废气</w:t>
                  </w:r>
                </w:p>
              </w:tc>
              <w:tc>
                <w:tcPr>
                  <w:tcW w:w="3535"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缷油油气回收系统、加油油气回收系统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5" w:type="pct"/>
                  <w:vMerge w:val="continue"/>
                  <w:tcBorders>
                    <w:left w:val="single" w:color="auto" w:sz="4" w:space="0"/>
                    <w:right w:val="single" w:color="auto" w:sz="4" w:space="0"/>
                  </w:tcBorders>
                  <w:vAlign w:val="center"/>
                </w:tcPr>
                <w:p>
                  <w:pPr>
                    <w:pStyle w:val="79"/>
                    <w:rPr>
                      <w:color w:val="000000" w:themeColor="text1"/>
                      <w14:textFill>
                        <w14:solidFill>
                          <w14:schemeClr w14:val="tx1"/>
                        </w14:solidFill>
                      </w14:textFill>
                    </w:rPr>
                  </w:pPr>
                </w:p>
              </w:tc>
              <w:tc>
                <w:tcPr>
                  <w:tcW w:w="850"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废水</w:t>
                  </w:r>
                </w:p>
              </w:tc>
              <w:tc>
                <w:tcPr>
                  <w:tcW w:w="3535"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化粪池、隔油沉淀池、排水沟、监测井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5" w:type="pct"/>
                  <w:vMerge w:val="continue"/>
                  <w:tcBorders>
                    <w:left w:val="single" w:color="auto" w:sz="4" w:space="0"/>
                    <w:right w:val="single" w:color="auto" w:sz="4" w:space="0"/>
                  </w:tcBorders>
                  <w:vAlign w:val="center"/>
                </w:tcPr>
                <w:p>
                  <w:pPr>
                    <w:pStyle w:val="79"/>
                    <w:rPr>
                      <w:color w:val="000000" w:themeColor="text1"/>
                      <w14:textFill>
                        <w14:solidFill>
                          <w14:schemeClr w14:val="tx1"/>
                        </w14:solidFill>
                      </w14:textFill>
                    </w:rPr>
                  </w:pPr>
                </w:p>
              </w:tc>
              <w:tc>
                <w:tcPr>
                  <w:tcW w:w="850"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tc>
              <w:tc>
                <w:tcPr>
                  <w:tcW w:w="3535"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基础减震、隔音；加强对进站加油车辆管制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5" w:type="pct"/>
                  <w:vMerge w:val="continue"/>
                  <w:tcBorders>
                    <w:left w:val="single" w:color="auto" w:sz="4" w:space="0"/>
                    <w:right w:val="single" w:color="auto" w:sz="4" w:space="0"/>
                  </w:tcBorders>
                  <w:vAlign w:val="center"/>
                </w:tcPr>
                <w:p>
                  <w:pPr>
                    <w:pStyle w:val="79"/>
                    <w:rPr>
                      <w:color w:val="000000" w:themeColor="text1"/>
                      <w14:textFill>
                        <w14:solidFill>
                          <w14:schemeClr w14:val="tx1"/>
                        </w14:solidFill>
                      </w14:textFill>
                    </w:rPr>
                  </w:pPr>
                </w:p>
              </w:tc>
              <w:tc>
                <w:tcPr>
                  <w:tcW w:w="850"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固体废物</w:t>
                  </w:r>
                </w:p>
              </w:tc>
              <w:tc>
                <w:tcPr>
                  <w:tcW w:w="3535"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生活垃圾交当地环卫部门统一处理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5" w:type="pct"/>
                  <w:vMerge w:val="continue"/>
                  <w:tcBorders>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p>
              </w:tc>
              <w:tc>
                <w:tcPr>
                  <w:tcW w:w="850"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防渗措施</w:t>
                  </w:r>
                </w:p>
              </w:tc>
              <w:tc>
                <w:tcPr>
                  <w:tcW w:w="3535" w:type="pct"/>
                  <w:tcBorders>
                    <w:top w:val="single" w:color="auto" w:sz="4" w:space="0"/>
                    <w:left w:val="single" w:color="auto" w:sz="4"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地埋油罐灌区防渗</w:t>
                  </w:r>
                </w:p>
              </w:tc>
            </w:tr>
          </w:tbl>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表1-2  原有加油站油品销售规模</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7"/>
              <w:gridCol w:w="3057"/>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序号</w:t>
                  </w:r>
                </w:p>
              </w:tc>
              <w:tc>
                <w:tcPr>
                  <w:tcW w:w="1666" w:type="pct"/>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名称</w:t>
                  </w:r>
                </w:p>
              </w:tc>
              <w:tc>
                <w:tcPr>
                  <w:tcW w:w="1667" w:type="pct"/>
                  <w:vAlign w:val="center"/>
                </w:tcPr>
                <w:p>
                  <w:pPr>
                    <w:pStyle w:val="79"/>
                    <w:rPr>
                      <w:snapToGrid w:val="0"/>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销售量（m</w:t>
                  </w:r>
                  <w:r>
                    <w:rPr>
                      <w:rFonts w:hint="eastAsia"/>
                      <w:color w:val="000000" w:themeColor="text1"/>
                      <w:kern w:val="0"/>
                      <w:szCs w:val="21"/>
                      <w:vertAlign w:val="superscript"/>
                      <w14:textFill>
                        <w14:solidFill>
                          <w14:schemeClr w14:val="tx1"/>
                        </w14:solidFill>
                      </w14:textFill>
                    </w:rPr>
                    <w:t>3</w:t>
                  </w:r>
                  <w:r>
                    <w:rPr>
                      <w:rFonts w:hint="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1</w:t>
                  </w:r>
                </w:p>
              </w:tc>
              <w:tc>
                <w:tcPr>
                  <w:tcW w:w="1666" w:type="pct"/>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汽油</w:t>
                  </w:r>
                </w:p>
              </w:tc>
              <w:tc>
                <w:tcPr>
                  <w:tcW w:w="1667" w:type="pct"/>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2</w:t>
                  </w:r>
                </w:p>
              </w:tc>
              <w:tc>
                <w:tcPr>
                  <w:tcW w:w="1666" w:type="pct"/>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柴油</w:t>
                  </w:r>
                </w:p>
              </w:tc>
              <w:tc>
                <w:tcPr>
                  <w:tcW w:w="1667" w:type="pct"/>
                  <w:vAlign w:val="center"/>
                </w:tcPr>
                <w:p>
                  <w:pPr>
                    <w:pStyle w:val="79"/>
                    <w:rPr>
                      <w:snapToGrid w:val="0"/>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2200</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2、本改建项目建设内容及规模</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（1）建设内容：项目占地面积为</w:t>
            </w:r>
            <w:r>
              <w:rPr>
                <w:color w:val="000000" w:themeColor="text1"/>
                <w:szCs w:val="22"/>
                <w14:textFill>
                  <w14:solidFill>
                    <w14:schemeClr w14:val="tx1"/>
                  </w14:solidFill>
                </w14:textFill>
              </w:rPr>
              <w:t>4000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，总建筑面积</w:t>
            </w:r>
            <w:r>
              <w:rPr>
                <w:color w:val="000000" w:themeColor="text1"/>
                <w14:textFill>
                  <w14:solidFill>
                    <w14:schemeClr w14:val="tx1"/>
                  </w14:solidFill>
                </w14:textFill>
              </w:rPr>
              <w:t>1248.</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，主要建设站房394.3m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、辅助用房305.04m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、罩棚5</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；站内设</w:t>
            </w:r>
            <w:r>
              <w:rPr>
                <w:color w:val="000000" w:themeColor="text1"/>
                <w14:textFill>
                  <w14:solidFill>
                    <w14:schemeClr w14:val="tx1"/>
                  </w14:solidFill>
                </w14:textFill>
              </w:rPr>
              <w:t>两条单车道、一条双车道</w:t>
            </w:r>
            <w:r>
              <w:rPr>
                <w:rFonts w:hint="eastAsia"/>
                <w:color w:val="000000" w:themeColor="text1"/>
                <w14:textFill>
                  <w14:solidFill>
                    <w14:schemeClr w14:val="tx1"/>
                  </w14:solidFill>
                </w14:textFill>
              </w:rPr>
              <w:t>，并同步完善环保设施。项目建成后，将提供汽油、柴油加油服务，年供应0#柴油1000t/a，年供应92#汽油2000t/a，年供应95#汽油1000t/a。</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（2）建设规模：项目内拟设双层埋地油罐4个，其中30m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SF汽油储罐3个、30m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SF柴油储罐1个，总容积</w:t>
            </w:r>
            <w:r>
              <w:rPr>
                <w:rFonts w:hint="eastAsia"/>
                <w:color w:val="000000" w:themeColor="text1"/>
                <w:kern w:val="0"/>
                <w:szCs w:val="21"/>
                <w14:textFill>
                  <w14:solidFill>
                    <w14:schemeClr w14:val="tx1"/>
                  </w14:solidFill>
                </w14:textFill>
              </w:rPr>
              <w:t>105</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3</w:t>
            </w:r>
            <w:r>
              <w:rPr>
                <w:rFonts w:hint="eastAsia"/>
                <w:color w:val="000000" w:themeColor="text1"/>
                <w14:textFill>
                  <w14:solidFill>
                    <w14:schemeClr w14:val="tx1"/>
                  </w14:solidFill>
                </w14:textFill>
              </w:rPr>
              <w:t>，根据《汽车加油加气站设计与施工规范》（GB50156-2012）对加油站的规模划分，本项目加油站规模为二级加油站。主要建设内容见下表1-3，主要经济技术指标见下表1-4。</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表1-</w:t>
            </w:r>
            <w:r>
              <w:rPr>
                <w:rFonts w:hint="eastAsia"/>
                <w:color w:val="000000" w:themeColor="text1"/>
                <w14:textFill>
                  <w14:solidFill>
                    <w14:schemeClr w14:val="tx1"/>
                  </w14:solidFill>
                </w14:textFill>
              </w:rPr>
              <w:t xml:space="preserve">3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本改建工程建设内容及规模</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09"/>
              <w:gridCol w:w="1327"/>
              <w:gridCol w:w="5524"/>
              <w:gridCol w:w="12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0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3738"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工程内容</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规模</w:t>
                  </w:r>
                </w:p>
              </w:tc>
              <w:tc>
                <w:tcPr>
                  <w:tcW w:w="6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05"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主体</w:t>
                  </w:r>
                </w:p>
                <w:p>
                  <w:pPr>
                    <w:pStyle w:val="79"/>
                    <w:rPr>
                      <w:color w:val="000000" w:themeColor="text1"/>
                      <w14:textFill>
                        <w14:solidFill>
                          <w14:schemeClr w14:val="tx1"/>
                        </w14:solidFill>
                      </w14:textFill>
                    </w:rPr>
                  </w:pPr>
                  <w:r>
                    <w:rPr>
                      <w:color w:val="000000" w:themeColor="text1"/>
                      <w14:textFill>
                        <w14:solidFill>
                          <w14:schemeClr w14:val="tx1"/>
                        </w14:solidFill>
                      </w14:textFill>
                    </w:rPr>
                    <w:t>工程</w:t>
                  </w:r>
                </w:p>
              </w:tc>
              <w:tc>
                <w:tcPr>
                  <w:tcW w:w="72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加油</w:t>
                  </w:r>
                  <w:r>
                    <w:rPr>
                      <w:color w:val="000000" w:themeColor="text1"/>
                      <w14:textFill>
                        <w14:solidFill>
                          <w14:schemeClr w14:val="tx1"/>
                        </w14:solidFill>
                      </w14:textFill>
                    </w:rPr>
                    <w:t>区</w:t>
                  </w:r>
                </w:p>
              </w:tc>
              <w:tc>
                <w:tcPr>
                  <w:tcW w:w="301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4台双枪加油机</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柴油1台、9</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#汽油2台、9</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#汽油1台）</w:t>
                  </w:r>
                </w:p>
              </w:tc>
              <w:tc>
                <w:tcPr>
                  <w:tcW w:w="6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05" w:type="pct"/>
                  <w:vMerge w:val="continue"/>
                  <w:vAlign w:val="center"/>
                </w:tcPr>
                <w:p>
                  <w:pPr>
                    <w:pStyle w:val="79"/>
                    <w:rPr>
                      <w:color w:val="000000" w:themeColor="text1"/>
                      <w14:textFill>
                        <w14:solidFill>
                          <w14:schemeClr w14:val="tx1"/>
                        </w14:solidFill>
                      </w14:textFill>
                    </w:rPr>
                  </w:pPr>
                </w:p>
              </w:tc>
              <w:tc>
                <w:tcPr>
                  <w:tcW w:w="72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埋地油罐区</w:t>
                  </w:r>
                </w:p>
              </w:tc>
              <w:tc>
                <w:tcPr>
                  <w:tcW w:w="301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设</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个</w:t>
                  </w:r>
                  <w:r>
                    <w:rPr>
                      <w:rFonts w:hint="eastAsia"/>
                      <w:color w:val="000000" w:themeColor="text1"/>
                      <w14:textFill>
                        <w14:solidFill>
                          <w14:schemeClr w14:val="tx1"/>
                        </w14:solidFill>
                      </w14:textFill>
                    </w:rPr>
                    <w:t>埋地</w:t>
                  </w:r>
                  <w:r>
                    <w:rPr>
                      <w:color w:val="000000" w:themeColor="text1"/>
                      <w14:textFill>
                        <w14:solidFill>
                          <w14:schemeClr w14:val="tx1"/>
                        </w14:solidFill>
                      </w14:textFill>
                    </w:rPr>
                    <w:t>卧式</w:t>
                  </w:r>
                  <w:r>
                    <w:rPr>
                      <w:rFonts w:hint="eastAsia"/>
                      <w:color w:val="000000" w:themeColor="text1"/>
                      <w14:textFill>
                        <w14:solidFill>
                          <w14:schemeClr w14:val="tx1"/>
                        </w14:solidFill>
                      </w14:textFill>
                    </w:rPr>
                    <w:t>双层</w:t>
                  </w:r>
                  <w:r>
                    <w:rPr>
                      <w:color w:val="000000" w:themeColor="text1"/>
                      <w14:textFill>
                        <w14:solidFill>
                          <w14:schemeClr w14:val="tx1"/>
                        </w14:solidFill>
                      </w14:textFill>
                    </w:rPr>
                    <w:t>储油罐，总容积</w:t>
                  </w:r>
                  <w:r>
                    <w:rPr>
                      <w:rFonts w:hint="eastAsia"/>
                      <w:color w:val="000000" w:themeColor="text1"/>
                      <w14:textFill>
                        <w14:solidFill>
                          <w14:schemeClr w14:val="tx1"/>
                        </w14:solidFill>
                      </w14:textFill>
                    </w:rPr>
                    <w:t>105</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柴油储罐</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个、</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汽油储罐</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个（92#</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个、95#</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个）</w:t>
                  </w:r>
                </w:p>
              </w:tc>
              <w:tc>
                <w:tcPr>
                  <w:tcW w:w="6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柴油罐容积折半计入总容积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05" w:type="pct"/>
                  <w:vMerge w:val="continue"/>
                  <w:vAlign w:val="center"/>
                </w:tcPr>
                <w:p>
                  <w:pPr>
                    <w:pStyle w:val="79"/>
                    <w:rPr>
                      <w:color w:val="000000" w:themeColor="text1"/>
                      <w14:textFill>
                        <w14:solidFill>
                          <w14:schemeClr w14:val="tx1"/>
                        </w14:solidFill>
                      </w14:textFill>
                    </w:rPr>
                  </w:pPr>
                </w:p>
              </w:tc>
              <w:tc>
                <w:tcPr>
                  <w:tcW w:w="72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站房</w:t>
                  </w:r>
                </w:p>
              </w:tc>
              <w:tc>
                <w:tcPr>
                  <w:tcW w:w="301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2层，建筑面积</w:t>
                  </w:r>
                  <w:r>
                    <w:rPr>
                      <w:rFonts w:hint="eastAsia"/>
                      <w:color w:val="000000" w:themeColor="text1"/>
                      <w14:textFill>
                        <w14:solidFill>
                          <w14:schemeClr w14:val="tx1"/>
                        </w14:solidFill>
                      </w14:textFill>
                    </w:rPr>
                    <w:t>394.3</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6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05" w:type="pct"/>
                  <w:vMerge w:val="continue"/>
                  <w:vAlign w:val="center"/>
                </w:tcPr>
                <w:p>
                  <w:pPr>
                    <w:pStyle w:val="79"/>
                    <w:rPr>
                      <w:color w:val="000000" w:themeColor="text1"/>
                      <w14:textFill>
                        <w14:solidFill>
                          <w14:schemeClr w14:val="tx1"/>
                        </w14:solidFill>
                      </w14:textFill>
                    </w:rPr>
                  </w:pPr>
                </w:p>
              </w:tc>
              <w:tc>
                <w:tcPr>
                  <w:tcW w:w="72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罩棚</w:t>
                  </w:r>
                </w:p>
              </w:tc>
              <w:tc>
                <w:tcPr>
                  <w:tcW w:w="301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钢结构网架</w:t>
                  </w:r>
                  <w:r>
                    <w:rPr>
                      <w:rFonts w:hint="eastAsia"/>
                      <w:color w:val="000000" w:themeColor="text1"/>
                      <w14:textFill>
                        <w14:solidFill>
                          <w14:schemeClr w14:val="tx1"/>
                        </w14:solidFill>
                      </w14:textFill>
                    </w:rPr>
                    <w:t>，占地面积5</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，罩棚柱顶高25</w:t>
                  </w:r>
                  <w:r>
                    <w:rPr>
                      <w:color w:val="000000" w:themeColor="text1"/>
                      <w14:textFill>
                        <w14:solidFill>
                          <w14:schemeClr w14:val="tx1"/>
                        </w14:solidFill>
                      </w14:textFill>
                    </w:rPr>
                    <w:t>m</w:t>
                  </w:r>
                </w:p>
              </w:tc>
              <w:tc>
                <w:tcPr>
                  <w:tcW w:w="6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05"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辅助工程</w:t>
                  </w:r>
                </w:p>
              </w:tc>
              <w:tc>
                <w:tcPr>
                  <w:tcW w:w="72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车行地坪</w:t>
                  </w:r>
                </w:p>
              </w:tc>
              <w:tc>
                <w:tcPr>
                  <w:tcW w:w="301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占地2000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6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05" w:type="pct"/>
                  <w:vMerge w:val="continue"/>
                  <w:vAlign w:val="center"/>
                </w:tcPr>
                <w:p>
                  <w:pPr>
                    <w:pStyle w:val="79"/>
                    <w:rPr>
                      <w:color w:val="000000" w:themeColor="text1"/>
                      <w14:textFill>
                        <w14:solidFill>
                          <w14:schemeClr w14:val="tx1"/>
                        </w14:solidFill>
                      </w14:textFill>
                    </w:rPr>
                  </w:pPr>
                </w:p>
              </w:tc>
              <w:tc>
                <w:tcPr>
                  <w:tcW w:w="72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消防沙池</w:t>
                  </w:r>
                </w:p>
              </w:tc>
              <w:tc>
                <w:tcPr>
                  <w:tcW w:w="3014" w:type="pct"/>
                  <w:vAlign w:val="center"/>
                </w:tcPr>
                <w:p>
                  <w:pPr>
                    <w:pStyle w:val="79"/>
                    <w:rPr>
                      <w:color w:val="000000" w:themeColor="text1"/>
                      <w:vertAlign w:val="superscript"/>
                      <w14:textFill>
                        <w14:solidFill>
                          <w14:schemeClr w14:val="tx1"/>
                        </w14:solidFill>
                      </w14:textFill>
                    </w:rPr>
                  </w:pPr>
                  <w:r>
                    <w:rPr>
                      <w:rFonts w:hint="eastAsia"/>
                      <w:color w:val="000000" w:themeColor="text1"/>
                      <w14:textFill>
                        <w14:solidFill>
                          <w14:schemeClr w14:val="tx1"/>
                        </w14:solidFill>
                      </w14:textFill>
                    </w:rPr>
                    <w:t>占地3m</w:t>
                  </w:r>
                  <w:r>
                    <w:rPr>
                      <w:rFonts w:hint="eastAsia"/>
                      <w:color w:val="000000" w:themeColor="text1"/>
                      <w:vertAlign w:val="superscript"/>
                      <w14:textFill>
                        <w14:solidFill>
                          <w14:schemeClr w14:val="tx1"/>
                        </w14:solidFill>
                      </w14:textFill>
                    </w:rPr>
                    <w:t>2</w:t>
                  </w:r>
                </w:p>
              </w:tc>
              <w:tc>
                <w:tcPr>
                  <w:tcW w:w="6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05" w:type="pct"/>
                  <w:vMerge w:val="continue"/>
                  <w:vAlign w:val="center"/>
                </w:tcPr>
                <w:p>
                  <w:pPr>
                    <w:pStyle w:val="79"/>
                    <w:rPr>
                      <w:color w:val="000000" w:themeColor="text1"/>
                      <w14:textFill>
                        <w14:solidFill>
                          <w14:schemeClr w14:val="tx1"/>
                        </w14:solidFill>
                      </w14:textFill>
                    </w:rPr>
                  </w:pPr>
                </w:p>
              </w:tc>
              <w:tc>
                <w:tcPr>
                  <w:tcW w:w="72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辅助用房</w:t>
                  </w:r>
                </w:p>
              </w:tc>
              <w:tc>
                <w:tcPr>
                  <w:tcW w:w="301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建筑面积305.04m</w:t>
                  </w:r>
                  <w:r>
                    <w:rPr>
                      <w:rFonts w:hint="eastAsia"/>
                      <w:color w:val="000000" w:themeColor="text1"/>
                      <w:vertAlign w:val="superscript"/>
                      <w14:textFill>
                        <w14:solidFill>
                          <w14:schemeClr w14:val="tx1"/>
                        </w14:solidFill>
                      </w14:textFill>
                    </w:rPr>
                    <w:t>2</w:t>
                  </w:r>
                </w:p>
              </w:tc>
              <w:tc>
                <w:tcPr>
                  <w:tcW w:w="6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05"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公用</w:t>
                  </w:r>
                </w:p>
                <w:p>
                  <w:pPr>
                    <w:pStyle w:val="79"/>
                    <w:rPr>
                      <w:color w:val="000000" w:themeColor="text1"/>
                      <w14:textFill>
                        <w14:solidFill>
                          <w14:schemeClr w14:val="tx1"/>
                        </w14:solidFill>
                      </w14:textFill>
                    </w:rPr>
                  </w:pPr>
                  <w:r>
                    <w:rPr>
                      <w:color w:val="000000" w:themeColor="text1"/>
                      <w14:textFill>
                        <w14:solidFill>
                          <w14:schemeClr w14:val="tx1"/>
                        </w14:solidFill>
                      </w14:textFill>
                    </w:rPr>
                    <w:t>工程</w:t>
                  </w:r>
                </w:p>
              </w:tc>
              <w:tc>
                <w:tcPr>
                  <w:tcW w:w="72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给水</w:t>
                  </w:r>
                </w:p>
              </w:tc>
              <w:tc>
                <w:tcPr>
                  <w:tcW w:w="301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城市自来水给水管网</w:t>
                  </w:r>
                </w:p>
              </w:tc>
              <w:tc>
                <w:tcPr>
                  <w:tcW w:w="6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05" w:type="pct"/>
                  <w:vMerge w:val="continue"/>
                  <w:vAlign w:val="center"/>
                </w:tcPr>
                <w:p>
                  <w:pPr>
                    <w:pStyle w:val="79"/>
                    <w:rPr>
                      <w:color w:val="000000" w:themeColor="text1"/>
                      <w14:textFill>
                        <w14:solidFill>
                          <w14:schemeClr w14:val="tx1"/>
                        </w14:solidFill>
                      </w14:textFill>
                    </w:rPr>
                  </w:pPr>
                </w:p>
              </w:tc>
              <w:tc>
                <w:tcPr>
                  <w:tcW w:w="72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排水</w:t>
                  </w:r>
                </w:p>
              </w:tc>
              <w:tc>
                <w:tcPr>
                  <w:tcW w:w="3014" w:type="pct"/>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生活污水经化粪池处理后、加油站站区地面冲洗废水经隔油池处理后由市政污水管网排入祁东县渔陂污水处理厂处理，达标外排至白河；地面雨水经站区内雨水沟引至城市雨水管网。</w:t>
                  </w:r>
                </w:p>
              </w:tc>
              <w:tc>
                <w:tcPr>
                  <w:tcW w:w="6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05" w:type="pct"/>
                  <w:vMerge w:val="continue"/>
                  <w:vAlign w:val="center"/>
                </w:tcPr>
                <w:p>
                  <w:pPr>
                    <w:pStyle w:val="79"/>
                    <w:rPr>
                      <w:color w:val="000000" w:themeColor="text1"/>
                      <w14:textFill>
                        <w14:solidFill>
                          <w14:schemeClr w14:val="tx1"/>
                        </w14:solidFill>
                      </w14:textFill>
                    </w:rPr>
                  </w:pPr>
                </w:p>
              </w:tc>
              <w:tc>
                <w:tcPr>
                  <w:tcW w:w="72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安全</w:t>
                  </w:r>
                  <w:r>
                    <w:rPr>
                      <w:rFonts w:hint="eastAsia"/>
                      <w:color w:val="000000" w:themeColor="text1"/>
                      <w14:textFill>
                        <w14:solidFill>
                          <w14:schemeClr w14:val="tx1"/>
                        </w14:solidFill>
                      </w14:textFill>
                    </w:rPr>
                    <w:t>消防</w:t>
                  </w:r>
                </w:p>
              </w:tc>
              <w:tc>
                <w:tcPr>
                  <w:tcW w:w="301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设静电接地系统，并设专用静电接地报警器，灭火箱和消防砂箱</w:t>
                  </w:r>
                </w:p>
              </w:tc>
              <w:tc>
                <w:tcPr>
                  <w:tcW w:w="6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05" w:type="pct"/>
                  <w:vMerge w:val="continue"/>
                  <w:vAlign w:val="center"/>
                </w:tcPr>
                <w:p>
                  <w:pPr>
                    <w:pStyle w:val="79"/>
                    <w:rPr>
                      <w:color w:val="000000" w:themeColor="text1"/>
                      <w14:textFill>
                        <w14:solidFill>
                          <w14:schemeClr w14:val="tx1"/>
                        </w14:solidFill>
                      </w14:textFill>
                    </w:rPr>
                  </w:pPr>
                </w:p>
              </w:tc>
              <w:tc>
                <w:tcPr>
                  <w:tcW w:w="72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供电</w:t>
                  </w:r>
                </w:p>
              </w:tc>
              <w:tc>
                <w:tcPr>
                  <w:tcW w:w="301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祁东县国家电网供给</w:t>
                  </w:r>
                </w:p>
              </w:tc>
              <w:tc>
                <w:tcPr>
                  <w:tcW w:w="6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05"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环保</w:t>
                  </w:r>
                </w:p>
                <w:p>
                  <w:pPr>
                    <w:pStyle w:val="79"/>
                    <w:rPr>
                      <w:color w:val="000000" w:themeColor="text1"/>
                      <w14:textFill>
                        <w14:solidFill>
                          <w14:schemeClr w14:val="tx1"/>
                        </w14:solidFill>
                      </w14:textFill>
                    </w:rPr>
                  </w:pPr>
                  <w:r>
                    <w:rPr>
                      <w:color w:val="000000" w:themeColor="text1"/>
                      <w14:textFill>
                        <w14:solidFill>
                          <w14:schemeClr w14:val="tx1"/>
                        </w14:solidFill>
                      </w14:textFill>
                    </w:rPr>
                    <w:t>工程</w:t>
                  </w:r>
                </w:p>
              </w:tc>
              <w:tc>
                <w:tcPr>
                  <w:tcW w:w="72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污水处理</w:t>
                  </w:r>
                </w:p>
              </w:tc>
              <w:tc>
                <w:tcPr>
                  <w:tcW w:w="301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生活污水经化粪池处理后、加油站站区地面冲洗废水经隔油池处理后由市政污水管网排入祁东县渔陂污水处理厂处理，达标外排至白河；地面雨水经站区内雨水沟引至城市雨水管网。</w:t>
                  </w:r>
                </w:p>
              </w:tc>
              <w:tc>
                <w:tcPr>
                  <w:tcW w:w="6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05" w:type="pct"/>
                  <w:vMerge w:val="continue"/>
                  <w:vAlign w:val="center"/>
                </w:tcPr>
                <w:p>
                  <w:pPr>
                    <w:pStyle w:val="79"/>
                    <w:rPr>
                      <w:color w:val="000000" w:themeColor="text1"/>
                      <w14:textFill>
                        <w14:solidFill>
                          <w14:schemeClr w14:val="tx1"/>
                        </w14:solidFill>
                      </w14:textFill>
                    </w:rPr>
                  </w:pPr>
                </w:p>
              </w:tc>
              <w:tc>
                <w:tcPr>
                  <w:tcW w:w="72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废气处理</w:t>
                  </w:r>
                </w:p>
              </w:tc>
              <w:tc>
                <w:tcPr>
                  <w:tcW w:w="301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卸油口及加油枪均安装油气回收系统</w:t>
                  </w:r>
                </w:p>
              </w:tc>
              <w:tc>
                <w:tcPr>
                  <w:tcW w:w="6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05" w:type="pct"/>
                  <w:vMerge w:val="continue"/>
                  <w:vAlign w:val="center"/>
                </w:tcPr>
                <w:p>
                  <w:pPr>
                    <w:pStyle w:val="79"/>
                    <w:rPr>
                      <w:color w:val="000000" w:themeColor="text1"/>
                      <w14:textFill>
                        <w14:solidFill>
                          <w14:schemeClr w14:val="tx1"/>
                        </w14:solidFill>
                      </w14:textFill>
                    </w:rPr>
                  </w:pPr>
                </w:p>
              </w:tc>
              <w:tc>
                <w:tcPr>
                  <w:tcW w:w="72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固废处理</w:t>
                  </w:r>
                </w:p>
              </w:tc>
              <w:tc>
                <w:tcPr>
                  <w:tcW w:w="301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生活垃圾在站区内采用生活垃圾收集桶收集后交由当地环卫部门统一处理</w:t>
                  </w:r>
                  <w:r>
                    <w:rPr>
                      <w:rStyle w:val="34"/>
                      <w:rFonts w:hint="eastAsia"/>
                      <w:color w:val="000000" w:themeColor="text1"/>
                      <w14:textFill>
                        <w14:solidFill>
                          <w14:schemeClr w14:val="tx1"/>
                        </w14:solidFill>
                      </w14:textFill>
                    </w:rPr>
                    <w:t>；油罐清渣及隔油池清渣产生的废油渣及</w:t>
                  </w:r>
                </w:p>
              </w:tc>
              <w:tc>
                <w:tcPr>
                  <w:tcW w:w="6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05" w:type="pct"/>
                  <w:vMerge w:val="continue"/>
                  <w:vAlign w:val="center"/>
                </w:tcPr>
                <w:p>
                  <w:pPr>
                    <w:pStyle w:val="79"/>
                    <w:rPr>
                      <w:color w:val="000000" w:themeColor="text1"/>
                      <w14:textFill>
                        <w14:solidFill>
                          <w14:schemeClr w14:val="tx1"/>
                        </w14:solidFill>
                      </w14:textFill>
                    </w:rPr>
                  </w:pPr>
                </w:p>
              </w:tc>
              <w:tc>
                <w:tcPr>
                  <w:tcW w:w="72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风险防范</w:t>
                  </w:r>
                </w:p>
              </w:tc>
              <w:tc>
                <w:tcPr>
                  <w:tcW w:w="301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灭火器和消防砂箱，消防废水应急事故池</w:t>
                  </w:r>
                </w:p>
              </w:tc>
              <w:tc>
                <w:tcPr>
                  <w:tcW w:w="6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新建</w:t>
                  </w:r>
                </w:p>
              </w:tc>
            </w:tr>
          </w:tbl>
          <w:p>
            <w:pPr>
              <w:pStyle w:val="88"/>
              <w:rPr>
                <w:b/>
                <w:color w:val="000000" w:themeColor="text1"/>
                <w:szCs w:val="24"/>
                <w14:textFill>
                  <w14:solidFill>
                    <w14:schemeClr w14:val="tx1"/>
                  </w14:solidFill>
                </w14:textFill>
              </w:rPr>
            </w:pPr>
            <w:r>
              <w:rPr>
                <w:rFonts w:hint="eastAsia"/>
                <w:color w:val="000000" w:themeColor="text1"/>
                <w14:textFill>
                  <w14:solidFill>
                    <w14:schemeClr w14:val="tx1"/>
                  </w14:solidFill>
                </w14:textFill>
              </w:rPr>
              <w:t>表1-4  本改建工程主要经济技术指</w:t>
            </w:r>
            <w:r>
              <w:rPr>
                <w:rFonts w:hint="eastAsia"/>
                <w:b/>
                <w:color w:val="000000" w:themeColor="text1"/>
                <w:szCs w:val="24"/>
                <w14:textFill>
                  <w14:solidFill>
                    <w14:schemeClr w14:val="tx1"/>
                  </w14:solidFill>
                </w14:textFill>
              </w:rPr>
              <w:t>标</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976"/>
              <w:gridCol w:w="886"/>
              <w:gridCol w:w="1277"/>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07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4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69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31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07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用地面积</w:t>
                  </w:r>
                </w:p>
              </w:tc>
              <w:tc>
                <w:tcPr>
                  <w:tcW w:w="4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p>
              </w:tc>
              <w:tc>
                <w:tcPr>
                  <w:tcW w:w="69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4000</w:t>
                  </w:r>
                </w:p>
              </w:tc>
              <w:tc>
                <w:tcPr>
                  <w:tcW w:w="231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7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建筑面积</w:t>
                  </w:r>
                </w:p>
              </w:tc>
              <w:tc>
                <w:tcPr>
                  <w:tcW w:w="4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p>
              </w:tc>
              <w:tc>
                <w:tcPr>
                  <w:tcW w:w="69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1248.</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4</w:t>
                  </w:r>
                </w:p>
              </w:tc>
              <w:tc>
                <w:tcPr>
                  <w:tcW w:w="231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3"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p>
              </w:tc>
              <w:tc>
                <w:tcPr>
                  <w:tcW w:w="107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站房</w:t>
                  </w:r>
                </w:p>
              </w:tc>
              <w:tc>
                <w:tcPr>
                  <w:tcW w:w="4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p>
              </w:tc>
              <w:tc>
                <w:tcPr>
                  <w:tcW w:w="69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394.3</w:t>
                  </w:r>
                </w:p>
              </w:tc>
              <w:tc>
                <w:tcPr>
                  <w:tcW w:w="231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3" w:type="pct"/>
                  <w:vMerge w:val="continue"/>
                  <w:vAlign w:val="center"/>
                </w:tcPr>
                <w:p>
                  <w:pPr>
                    <w:pStyle w:val="79"/>
                    <w:rPr>
                      <w:color w:val="000000" w:themeColor="text1"/>
                      <w14:textFill>
                        <w14:solidFill>
                          <w14:schemeClr w14:val="tx1"/>
                        </w14:solidFill>
                      </w14:textFill>
                    </w:rPr>
                  </w:pPr>
                </w:p>
              </w:tc>
              <w:tc>
                <w:tcPr>
                  <w:tcW w:w="107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罩棚</w:t>
                  </w:r>
                </w:p>
              </w:tc>
              <w:tc>
                <w:tcPr>
                  <w:tcW w:w="4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p>
              </w:tc>
              <w:tc>
                <w:tcPr>
                  <w:tcW w:w="69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550</w:t>
                  </w:r>
                </w:p>
              </w:tc>
              <w:tc>
                <w:tcPr>
                  <w:tcW w:w="231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3" w:type="pct"/>
                  <w:vMerge w:val="continue"/>
                  <w:vAlign w:val="center"/>
                </w:tcPr>
                <w:p>
                  <w:pPr>
                    <w:pStyle w:val="79"/>
                    <w:rPr>
                      <w:color w:val="000000" w:themeColor="text1"/>
                      <w14:textFill>
                        <w14:solidFill>
                          <w14:schemeClr w14:val="tx1"/>
                        </w14:solidFill>
                      </w14:textFill>
                    </w:rPr>
                  </w:pPr>
                </w:p>
              </w:tc>
              <w:tc>
                <w:tcPr>
                  <w:tcW w:w="107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辅助用房</w:t>
                  </w:r>
                </w:p>
              </w:tc>
              <w:tc>
                <w:tcPr>
                  <w:tcW w:w="4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p>
              </w:tc>
              <w:tc>
                <w:tcPr>
                  <w:tcW w:w="69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305.04</w:t>
                  </w:r>
                </w:p>
              </w:tc>
              <w:tc>
                <w:tcPr>
                  <w:tcW w:w="231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07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埋地油罐</w:t>
                  </w:r>
                </w:p>
              </w:tc>
              <w:tc>
                <w:tcPr>
                  <w:tcW w:w="4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69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231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92#汽油罐2个（3</w:t>
                  </w:r>
                  <w:r>
                    <w:rPr>
                      <w:color w:val="000000" w:themeColor="text1"/>
                      <w14:textFill>
                        <w14:solidFill>
                          <w14:schemeClr w14:val="tx1"/>
                        </w14:solidFill>
                      </w14:textFill>
                    </w:rPr>
                    <w:t>0m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），95#汽油1个（3</w:t>
                  </w:r>
                  <w:r>
                    <w:rPr>
                      <w:color w:val="000000" w:themeColor="text1"/>
                      <w14:textFill>
                        <w14:solidFill>
                          <w14:schemeClr w14:val="tx1"/>
                        </w14:solidFill>
                      </w14:textFill>
                    </w:rPr>
                    <w:t>0m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），0#柴油储油罐</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个（3</w:t>
                  </w:r>
                  <w:r>
                    <w:rPr>
                      <w:color w:val="000000" w:themeColor="text1"/>
                      <w14:textFill>
                        <w14:solidFill>
                          <w14:schemeClr w14:val="tx1"/>
                        </w14:solidFill>
                      </w14:textFill>
                    </w:rPr>
                    <w:t>0m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），油罐采用SF双层地埋油罐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07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总投资</w:t>
                  </w:r>
                </w:p>
              </w:tc>
              <w:tc>
                <w:tcPr>
                  <w:tcW w:w="4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69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400</w:t>
                  </w:r>
                </w:p>
              </w:tc>
              <w:tc>
                <w:tcPr>
                  <w:tcW w:w="231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adjustRightInd w:val="0"/>
              <w:snapToGrid w:val="0"/>
              <w:spacing w:before="156" w:beforeLines="50" w:line="360" w:lineRule="auto"/>
              <w:rPr>
                <w:rFonts w:ascii="Times New Roman" w:hAnsi="Times New Roman"/>
                <w:b/>
                <w:bCs/>
                <w:snapToGrid w:val="0"/>
                <w:color w:val="000000" w:themeColor="text1"/>
                <w:spacing w:val="4"/>
                <w:kern w:val="0"/>
                <w:sz w:val="28"/>
                <w:szCs w:val="28"/>
                <w14:textFill>
                  <w14:solidFill>
                    <w14:schemeClr w14:val="tx1"/>
                  </w14:solidFill>
                </w14:textFill>
              </w:rPr>
            </w:pPr>
            <w:r>
              <w:rPr>
                <w:rFonts w:ascii="Times New Roman" w:hAnsi="Times New Roman"/>
                <w:b/>
                <w:bCs/>
                <w:snapToGrid w:val="0"/>
                <w:color w:val="000000" w:themeColor="text1"/>
                <w:spacing w:val="4"/>
                <w:kern w:val="0"/>
                <w:sz w:val="28"/>
                <w:szCs w:val="28"/>
                <w14:textFill>
                  <w14:solidFill>
                    <w14:schemeClr w14:val="tx1"/>
                  </w14:solidFill>
                </w14:textFill>
              </w:rPr>
              <w:t>1.4 主要生产原辅材料及能源</w:t>
            </w:r>
            <w:r>
              <w:rPr>
                <w:rFonts w:hint="eastAsia" w:ascii="Times New Roman" w:hAnsi="Times New Roman"/>
                <w:b/>
                <w:bCs/>
                <w:snapToGrid w:val="0"/>
                <w:color w:val="000000" w:themeColor="text1"/>
                <w:spacing w:val="4"/>
                <w:kern w:val="0"/>
                <w:sz w:val="28"/>
                <w:szCs w:val="28"/>
                <w14:textFill>
                  <w14:solidFill>
                    <w14:schemeClr w14:val="tx1"/>
                  </w14:solidFill>
                </w14:textFill>
              </w:rPr>
              <w:t>消耗</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表1-</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本改建工程</w:t>
            </w:r>
            <w:r>
              <w:rPr>
                <w:color w:val="000000" w:themeColor="text1"/>
                <w14:textFill>
                  <w14:solidFill>
                    <w14:schemeClr w14:val="tx1"/>
                  </w14:solidFill>
                </w14:textFill>
              </w:rPr>
              <w:t>主要原辅材料及能源一览表</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52"/>
              <w:gridCol w:w="1946"/>
              <w:gridCol w:w="1934"/>
              <w:gridCol w:w="2225"/>
              <w:gridCol w:w="20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7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062"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原辅料名称</w:t>
                  </w:r>
                </w:p>
              </w:tc>
              <w:tc>
                <w:tcPr>
                  <w:tcW w:w="105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年用量</w:t>
                  </w:r>
                </w:p>
              </w:tc>
              <w:tc>
                <w:tcPr>
                  <w:tcW w:w="121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运输方式</w:t>
                  </w:r>
                </w:p>
              </w:tc>
              <w:tc>
                <w:tcPr>
                  <w:tcW w:w="109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储存位置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7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62"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0#柴油</w:t>
                  </w:r>
                </w:p>
              </w:tc>
              <w:tc>
                <w:tcPr>
                  <w:tcW w:w="105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1000t/a</w:t>
                  </w:r>
                </w:p>
              </w:tc>
              <w:tc>
                <w:tcPr>
                  <w:tcW w:w="1214"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油罐车</w:t>
                  </w:r>
                </w:p>
              </w:tc>
              <w:tc>
                <w:tcPr>
                  <w:tcW w:w="1095"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储油罐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7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w:t>
                  </w:r>
                </w:p>
              </w:tc>
              <w:tc>
                <w:tcPr>
                  <w:tcW w:w="1062"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92#汽油</w:t>
                  </w:r>
                </w:p>
              </w:tc>
              <w:tc>
                <w:tcPr>
                  <w:tcW w:w="105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2000/a</w:t>
                  </w:r>
                </w:p>
              </w:tc>
              <w:tc>
                <w:tcPr>
                  <w:tcW w:w="1214" w:type="pct"/>
                  <w:vMerge w:val="continue"/>
                  <w:vAlign w:val="center"/>
                </w:tcPr>
                <w:p>
                  <w:pPr>
                    <w:pStyle w:val="79"/>
                    <w:rPr>
                      <w:color w:val="000000" w:themeColor="text1"/>
                      <w14:textFill>
                        <w14:solidFill>
                          <w14:schemeClr w14:val="tx1"/>
                        </w14:solidFill>
                      </w14:textFill>
                    </w:rPr>
                  </w:pPr>
                </w:p>
              </w:tc>
              <w:tc>
                <w:tcPr>
                  <w:tcW w:w="1095" w:type="pct"/>
                  <w:vMerge w:val="continue"/>
                  <w:vAlign w:val="center"/>
                </w:tcPr>
                <w:p>
                  <w:pPr>
                    <w:pStyle w:val="79"/>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7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1062"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95#汽油</w:t>
                  </w:r>
                </w:p>
              </w:tc>
              <w:tc>
                <w:tcPr>
                  <w:tcW w:w="105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1000t/a</w:t>
                  </w:r>
                </w:p>
              </w:tc>
              <w:tc>
                <w:tcPr>
                  <w:tcW w:w="1214" w:type="pct"/>
                  <w:vMerge w:val="continue"/>
                  <w:vAlign w:val="center"/>
                </w:tcPr>
                <w:p>
                  <w:pPr>
                    <w:pStyle w:val="79"/>
                    <w:rPr>
                      <w:color w:val="000000" w:themeColor="text1"/>
                      <w14:textFill>
                        <w14:solidFill>
                          <w14:schemeClr w14:val="tx1"/>
                        </w14:solidFill>
                      </w14:textFill>
                    </w:rPr>
                  </w:pPr>
                </w:p>
              </w:tc>
              <w:tc>
                <w:tcPr>
                  <w:tcW w:w="1095" w:type="pct"/>
                  <w:vMerge w:val="continue"/>
                  <w:vAlign w:val="center"/>
                </w:tcPr>
                <w:p>
                  <w:pPr>
                    <w:pStyle w:val="79"/>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7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w:t>
                  </w:r>
                </w:p>
              </w:tc>
              <w:tc>
                <w:tcPr>
                  <w:tcW w:w="1062"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水</w:t>
                  </w:r>
                </w:p>
              </w:tc>
              <w:tc>
                <w:tcPr>
                  <w:tcW w:w="105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238.95m</w:t>
                  </w:r>
                  <w:r>
                    <w:rPr>
                      <w:rFonts w:hint="eastAsia"/>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p>
              </w:tc>
              <w:tc>
                <w:tcPr>
                  <w:tcW w:w="121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9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7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062"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电</w:t>
                  </w:r>
                </w:p>
              </w:tc>
              <w:tc>
                <w:tcPr>
                  <w:tcW w:w="105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12000千瓦/年</w:t>
                  </w:r>
                </w:p>
              </w:tc>
              <w:tc>
                <w:tcPr>
                  <w:tcW w:w="121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9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项目所使用的主要原辅材料理化性质如下：</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表1-6  汽油/柴油MSDS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746"/>
              <w:gridCol w:w="2215"/>
              <w:gridCol w:w="77"/>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9" w:type="dxa"/>
                  <w:gridSpan w:val="5"/>
                  <w:vAlign w:val="center"/>
                </w:tcPr>
                <w:p>
                  <w:pPr>
                    <w:pStyle w:val="79"/>
                    <w:rPr>
                      <w:b/>
                      <w:color w:val="000000" w:themeColor="text1"/>
                      <w14:textFill>
                        <w14:solidFill>
                          <w14:schemeClr w14:val="tx1"/>
                        </w14:solidFill>
                      </w14:textFill>
                    </w:rPr>
                  </w:pPr>
                  <w:r>
                    <w:rPr>
                      <w:rFonts w:hint="eastAsia"/>
                      <w:b/>
                      <w:color w:val="000000" w:themeColor="text1"/>
                      <w14:textFill>
                        <w14:solidFill>
                          <w14:schemeClr w14:val="tx1"/>
                        </w14:solidFill>
                      </w14:textFill>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9" w:type="dxa"/>
                  <w:gridSpan w:val="5"/>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危险性概述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危险性类别：</w:t>
                  </w:r>
                </w:p>
              </w:tc>
              <w:tc>
                <w:tcPr>
                  <w:tcW w:w="2746"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第3.1类低闪点易燃液体</w:t>
                  </w:r>
                </w:p>
              </w:tc>
              <w:tc>
                <w:tcPr>
                  <w:tcW w:w="2292" w:type="dxa"/>
                  <w:gridSpan w:val="2"/>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燃爆危险：</w:t>
                  </w:r>
                </w:p>
              </w:tc>
              <w:tc>
                <w:tcPr>
                  <w:tcW w:w="2293"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易燃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侵入途径：</w:t>
                  </w:r>
                </w:p>
              </w:tc>
              <w:tc>
                <w:tcPr>
                  <w:tcW w:w="2746"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吸入、食入、经皮吸收</w:t>
                  </w:r>
                </w:p>
              </w:tc>
              <w:tc>
                <w:tcPr>
                  <w:tcW w:w="2292" w:type="dxa"/>
                  <w:gridSpan w:val="2"/>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有害燃烧产物：</w:t>
                  </w:r>
                </w:p>
              </w:tc>
              <w:tc>
                <w:tcPr>
                  <w:tcW w:w="2293"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健康危害：</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主要作用于中枢神经系统，急性中毒症状有头晕、头痛、恶心、呕吐、步态不稳、共济失调。高浓度吸入出现中毒性脑病。极高浓度吸入引起意识突然丧失，反射性呼吸停止及化学性肺炎。可致角膜溃疡、穿孔、甚至失明。皮肤接触致急性接触性皮炎或过敏性皮炎。急性经口中毒引起急性胃肠炎，重者出现类似急性吸入中毒症状。慢性中毒：神经衰弱综合症，周围神经病，皮肤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环境危害：</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该物质对环境有危害，应特别注意对地表水、土壤、大气和饮用水的污染。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9" w:type="dxa"/>
                  <w:gridSpan w:val="5"/>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外观及性状：</w:t>
                  </w:r>
                </w:p>
              </w:tc>
              <w:tc>
                <w:tcPr>
                  <w:tcW w:w="7331" w:type="dxa"/>
                  <w:gridSpan w:val="4"/>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无色或淡黄色易挥发液体，具有特殊臭味。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熔点（℃）：</w:t>
                  </w:r>
                </w:p>
              </w:tc>
              <w:tc>
                <w:tcPr>
                  <w:tcW w:w="27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&lt;-60</w:t>
                  </w:r>
                </w:p>
              </w:tc>
              <w:tc>
                <w:tcPr>
                  <w:tcW w:w="2292"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相对密度（水＝1）</w:t>
                  </w:r>
                </w:p>
              </w:tc>
              <w:tc>
                <w:tcPr>
                  <w:tcW w:w="22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0.70～0.79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闪点（℃）：</w:t>
                  </w:r>
                </w:p>
              </w:tc>
              <w:tc>
                <w:tcPr>
                  <w:tcW w:w="27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-50</w:t>
                  </w:r>
                </w:p>
              </w:tc>
              <w:tc>
                <w:tcPr>
                  <w:tcW w:w="2292"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相对密度（空气=1）</w:t>
                  </w:r>
                </w:p>
              </w:tc>
              <w:tc>
                <w:tcPr>
                  <w:tcW w:w="22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引燃温度（℃）：</w:t>
                  </w:r>
                </w:p>
              </w:tc>
              <w:tc>
                <w:tcPr>
                  <w:tcW w:w="274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415～530</w:t>
                  </w:r>
                </w:p>
              </w:tc>
              <w:tc>
                <w:tcPr>
                  <w:tcW w:w="2292"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爆炸上限％（V/V）：</w:t>
                  </w:r>
                </w:p>
              </w:tc>
              <w:tc>
                <w:tcPr>
                  <w:tcW w:w="22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沸点（℃）：</w:t>
                  </w:r>
                </w:p>
              </w:tc>
              <w:tc>
                <w:tcPr>
                  <w:tcW w:w="274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40～200</w:t>
                  </w:r>
                </w:p>
              </w:tc>
              <w:tc>
                <w:tcPr>
                  <w:tcW w:w="2292"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爆炸下限％（V/V）：  </w:t>
                  </w:r>
                </w:p>
              </w:tc>
              <w:tc>
                <w:tcPr>
                  <w:tcW w:w="22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9" w:type="dxa"/>
                  <w:gridSpan w:val="5"/>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毒理学资料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急性毒性：</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LD</w:t>
                  </w:r>
                  <w:r>
                    <w:rPr>
                      <w:rFonts w:hint="eastAsia"/>
                      <w:color w:val="000000" w:themeColor="text1"/>
                      <w:vertAlign w:val="subscript"/>
                      <w14:textFill>
                        <w14:solidFill>
                          <w14:schemeClr w14:val="tx1"/>
                        </w14:solidFill>
                      </w14:textFill>
                    </w:rPr>
                    <w:t>50</w:t>
                  </w:r>
                  <w:r>
                    <w:rPr>
                      <w:rFonts w:hint="eastAsia"/>
                      <w:color w:val="000000" w:themeColor="text1"/>
                      <w14:textFill>
                        <w14:solidFill>
                          <w14:schemeClr w14:val="tx1"/>
                        </w14:solidFill>
                      </w14:textFill>
                    </w:rPr>
                    <w:t>：67000mg/kg（小鼠经口），（120号溶剂汽油）</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LC</w:t>
                  </w:r>
                  <w:r>
                    <w:rPr>
                      <w:rFonts w:hint="eastAsia"/>
                      <w:color w:val="000000" w:themeColor="text1"/>
                      <w:vertAlign w:val="subscript"/>
                      <w14:textFill>
                        <w14:solidFill>
                          <w14:schemeClr w14:val="tx1"/>
                        </w14:solidFill>
                      </w14:textFill>
                    </w:rPr>
                    <w:t>50</w:t>
                  </w:r>
                  <w:r>
                    <w:rPr>
                      <w:rFonts w:hint="eastAsia"/>
                      <w:color w:val="000000" w:themeColor="text1"/>
                      <w14:textFill>
                        <w14:solidFill>
                          <w14:schemeClr w14:val="tx1"/>
                        </w14:solidFill>
                      </w14:textFill>
                    </w:rPr>
                    <w:t>：103000mg/m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小鼠，2小时（120号溶剂汽油）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急性中毒：</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高浓度吸入出现中毒性脑病。极高浓度吸入引起意识突然丧失、反射性呼吸停止和化学性肺炎。可致角膜溃疡、穿孔，甚至失明。皮肤接触致急性接触性皮炎或过敏性皮炎。急性经口中毒引起急性胃肠炎；重者出现类似急性吸入中毒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慢性中毒：</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神经衰弱综合症，周围神经病，皮肤损害。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刺激性：</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人经眼：140ppm（8小时），轻度刺激。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最高容许浓度</w:t>
                  </w:r>
                </w:p>
              </w:tc>
              <w:tc>
                <w:tcPr>
                  <w:tcW w:w="7331" w:type="dxa"/>
                  <w:gridSpan w:val="4"/>
                  <w:vAlign w:val="center"/>
                </w:tcPr>
                <w:p>
                  <w:pPr>
                    <w:pStyle w:val="79"/>
                    <w:jc w:val="left"/>
                    <w:rPr>
                      <w:color w:val="000000" w:themeColor="text1"/>
                      <w14:textFill>
                        <w14:solidFill>
                          <w14:schemeClr w14:val="tx1"/>
                        </w14:solidFill>
                      </w14:textFill>
                    </w:rPr>
                  </w:pPr>
                  <w:r>
                    <w:rPr>
                      <w:color w:val="000000" w:themeColor="text1"/>
                      <w14:textFill>
                        <w14:solidFill>
                          <w14:schemeClr w14:val="tx1"/>
                        </w14:solidFill>
                      </w14:textFill>
                    </w:rPr>
                    <w:t>300mg/m</w:t>
                  </w:r>
                  <w:r>
                    <w:rPr>
                      <w:rFonts w:hint="eastAsia"/>
                      <w:color w:val="000000" w:themeColor="text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泄漏应急处理：</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迅速撤离泄漏污染区人员至安全区，并进行隔离，严格限制出入，切断火源。建议应急处理人员戴自给正压式呼吸器，穿消防防护服。尽可能切断泄漏源。防止进入下水道、排洪沟等限制性空间。小量泄漏：用砂土、蛭石或其它惰性材料吸收。或在保证安全的情况下，就地焚烧。大量泄漏：构筑围堤或挖坑收容；用泡沫覆盖，降低蒸气灾害。用防爆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运输存储</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注意事项：</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罐式专用车辆，在车顶上必须固定安置“危险”字样的标志灯，在车箱尾部必须悬挂危险品货物的标志牌。在运输期间，车辆不得接近明火、高温场所，车辆在一般道路上最高车速为60km/h，如遇雨天、雪天和雾天等恶劣天气，最高车速为20km/h，并打开示警灯，警示后车，防止追尾；装卸作业现场，应远离火种、热源，不准撞击、摩擦、拖拉等。夏季高温天气，汽油运输应按规定采取避高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9" w:type="dxa"/>
                  <w:gridSpan w:val="5"/>
                  <w:vAlign w:val="center"/>
                </w:tcPr>
                <w:p>
                  <w:pPr>
                    <w:pStyle w:val="79"/>
                    <w:rPr>
                      <w:b/>
                      <w:color w:val="000000" w:themeColor="text1"/>
                      <w14:textFill>
                        <w14:solidFill>
                          <w14:schemeClr w14:val="tx1"/>
                        </w14:solidFill>
                      </w14:textFill>
                    </w:rPr>
                  </w:pPr>
                  <w:r>
                    <w:rPr>
                      <w:rFonts w:hint="eastAsia"/>
                      <w:b/>
                      <w:color w:val="000000" w:themeColor="text1"/>
                      <w14:textFill>
                        <w14:solidFill>
                          <w14:schemeClr w14:val="tx1"/>
                        </w14:solidFill>
                      </w14:textFill>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9" w:type="dxa"/>
                  <w:gridSpan w:val="5"/>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危险性概述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危险性类别：</w:t>
                  </w:r>
                </w:p>
              </w:tc>
              <w:tc>
                <w:tcPr>
                  <w:tcW w:w="2746"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第3.3类高闪点 易燃液体</w:t>
                  </w:r>
                </w:p>
              </w:tc>
              <w:tc>
                <w:tcPr>
                  <w:tcW w:w="2292" w:type="dxa"/>
                  <w:gridSpan w:val="2"/>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燃爆危险：</w:t>
                  </w:r>
                </w:p>
              </w:tc>
              <w:tc>
                <w:tcPr>
                  <w:tcW w:w="2293"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易燃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侵入途径：</w:t>
                  </w:r>
                </w:p>
              </w:tc>
              <w:tc>
                <w:tcPr>
                  <w:tcW w:w="2746"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吸入、食入、经皮吸收</w:t>
                  </w:r>
                </w:p>
              </w:tc>
              <w:tc>
                <w:tcPr>
                  <w:tcW w:w="2292" w:type="dxa"/>
                  <w:gridSpan w:val="2"/>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有害燃烧产物：</w:t>
                  </w:r>
                </w:p>
              </w:tc>
              <w:tc>
                <w:tcPr>
                  <w:tcW w:w="2293"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环境危害：</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该物质对环境有危害，应特别注意对地表水、土壤、大气和饮用水的污染。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9" w:type="dxa"/>
                  <w:gridSpan w:val="5"/>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外观及性状：</w:t>
                  </w:r>
                </w:p>
              </w:tc>
              <w:tc>
                <w:tcPr>
                  <w:tcW w:w="274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稍有粘性的棕色液体</w:t>
                  </w:r>
                </w:p>
              </w:tc>
              <w:tc>
                <w:tcPr>
                  <w:tcW w:w="221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主要用途：</w:t>
                  </w:r>
                </w:p>
              </w:tc>
              <w:tc>
                <w:tcPr>
                  <w:tcW w:w="2370"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用作柴油机的燃料等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闪点（</w:t>
                  </w:r>
                  <w:r>
                    <w:rPr>
                      <w:rFonts w:hint="eastAsia" w:ascii="宋体" w:hAnsi="宋体" w:cs="宋体"/>
                      <w:color w:val="000000" w:themeColor="text1"/>
                      <w14:textFill>
                        <w14:solidFill>
                          <w14:schemeClr w14:val="tx1"/>
                        </w14:solidFill>
                      </w14:textFill>
                    </w:rPr>
                    <w:t>℃</w:t>
                  </w:r>
                  <w:r>
                    <w:rPr>
                      <w:rFonts w:hint="eastAsia"/>
                      <w:color w:val="000000" w:themeColor="text1"/>
                      <w14:textFill>
                        <w14:solidFill>
                          <w14:schemeClr w14:val="tx1"/>
                        </w14:solidFill>
                      </w14:textFill>
                    </w:rPr>
                    <w:t>）：</w:t>
                  </w:r>
                </w:p>
              </w:tc>
              <w:tc>
                <w:tcPr>
                  <w:tcW w:w="274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45～55</w:t>
                  </w:r>
                </w:p>
              </w:tc>
              <w:tc>
                <w:tcPr>
                  <w:tcW w:w="221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相</w:t>
                  </w:r>
                  <w:r>
                    <w:rPr>
                      <w:rFonts w:hint="eastAsia"/>
                      <w:color w:val="000000" w:themeColor="text1"/>
                      <w14:textFill>
                        <w14:solidFill>
                          <w14:schemeClr w14:val="tx1"/>
                        </w14:solidFill>
                      </w14:textFill>
                    </w:rPr>
                    <w:cr/>
                  </w:r>
                  <w:r>
                    <w:rPr>
                      <w:rFonts w:hint="eastAsia"/>
                      <w:color w:val="000000" w:themeColor="text1"/>
                      <w14:textFill>
                        <w14:solidFill>
                          <w14:schemeClr w14:val="tx1"/>
                        </w14:solidFill>
                      </w14:textFill>
                    </w:rPr>
                    <w:t xml:space="preserve">密度（水＝1）  </w:t>
                  </w:r>
                </w:p>
              </w:tc>
              <w:tc>
                <w:tcPr>
                  <w:tcW w:w="2370"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0.87～0.9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沸点（℃）：</w:t>
                  </w:r>
                </w:p>
              </w:tc>
              <w:tc>
                <w:tcPr>
                  <w:tcW w:w="274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200～350</w:t>
                  </w:r>
                </w:p>
              </w:tc>
              <w:tc>
                <w:tcPr>
                  <w:tcW w:w="221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爆炸上限％（V/V）：</w:t>
                  </w:r>
                </w:p>
              </w:tc>
              <w:tc>
                <w:tcPr>
                  <w:tcW w:w="237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自然点（℃）：</w:t>
                  </w:r>
                </w:p>
              </w:tc>
              <w:tc>
                <w:tcPr>
                  <w:tcW w:w="27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257</w:t>
                  </w:r>
                </w:p>
              </w:tc>
              <w:tc>
                <w:tcPr>
                  <w:tcW w:w="221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爆炸下限％（V/V）：  </w:t>
                  </w:r>
                </w:p>
              </w:tc>
              <w:tc>
                <w:tcPr>
                  <w:tcW w:w="2370"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9" w:type="dxa"/>
                  <w:gridSpan w:val="5"/>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毒理学资料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急性中毒：</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皮肤接触柴油可引起接触性皮炎、油性痤疮，吸入可引起吸入性肺炎，能经胎</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盘进入胎儿血中。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慢性中毒：</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柴油废气可引起眼、鼻刺激症状，头痛。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刺激性：</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具有刺激作用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最高容许浓度</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目前无标准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泄漏应急处理：</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迅速撤离泄漏污染区人员至安全区，并进行隔离，严格限制出入，切断火源。建议应急处理人员戴自给正压式呼吸器，穿消防防护服。尽可能切断泄漏源。防止进入下水道、排洪沟等限制性空间。小量泄漏：用砂土、蛭石或其它惰性材料吸收。或在保证安全的情况下，就地焚烧。大量泄漏：构筑围堤或挖坑收容；用泡沫覆盖，降低蒸气灾害。用防爆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运输存储</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注意事项：</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罐式专用车辆，在车顶上必须固定安置“危险”字样的标志灯，在车箱尾部必须悬挂危险品货物的标志牌。在运输期间，车辆不得接近明火、高温场所，车辆在一般道路上最高车速为60km/h，如遇雨天、雪天和雾天等恶劣天气，最高车速为20km/h，并打开示警灯，警示后车，防止追尾；装卸作业现场，应远离火种、热源，不准撞击、摩擦、拖拉等。夏季高温天气，汽油运输应按规定采取避高温措施。</w:t>
                  </w:r>
                </w:p>
              </w:tc>
            </w:tr>
          </w:tbl>
          <w:p>
            <w:pPr>
              <w:pStyle w:val="4"/>
              <w:spacing w:before="156" w:beforeLines="5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1.5 主要设备使用情况</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营运期使用的设备情况详见下表1-7，项目所使用的所有设备均为新购买，不利旧</w:t>
            </w:r>
            <w:r>
              <w:rPr>
                <w:color w:val="000000" w:themeColor="text1"/>
                <w14:textFill>
                  <w14:solidFill>
                    <w14:schemeClr w14:val="tx1"/>
                  </w14:solidFill>
                </w14:textFill>
              </w:rPr>
              <w:t>。</w:t>
            </w:r>
          </w:p>
          <w:p>
            <w:pPr>
              <w:pStyle w:val="88"/>
              <w:rPr>
                <w:color w:val="000000" w:themeColor="text1"/>
                <w14:textFill>
                  <w14:solidFill>
                    <w14:schemeClr w14:val="tx1"/>
                  </w14:solidFill>
                </w14:textFill>
              </w:rPr>
            </w:pPr>
          </w:p>
          <w:p>
            <w:pPr>
              <w:pStyle w:val="88"/>
              <w:rPr>
                <w:color w:val="000000" w:themeColor="text1"/>
                <w14:textFill>
                  <w14:solidFill>
                    <w14:schemeClr w14:val="tx1"/>
                  </w14:solidFill>
                </w14:textFill>
              </w:rPr>
            </w:pPr>
            <w:r>
              <w:rPr>
                <w:color w:val="000000" w:themeColor="text1"/>
                <w14:textFill>
                  <w14:solidFill>
                    <w14:schemeClr w14:val="tx1"/>
                  </w14:solidFill>
                </w14:textFill>
              </w:rPr>
              <w:t>表1-</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本改建工程</w:t>
            </w:r>
            <w:r>
              <w:rPr>
                <w:color w:val="000000" w:themeColor="text1"/>
                <w14:textFill>
                  <w14:solidFill>
                    <w14:schemeClr w14:val="tx1"/>
                  </w14:solidFill>
                </w14:textFill>
              </w:rPr>
              <w:t>主要生产设备一览表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0" w:type="dxa"/>
                <w:bottom w:w="0" w:type="dxa"/>
                <w:right w:w="0" w:type="dxa"/>
              </w:tblCellMar>
            </w:tblPr>
            <w:tblGrid>
              <w:gridCol w:w="686"/>
              <w:gridCol w:w="2540"/>
              <w:gridCol w:w="1200"/>
              <w:gridCol w:w="833"/>
              <w:gridCol w:w="725"/>
              <w:gridCol w:w="3190"/>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74" w:type="pct"/>
                  <w:tcBorders>
                    <w:top w:val="single" w:color="auto" w:sz="4"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384" w:type="pct"/>
                  <w:tcBorders>
                    <w:top w:val="single" w:color="auto" w:sz="4"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设备名称</w:t>
                  </w:r>
                </w:p>
              </w:tc>
              <w:tc>
                <w:tcPr>
                  <w:tcW w:w="654" w:type="pct"/>
                  <w:tcBorders>
                    <w:top w:val="single" w:color="auto" w:sz="4"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规格型号</w:t>
                  </w:r>
                </w:p>
              </w:tc>
              <w:tc>
                <w:tcPr>
                  <w:tcW w:w="454" w:type="pct"/>
                  <w:tcBorders>
                    <w:top w:val="single" w:color="auto" w:sz="4"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395" w:type="pct"/>
                  <w:tcBorders>
                    <w:top w:val="single" w:color="auto" w:sz="4"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738" w:type="pct"/>
                  <w:tcBorders>
                    <w:top w:val="single" w:color="auto" w:sz="4"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74" w:type="pct"/>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138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0#柴油罐</w:t>
                  </w:r>
                </w:p>
              </w:tc>
              <w:tc>
                <w:tcPr>
                  <w:tcW w:w="6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30m</w:t>
                  </w:r>
                  <w:r>
                    <w:rPr>
                      <w:color w:val="000000" w:themeColor="text1"/>
                      <w:vertAlign w:val="superscript"/>
                      <w14:textFill>
                        <w14:solidFill>
                          <w14:schemeClr w14:val="tx1"/>
                        </w14:solidFill>
                      </w14:textFill>
                    </w:rPr>
                    <w:t>3</w:t>
                  </w:r>
                </w:p>
              </w:tc>
              <w:tc>
                <w:tcPr>
                  <w:tcW w:w="4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395"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738" w:type="pct"/>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双层储罐，加强级防腐</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74" w:type="pct"/>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w:t>
                  </w:r>
                </w:p>
              </w:tc>
              <w:tc>
                <w:tcPr>
                  <w:tcW w:w="138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92#汽油罐</w:t>
                  </w:r>
                </w:p>
              </w:tc>
              <w:tc>
                <w:tcPr>
                  <w:tcW w:w="6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30m</w:t>
                  </w:r>
                  <w:r>
                    <w:rPr>
                      <w:color w:val="000000" w:themeColor="text1"/>
                      <w:vertAlign w:val="superscript"/>
                      <w14:textFill>
                        <w14:solidFill>
                          <w14:schemeClr w14:val="tx1"/>
                        </w14:solidFill>
                      </w14:textFill>
                    </w:rPr>
                    <w:t>3</w:t>
                  </w:r>
                </w:p>
              </w:tc>
              <w:tc>
                <w:tcPr>
                  <w:tcW w:w="4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395"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738" w:type="pct"/>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双层储罐，加强级防腐</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74" w:type="pct"/>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138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95#汽油罐</w:t>
                  </w:r>
                </w:p>
              </w:tc>
              <w:tc>
                <w:tcPr>
                  <w:tcW w:w="6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30m</w:t>
                  </w:r>
                  <w:r>
                    <w:rPr>
                      <w:color w:val="000000" w:themeColor="text1"/>
                      <w:vertAlign w:val="superscript"/>
                      <w14:textFill>
                        <w14:solidFill>
                          <w14:schemeClr w14:val="tx1"/>
                        </w14:solidFill>
                      </w14:textFill>
                    </w:rPr>
                    <w:t>3</w:t>
                  </w:r>
                </w:p>
              </w:tc>
              <w:tc>
                <w:tcPr>
                  <w:tcW w:w="4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395"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1738" w:type="pct"/>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双层储罐，加强级防腐</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74" w:type="pct"/>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38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双枪双油品加油机</w:t>
                  </w:r>
                </w:p>
              </w:tc>
              <w:tc>
                <w:tcPr>
                  <w:tcW w:w="6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4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395"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738" w:type="pct"/>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汽油机自带油气回收真空泵</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74" w:type="pct"/>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38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双枪单油品加油机</w:t>
                  </w:r>
                </w:p>
              </w:tc>
              <w:tc>
                <w:tcPr>
                  <w:tcW w:w="6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4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395"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738" w:type="pct"/>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柴油机自带油气回收真空泵</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74" w:type="pct"/>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38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潜油泵</w:t>
                  </w:r>
                </w:p>
              </w:tc>
              <w:tc>
                <w:tcPr>
                  <w:tcW w:w="6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4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395"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738" w:type="pct"/>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防爆等级：</w:t>
                  </w:r>
                  <w:r>
                    <w:rPr>
                      <w:color w:val="000000" w:themeColor="text1"/>
                      <w14:textFill>
                        <w14:solidFill>
                          <w14:schemeClr w14:val="tx1"/>
                        </w14:solidFill>
                      </w14:textFill>
                    </w:rPr>
                    <w:t>EXdIIAT3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74" w:type="pct"/>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38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缷油油气回收系统</w:t>
                  </w:r>
                </w:p>
              </w:tc>
              <w:tc>
                <w:tcPr>
                  <w:tcW w:w="6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4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395"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1738" w:type="pct"/>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74" w:type="pct"/>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38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加油油气回收系统</w:t>
                  </w:r>
                </w:p>
              </w:tc>
              <w:tc>
                <w:tcPr>
                  <w:tcW w:w="6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4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395"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1738" w:type="pct"/>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74" w:type="pct"/>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38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液位仪</w:t>
                  </w:r>
                </w:p>
              </w:tc>
              <w:tc>
                <w:tcPr>
                  <w:tcW w:w="6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454"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395" w:type="pct"/>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738" w:type="pct"/>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74" w:type="pct"/>
                  <w:tcBorders>
                    <w:top w:val="single" w:color="000000" w:sz="6" w:space="0"/>
                    <w:left w:val="single" w:color="auto" w:sz="4" w:space="0"/>
                    <w:bottom w:val="single" w:color="auto" w:sz="4"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384" w:type="pct"/>
                  <w:tcBorders>
                    <w:top w:val="single" w:color="000000" w:sz="6" w:space="0"/>
                    <w:left w:val="single" w:color="000000" w:sz="6" w:space="0"/>
                    <w:bottom w:val="single" w:color="auto" w:sz="4"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发电机</w:t>
                  </w:r>
                </w:p>
              </w:tc>
              <w:tc>
                <w:tcPr>
                  <w:tcW w:w="654" w:type="pct"/>
                  <w:tcBorders>
                    <w:top w:val="single" w:color="000000" w:sz="6" w:space="0"/>
                    <w:left w:val="single" w:color="000000" w:sz="6" w:space="0"/>
                    <w:bottom w:val="single" w:color="auto" w:sz="4"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30</w:t>
                  </w:r>
                  <w:r>
                    <w:rPr>
                      <w:rFonts w:hint="eastAsia"/>
                      <w:color w:val="000000" w:themeColor="text1"/>
                      <w14:textFill>
                        <w14:solidFill>
                          <w14:schemeClr w14:val="tx1"/>
                        </w14:solidFill>
                      </w14:textFill>
                    </w:rPr>
                    <w:t>kw</w:t>
                  </w:r>
                </w:p>
              </w:tc>
              <w:tc>
                <w:tcPr>
                  <w:tcW w:w="454" w:type="pct"/>
                  <w:tcBorders>
                    <w:top w:val="single" w:color="000000" w:sz="6" w:space="0"/>
                    <w:left w:val="single" w:color="000000" w:sz="6" w:space="0"/>
                    <w:bottom w:val="single" w:color="auto" w:sz="4"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395" w:type="pct"/>
                  <w:tcBorders>
                    <w:top w:val="single" w:color="000000" w:sz="6" w:space="0"/>
                    <w:left w:val="single" w:color="000000" w:sz="6" w:space="0"/>
                    <w:bottom w:val="single" w:color="auto" w:sz="4"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738" w:type="pct"/>
                  <w:tcBorders>
                    <w:top w:val="single" w:color="000000" w:sz="6" w:space="0"/>
                    <w:left w:val="single" w:color="000000" w:sz="6"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4"/>
              <w:spacing w:before="156" w:beforeLines="5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1.6 </w:t>
            </w:r>
            <w:r>
              <w:rPr>
                <w:rFonts w:hint="eastAsia" w:cs="Times New Roman"/>
                <w:bCs/>
                <w:color w:val="000000" w:themeColor="text1"/>
                <w:sz w:val="28"/>
                <w:szCs w:val="28"/>
                <w14:textFill>
                  <w14:solidFill>
                    <w14:schemeClr w14:val="tx1"/>
                  </w14:solidFill>
                </w14:textFill>
              </w:rPr>
              <w:t>销售</w:t>
            </w:r>
            <w:r>
              <w:rPr>
                <w:rFonts w:cs="Times New Roman"/>
                <w:bCs/>
                <w:color w:val="000000" w:themeColor="text1"/>
                <w:sz w:val="28"/>
                <w:szCs w:val="28"/>
                <w14:textFill>
                  <w14:solidFill>
                    <w14:schemeClr w14:val="tx1"/>
                  </w14:solidFill>
                </w14:textFill>
              </w:rPr>
              <w:t>方案</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本项目主要是进行柴油、汽油的销售，销售情况如下表所示。</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表1-8  本改建工程油品销售方案一览表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6"/>
              <w:gridCol w:w="3059"/>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66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产品名称</w:t>
                  </w:r>
                </w:p>
              </w:tc>
              <w:tc>
                <w:tcPr>
                  <w:tcW w:w="166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年销售量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6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0#柴油</w:t>
                  </w:r>
                </w:p>
              </w:tc>
              <w:tc>
                <w:tcPr>
                  <w:tcW w:w="16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6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92#汽油</w:t>
                  </w:r>
                </w:p>
              </w:tc>
              <w:tc>
                <w:tcPr>
                  <w:tcW w:w="16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6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95#汽油</w:t>
                  </w:r>
                </w:p>
              </w:tc>
              <w:tc>
                <w:tcPr>
                  <w:tcW w:w="16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1000t/a</w:t>
                  </w:r>
                </w:p>
              </w:tc>
            </w:tr>
          </w:tbl>
          <w:p>
            <w:pPr>
              <w:pStyle w:val="4"/>
              <w:spacing w:before="156" w:beforeLines="5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1.7 平面布置</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项目属于改建加油站项目，位于</w:t>
            </w:r>
            <w:r>
              <w:rPr>
                <w:color w:val="000000" w:themeColor="text1"/>
                <w:szCs w:val="22"/>
                <w14:textFill>
                  <w14:solidFill>
                    <w14:schemeClr w14:val="tx1"/>
                  </w14:solidFill>
                </w14:textFill>
              </w:rPr>
              <w:t>祁东县洪桥镇洪丰村G322线北侧</w:t>
            </w:r>
            <w:r>
              <w:rPr>
                <w:rFonts w:hint="eastAsia"/>
                <w:color w:val="000000" w:themeColor="text1"/>
                <w:szCs w:val="22"/>
                <w14:textFill>
                  <w14:solidFill>
                    <w14:schemeClr w14:val="tx1"/>
                  </w14:solidFill>
                </w14:textFill>
              </w:rPr>
              <w:t>原有加油站原址</w:t>
            </w:r>
            <w:r>
              <w:rPr>
                <w:rFonts w:hint="eastAsia"/>
                <w:color w:val="000000" w:themeColor="text1"/>
                <w14:textFill>
                  <w14:solidFill>
                    <w14:schemeClr w14:val="tx1"/>
                  </w14:solidFill>
                </w14:textFill>
              </w:rPr>
              <w:t>，将原有加油站全部推平重建，加油车辆由东南侧路进入，加完油后由西南侧出站，加油过程无任何交通冲突点和交织点，行车路线布置较好。油罐区为重点布设区，设在项目罩棚地下，储油罐为地埋卧室储油罐，站房布置在场地中心位置，辅助用房设置在用地的西侧，其余用地为道路和绿化用地。站内布置严格按照《汽车加油加气站设计与施工规范》（GB50156-2012）的要求设计。</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结合《汽车加油加气站设计与施工规范》（GB50156-2012）中相关规定，各项指标均满足《汽车加油加气站设计与施工规范》（GB50156-2012）中的要求，且物流短捷，人流、物流互不交叉干扰，有机地协调了与服务区环境的关系，建设与保护的关系。因此本项目总平面布局是合理的。</w:t>
            </w:r>
          </w:p>
          <w:p>
            <w:pPr>
              <w:pStyle w:val="4"/>
              <w:rPr>
                <w:rFonts w:cs="Times New Roman"/>
                <w:bCs/>
                <w:color w:val="000000" w:themeColor="text1"/>
                <w:sz w:val="28"/>
                <w:szCs w:val="28"/>
                <w14:textFill>
                  <w14:solidFill>
                    <w14:schemeClr w14:val="tx1"/>
                  </w14:solidFill>
                </w14:textFill>
              </w:rPr>
            </w:pPr>
            <w:bookmarkStart w:id="4" w:name="_Toc287535109"/>
            <w:r>
              <w:rPr>
                <w:rFonts w:cs="Times New Roman"/>
                <w:bCs/>
                <w:color w:val="000000" w:themeColor="text1"/>
                <w:sz w:val="28"/>
                <w:szCs w:val="28"/>
                <w14:textFill>
                  <w14:solidFill>
                    <w14:schemeClr w14:val="tx1"/>
                  </w14:solidFill>
                </w14:textFill>
              </w:rPr>
              <w:t>1.</w:t>
            </w:r>
            <w:r>
              <w:rPr>
                <w:rFonts w:hint="eastAsia" w:cs="Times New Roman"/>
                <w:bCs/>
                <w:color w:val="000000" w:themeColor="text1"/>
                <w:sz w:val="28"/>
                <w:szCs w:val="28"/>
                <w14:textFill>
                  <w14:solidFill>
                    <w14:schemeClr w14:val="tx1"/>
                  </w14:solidFill>
                </w14:textFill>
              </w:rPr>
              <w:t>8</w:t>
            </w:r>
            <w:r>
              <w:rPr>
                <w:rFonts w:cs="Times New Roman"/>
                <w:bCs/>
                <w:color w:val="000000" w:themeColor="text1"/>
                <w:sz w:val="28"/>
                <w:szCs w:val="28"/>
                <w14:textFill>
                  <w14:solidFill>
                    <w14:schemeClr w14:val="tx1"/>
                  </w14:solidFill>
                </w14:textFill>
              </w:rPr>
              <w:t>公用工程</w:t>
            </w:r>
            <w:bookmarkEnd w:id="4"/>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①给排水</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给水：本项目用水主要为生活用水（站内员工生活用水及来往顾客生活用水）、地面冲洗水，取自市政给水管网。</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排水：项目生活污水经化粪池处理后、地面冲洗废水经隔油池处理后经市政污水管网排入祁东县渔陂污水处理厂处理，达</w:t>
            </w:r>
            <w:r>
              <w:rPr>
                <w:color w:val="000000" w:themeColor="text1"/>
                <w14:textFill>
                  <w14:solidFill>
                    <w14:schemeClr w14:val="tx1"/>
                  </w14:solidFill>
                </w14:textFill>
              </w:rPr>
              <w:t>《城镇污水处理厂污染物排放标准》一级</w:t>
            </w:r>
            <w:r>
              <w:rPr>
                <w:rFonts w:hint="eastAsia"/>
                <w:color w:val="000000" w:themeColor="text1"/>
                <w14:textFill>
                  <w14:solidFill>
                    <w14:schemeClr w14:val="tx1"/>
                  </w14:solidFill>
                </w14:textFill>
              </w:rPr>
              <w:t>B</w:t>
            </w:r>
            <w:r>
              <w:rPr>
                <w:color w:val="000000" w:themeColor="text1"/>
                <w14:textFill>
                  <w14:solidFill>
                    <w14:schemeClr w14:val="tx1"/>
                  </w14:solidFill>
                </w14:textFill>
              </w:rPr>
              <w:t>标准</w:t>
            </w:r>
            <w:r>
              <w:rPr>
                <w:rFonts w:hint="eastAsia"/>
                <w:color w:val="000000" w:themeColor="text1"/>
                <w14:textFill>
                  <w14:solidFill>
                    <w14:schemeClr w14:val="tx1"/>
                  </w14:solidFill>
                </w14:textFill>
              </w:rPr>
              <w:t>后外排至白河。</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②供电</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本项目供电由祁东县电网供电。</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③能源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本项目不设置锅炉，办公室设置空调进行供热和供冷；加油站内设置一台30KW的备用柴油发电机用于应急发电。</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④防雷静电接地系统</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供电系统拟采用接地保护，电气设备、金属设施、工艺管线等均做防雷、防静电接地，接地电阻不大于4.0欧姆；有爆炸危险环境的建、构筑物按“第二类”防雷建筑物的要求进行设计；架空的工艺管道按规范要求做防雷、防静电接地设计。</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电源系统设置避雷器，防止雷电波侵入，弱电系统采取浪涌保护器等防感应雷措施。所有进出户金属管道、电气设备外露可导电部位、建筑物金属门窗等均与接地装置做等电位联结。</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⑤消防</w:t>
            </w:r>
          </w:p>
          <w:p>
            <w:pPr>
              <w:pStyle w:val="54"/>
              <w:ind w:firstLine="480"/>
              <w:rPr>
                <w:rStyle w:val="80"/>
                <w:color w:val="000000" w:themeColor="text1"/>
                <w:sz w:val="24"/>
                <w14:textFill>
                  <w14:solidFill>
                    <w14:schemeClr w14:val="tx1"/>
                  </w14:solidFill>
                </w14:textFill>
              </w:rPr>
            </w:pPr>
            <w:r>
              <w:rPr>
                <w:rFonts w:hint="eastAsia"/>
                <w:color w:val="000000" w:themeColor="text1"/>
                <w14:textFill>
                  <w14:solidFill>
                    <w14:schemeClr w14:val="tx1"/>
                  </w14:solidFill>
                </w14:textFill>
              </w:rPr>
              <w:t>根据《汽车加油加气站设计与施工规范》（GB50156-2012）和《建筑灭火器装置设计规范》（GB50140-2005）的规定，项目内设灭火器、消防沙池等设施。</w:t>
            </w:r>
          </w:p>
          <w:p>
            <w:pPr>
              <w:pStyle w:val="54"/>
              <w:ind w:firstLine="480"/>
              <w:rPr>
                <w:rStyle w:val="80"/>
                <w:color w:val="000000" w:themeColor="text1"/>
                <w:sz w:val="24"/>
                <w14:textFill>
                  <w14:solidFill>
                    <w14:schemeClr w14:val="tx1"/>
                  </w14:solidFill>
                </w14:textFill>
              </w:rPr>
            </w:pPr>
            <w:r>
              <w:rPr>
                <w:rStyle w:val="80"/>
                <w:rFonts w:hint="eastAsia"/>
                <w:color w:val="000000" w:themeColor="text1"/>
                <w:sz w:val="24"/>
                <w14:textFill>
                  <w14:solidFill>
                    <w14:schemeClr w14:val="tx1"/>
                  </w14:solidFill>
                </w14:textFill>
              </w:rPr>
              <w:t>⑥防震设计</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根据《中国地震烈度分析》（2001），项目所在地地震基本烈度为小于Ⅵ级，本工程采用钢筋砼框架，在建设时应当满足相应的抗震要求。</w:t>
            </w:r>
          </w:p>
          <w:p>
            <w:pPr>
              <w:pStyle w:val="4"/>
              <w:rPr>
                <w:rFonts w:cs="Times New Roman"/>
                <w:bCs/>
                <w:color w:val="000000" w:themeColor="text1"/>
                <w:sz w:val="28"/>
                <w:szCs w:val="28"/>
                <w14:textFill>
                  <w14:solidFill>
                    <w14:schemeClr w14:val="tx1"/>
                  </w14:solidFill>
                </w14:textFill>
              </w:rPr>
            </w:pPr>
            <w:bookmarkStart w:id="5" w:name="_Toc287535110"/>
            <w:r>
              <w:rPr>
                <w:rFonts w:cs="Times New Roman"/>
                <w:bCs/>
                <w:color w:val="000000" w:themeColor="text1"/>
                <w:sz w:val="28"/>
                <w:szCs w:val="28"/>
                <w14:textFill>
                  <w14:solidFill>
                    <w14:schemeClr w14:val="tx1"/>
                  </w14:solidFill>
                </w14:textFill>
              </w:rPr>
              <w:t>1.9 劳动定员和工作制度</w:t>
            </w:r>
            <w:bookmarkEnd w:id="5"/>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职工定员</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人。年工作时间为</w:t>
            </w:r>
            <w:r>
              <w:rPr>
                <w:rFonts w:hint="eastAsia"/>
                <w:color w:val="000000" w:themeColor="text1"/>
                <w14:textFill>
                  <w14:solidFill>
                    <w14:schemeClr w14:val="tx1"/>
                  </w14:solidFill>
                </w14:textFill>
              </w:rPr>
              <w:t>365</w:t>
            </w:r>
            <w:r>
              <w:rPr>
                <w:color w:val="000000" w:themeColor="text1"/>
                <w14:textFill>
                  <w14:solidFill>
                    <w14:schemeClr w14:val="tx1"/>
                  </w14:solidFill>
                </w14:textFill>
              </w:rPr>
              <w:t>天，</w:t>
            </w:r>
            <w:r>
              <w:rPr>
                <w:color w:val="000000" w:themeColor="text1"/>
                <w:szCs w:val="22"/>
                <w14:textFill>
                  <w14:solidFill>
                    <w14:schemeClr w14:val="tx1"/>
                  </w14:solidFill>
                </w14:textFill>
              </w:rPr>
              <w:t>24小时营业。</w:t>
            </w:r>
            <w:r>
              <w:rPr>
                <w:rFonts w:hint="eastAsia"/>
                <w:color w:val="000000" w:themeColor="text1"/>
                <w:szCs w:val="22"/>
                <w14:textFill>
                  <w14:solidFill>
                    <w14:schemeClr w14:val="tx1"/>
                  </w14:solidFill>
                </w14:textFill>
              </w:rPr>
              <w:t>加油站内不设食堂及宿舍。</w:t>
            </w:r>
          </w:p>
          <w:p>
            <w:pPr>
              <w:pStyle w:val="54"/>
              <w:ind w:firstLine="480"/>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4" w:hRule="atLeast"/>
          <w:jc w:val="center"/>
        </w:trPr>
        <w:tc>
          <w:tcPr>
            <w:tcW w:w="9400" w:type="dxa"/>
            <w:gridSpan w:val="8"/>
          </w:tcPr>
          <w:p>
            <w:pPr>
              <w:pStyle w:val="4"/>
              <w:keepNext w:val="0"/>
              <w:rPr>
                <w:rStyle w:val="77"/>
                <w:rFonts w:cs="Times New Roman"/>
                <w:b w:val="0"/>
                <w:color w:val="000000" w:themeColor="text1"/>
                <w:sz w:val="30"/>
                <w:szCs w:val="30"/>
                <w14:textFill>
                  <w14:solidFill>
                    <w14:schemeClr w14:val="tx1"/>
                  </w14:solidFill>
                </w14:textFill>
              </w:rPr>
            </w:pPr>
            <w:bookmarkStart w:id="6" w:name="_Toc287535111"/>
            <w:r>
              <w:rPr>
                <w:rStyle w:val="77"/>
                <w:rFonts w:cs="Times New Roman"/>
                <w:b w:val="0"/>
                <w:snapToGrid/>
                <w:color w:val="000000" w:themeColor="text1"/>
                <w:spacing w:val="0"/>
                <w:sz w:val="30"/>
                <w:szCs w:val="30"/>
                <w14:textFill>
                  <w14:solidFill>
                    <w14:schemeClr w14:val="tx1"/>
                  </w14:solidFill>
                </w14:textFill>
              </w:rPr>
              <w:t>与本项目有关的原有污染源情况及主要环境问题</w:t>
            </w:r>
            <w:bookmarkEnd w:id="6"/>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本项目为改建项目，位于现有加油站原址，祁东县洪丰村G322线北侧，根据现场调查，拟建地现有加油站已经人工推平，现有工程现有污染已不存在，</w:t>
            </w:r>
            <w:r>
              <w:rPr>
                <w:rFonts w:hint="eastAsia"/>
                <w:color w:val="000000" w:themeColor="text1"/>
                <w:u w:val="single"/>
                <w14:textFill>
                  <w14:solidFill>
                    <w14:schemeClr w14:val="tx1"/>
                  </w14:solidFill>
                </w14:textFill>
              </w:rPr>
              <w:t>项目原油罐由专门的油罐拆除公司进行拆除，拆除后的废油罐交由拆除公司处置。</w:t>
            </w:r>
            <w:r>
              <w:rPr>
                <w:rFonts w:hint="eastAsia"/>
                <w:color w:val="000000" w:themeColor="text1"/>
                <w14:textFill>
                  <w14:solidFill>
                    <w14:schemeClr w14:val="tx1"/>
                  </w14:solidFill>
                </w14:textFill>
              </w:rPr>
              <w:t>原项目环评已于2014年10月拿到了批复，具体情况见附件2；2014年11月取得了验收批复，具体情况见附件三。建设场地东面为民房，距加油机设计位置175m；项目西面为汽车检测站，距站区用地边线9m；南临G322，并有一条架空通信线，公路和通信线距加油机设计位置的距离分别为22.6m、16.8m；北面为空地，西北方向有一生物发电厂，距站区用地边线120m。因此，选址区域主要环境问题为G322国道来往机动车辆产生的汽车尾气、道路扬尘、交通噪声以及当地居民的生活垃圾。</w:t>
            </w:r>
          </w:p>
        </w:tc>
      </w:tr>
    </w:tbl>
    <w:p>
      <w:pPr>
        <w:pStyle w:val="2"/>
        <w:spacing w:before="0" w:after="0" w:line="360" w:lineRule="auto"/>
        <w:rPr>
          <w:rFonts w:ascii="Times New Roman" w:hAnsi="Times New Roman"/>
          <w:color w:val="000000" w:themeColor="text1"/>
          <w:sz w:val="28"/>
          <w:szCs w:val="28"/>
          <w14:textFill>
            <w14:solidFill>
              <w14:schemeClr w14:val="tx1"/>
            </w14:solidFill>
          </w14:textFill>
        </w:rPr>
      </w:pPr>
      <w:bookmarkStart w:id="7" w:name="_Toc287535112"/>
      <w:r>
        <w:rPr>
          <w:rFonts w:ascii="Times New Roman" w:hAnsi="Times New Roman"/>
          <w:color w:val="000000" w:themeColor="text1"/>
          <w:sz w:val="28"/>
          <w:szCs w:val="28"/>
          <w14:textFill>
            <w14:solidFill>
              <w14:schemeClr w14:val="tx1"/>
            </w14:solidFill>
          </w14:textFill>
        </w:rPr>
        <w:br w:type="page"/>
      </w:r>
      <w:bookmarkStart w:id="8" w:name="_Toc29913611"/>
      <w:r>
        <w:rPr>
          <w:rFonts w:ascii="Times New Roman" w:hAnsi="Times New Roman"/>
          <w:color w:val="000000" w:themeColor="text1"/>
          <w:sz w:val="28"/>
          <w:szCs w:val="28"/>
          <w14:textFill>
            <w14:solidFill>
              <w14:schemeClr w14:val="tx1"/>
            </w14:solidFill>
          </w14:textFill>
        </w:rPr>
        <w:t>二、建设项目所在地自然环境简况</w:t>
      </w:r>
      <w:bookmarkEnd w:id="7"/>
      <w:bookmarkEnd w:id="8"/>
    </w:p>
    <w:tbl>
      <w:tblPr>
        <w:tblStyle w:val="28"/>
        <w:tblW w:w="93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96" w:hRule="atLeast"/>
          <w:jc w:val="center"/>
        </w:trPr>
        <w:tc>
          <w:tcPr>
            <w:tcW w:w="9322" w:type="dxa"/>
          </w:tcPr>
          <w:p>
            <w:pPr>
              <w:snapToGrid w:val="0"/>
              <w:spacing w:line="360" w:lineRule="auto"/>
              <w:rPr>
                <w:rStyle w:val="77"/>
                <w:rFonts w:ascii="Times New Roman" w:hAnsi="Times New Roman"/>
                <w:color w:val="000000" w:themeColor="text1"/>
                <w:szCs w:val="28"/>
                <w14:textFill>
                  <w14:solidFill>
                    <w14:schemeClr w14:val="tx1"/>
                  </w14:solidFill>
                </w14:textFill>
              </w:rPr>
            </w:pPr>
            <w:bookmarkStart w:id="9" w:name="_Toc287535113"/>
            <w:r>
              <w:rPr>
                <w:rStyle w:val="77"/>
                <w:rFonts w:ascii="Times New Roman" w:hAnsi="Times New Roman"/>
                <w:color w:val="000000" w:themeColor="text1"/>
                <w:szCs w:val="28"/>
                <w14:textFill>
                  <w14:solidFill>
                    <w14:schemeClr w14:val="tx1"/>
                  </w14:solidFill>
                </w14:textFill>
              </w:rPr>
              <w:t>自然环境简况</w:t>
            </w:r>
            <w:bookmarkEnd w:id="9"/>
            <w:r>
              <w:rPr>
                <w:rStyle w:val="77"/>
                <w:rFonts w:ascii="Times New Roman" w:hAnsi="Times New Roman"/>
                <w:color w:val="000000" w:themeColor="text1"/>
                <w:szCs w:val="28"/>
                <w14:textFill>
                  <w14:solidFill>
                    <w14:schemeClr w14:val="tx1"/>
                  </w14:solidFill>
                </w14:textFill>
              </w:rPr>
              <w:t>（地形、地貌、地质、气候、气象、水文、植被、生物多样性等）</w:t>
            </w:r>
          </w:p>
          <w:p>
            <w:pPr>
              <w:pStyle w:val="3"/>
              <w:rPr>
                <w:color w:val="000000" w:themeColor="text1"/>
                <w14:textFill>
                  <w14:solidFill>
                    <w14:schemeClr w14:val="tx1"/>
                  </w14:solidFill>
                </w14:textFill>
              </w:rPr>
            </w:pPr>
            <w:bookmarkStart w:id="10" w:name="_Toc287535114"/>
            <w:r>
              <w:rPr>
                <w:color w:val="000000" w:themeColor="text1"/>
                <w14:textFill>
                  <w14:solidFill>
                    <w14:schemeClr w14:val="tx1"/>
                  </w14:solidFill>
                </w14:textFill>
              </w:rPr>
              <w:t>2.1地理位置</w:t>
            </w:r>
            <w:bookmarkEnd w:id="10"/>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祁东县地处衡阳市西南部，湘江中游北岸。地处111°32'～112°20'北纬26°28'～27°04'。东邻衡阳，西接桂林，南连永州，北抵邵东，湘桂铁路与 322 国道从境内并行而过，G72国家高速(衡昆高速公路)、娄衡高速公路、衡枣高速公路贯穿祁东，素有“湘桂咽喉”之称。境内地势自西北向东南倾斜，西部四明山脉逶迤，中部岐山绵延。北往长沙，南下广州，西到桂林，都不到3个小时车程，从县境东部湘江河道可直达长江，水陆交通极为便捷，是内陆地区承接沿海产业梯度转移的前沿地带。祁东县总面积1872平方公里。</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该项目为原址改建，站址为祁东县洪桥镇洪丰村G322线北侧，北纬26°47′41″，东经112°4′11″，交通便利。</w:t>
            </w:r>
          </w:p>
          <w:p>
            <w:pPr>
              <w:pStyle w:val="3"/>
              <w:rPr>
                <w:color w:val="000000" w:themeColor="text1"/>
                <w14:textFill>
                  <w14:solidFill>
                    <w14:schemeClr w14:val="tx1"/>
                  </w14:solidFill>
                </w14:textFill>
              </w:rPr>
            </w:pPr>
            <w:bookmarkStart w:id="11" w:name="_Toc287535115"/>
            <w:r>
              <w:rPr>
                <w:color w:val="000000" w:themeColor="text1"/>
                <w14:textFill>
                  <w14:solidFill>
                    <w14:schemeClr w14:val="tx1"/>
                  </w14:solidFill>
                </w14:textFill>
              </w:rPr>
              <w:t>2.2地形、地貌</w:t>
            </w:r>
            <w:bookmarkEnd w:id="11"/>
            <w:r>
              <w:rPr>
                <w:rFonts w:hint="eastAsia"/>
                <w:color w:val="000000" w:themeColor="text1"/>
                <w14:textFill>
                  <w14:solidFill>
                    <w14:schemeClr w14:val="tx1"/>
                  </w14:solidFill>
                </w14:textFill>
              </w:rPr>
              <w:t>、地质</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祁东县地处湘中丘陵西南部，西北多山，南缘中段突出，地势自西北向东南逐渐倾斜。全县地貌分平原、岗地、丘陵、山地四大类型，包含10个亚类。山地占土埠面积28.93%，丘陵占12.61%，岗地占31.82%，平原占20.46%，水面占6.18%。</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地层岩性为：第四系（Q4）：0-22.00m 为素填土，耕植土，风化残坡积粉砂质粘土，不含水，相对为隔水层。石炭系中统棋梓桥组（D2q）：灰白色、浅灰-深灰色、局部铁锰质侵染呈红褐色，中-厚层灰岩为主，见有少量生物碎屑灰岩，泥质灰岩，泥灰岩，揭露厚度60.30m。除耕作层外，其余土层均可以作为天然地质、容许承载力［P］值均为20吨/平方米以上。</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根据《中国地震动参数区划图（GB 18306-2001）》，该地区基本震动峰值加速度小于0.05g，反应谱特征周期0.35s，对应地震参数烈度小于</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6 \* ROMAN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VI</w:t>
            </w:r>
            <w:r>
              <w:rPr>
                <w:color w:val="000000" w:themeColor="text1"/>
                <w14:textFill>
                  <w14:solidFill>
                    <w14:schemeClr w14:val="tx1"/>
                  </w14:solidFill>
                </w14:textFill>
              </w:rPr>
              <w:fldChar w:fldCharType="end"/>
            </w:r>
            <w:r>
              <w:rPr>
                <w:color w:val="000000" w:themeColor="text1"/>
                <w14:textFill>
                  <w14:solidFill>
                    <w14:schemeClr w14:val="tx1"/>
                  </w14:solidFill>
                </w14:textFill>
              </w:rPr>
              <w:t>度。</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2.3气象气候</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祁东县属亚热带季风湿润气候区，大陆性气候明显，冬寒期短，夏热期长；霜降期短，作物生长期长；春季多阴雨低温，寒潮频繁；盛夏初秋，高温少雨。</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年平均气温：18.7</w:t>
            </w:r>
            <w:r>
              <w:rPr>
                <w:rFonts w:hint="eastAsia" w:ascii="宋体" w:hAnsi="宋体" w:cs="宋体"/>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极端最高气温：40</w:t>
            </w:r>
            <w:r>
              <w:rPr>
                <w:rFonts w:hint="eastAsia" w:ascii="宋体" w:hAnsi="宋体" w:cs="宋体"/>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极端最低气温：-9</w:t>
            </w:r>
            <w:r>
              <w:rPr>
                <w:rFonts w:hint="eastAsia" w:ascii="宋体" w:hAnsi="宋体" w:cs="宋体"/>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日最大降雨量：195.7mm</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年平均降雨量：1206.9mm</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年平均日照时数：1717.3h</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年平均相对湿度：80%</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全年主导风向：东北</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夏季主导风向：偏南</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年平均风速：2.2m/s</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无霜期：270~308d</w:t>
            </w:r>
          </w:p>
          <w:p>
            <w:pPr>
              <w:pStyle w:val="3"/>
              <w:rPr>
                <w:color w:val="000000" w:themeColor="text1"/>
                <w14:textFill>
                  <w14:solidFill>
                    <w14:schemeClr w14:val="tx1"/>
                  </w14:solidFill>
                </w14:textFill>
              </w:rPr>
            </w:pPr>
            <w:bookmarkStart w:id="12" w:name="_Toc287535116"/>
            <w:r>
              <w:rPr>
                <w:color w:val="000000" w:themeColor="text1"/>
                <w14:textFill>
                  <w14:solidFill>
                    <w14:schemeClr w14:val="tx1"/>
                  </w14:solidFill>
                </w14:textFill>
              </w:rPr>
              <w:t>2.</w:t>
            </w:r>
            <w:r>
              <w:rPr>
                <w:rFonts w:hint="eastAsia"/>
                <w:color w:val="000000" w:themeColor="text1"/>
                <w14:textFill>
                  <w14:solidFill>
                    <w14:schemeClr w14:val="tx1"/>
                  </w14:solidFill>
                </w14:textFill>
              </w:rPr>
              <w:t>4</w:t>
            </w:r>
            <w:bookmarkEnd w:id="12"/>
            <w:r>
              <w:rPr>
                <w:rFonts w:hint="eastAsia"/>
                <w:color w:val="000000" w:themeColor="text1"/>
                <w14:textFill>
                  <w14:solidFill>
                    <w14:schemeClr w14:val="tx1"/>
                  </w14:solidFill>
                </w14:textFill>
              </w:rPr>
              <w:t>水文</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祁东县属湘江流域，东南为湘江之滨。湘江流经境域51km，白河、清江于归阳汇入湘江，境内有湘江支流6条，长达278km，二级支流17条，长达407.4km，三级支流23条，长达237.9km，四级支流2条，长24.3km。此外河长小于5km或控制流域面积不足10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的小溪沟有210条，长513km。水能蕴藏量164.2万兆瓦。</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县境内水系可分祁水水系和白河水系，本工程建设区域属于祁水水系。祁水又名小东江，古称毛口水，湘江一级支流。源出邵阳县水龙拗，从三口湾乡的沟龙界入境，流经罗口叮、蒋家桥、城连圩、包圣殿、双江、砖塘等7个乡镇，于砖塘乡杉树桥进入祁阳，再由祁阳东江桥注入湘江，全长114km，县境内流程81km，境内集雨面积966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，河流平均坡降8.5%。沿途接纳5km以上支流26条，流域面积1685km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，是境内西部的主要水源。黎家坪水文站记载祁水湘江村最高水位101.23m，折海拔高程97.55m，最高水位出现在2～6月。有记载以来发生了4次断流现象（1959、1963、1966、1985年），出现在8～10月。累年平均流量20.538m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/s，最大流量1460m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/s（1962年）。</w:t>
            </w:r>
            <w:r>
              <w:rPr>
                <w:rFonts w:hint="eastAsia"/>
                <w:color w:val="000000" w:themeColor="text1"/>
                <w14:textFill>
                  <w14:solidFill>
                    <w14:schemeClr w14:val="tx1"/>
                  </w14:solidFill>
                </w14:textFill>
              </w:rPr>
              <w:t>白河被称为祁东的母亲河，古称余溪水，湘江一级支流。发源于风石堰镇石狮岭的老龙潭，东南流经白地市、双桥、洪桥、金桥、归阳等五个乡镇，于归阳镇注入湘江。全长87公里，河道宽35～100米，河口宽105米，平均坡度千分之1.4，集水面积865平方公里，多年平均流量50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/s，主要为渔业和农灌功能，无生活饮用水功能。</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项目纳污水体为白河，根据《湖南省主要地表水系水环境功能区划》（DB43/023-2005），白河功能区划定为渔业用水区，执行《地表水环境质量标准》</w:t>
            </w:r>
            <w:r>
              <w:rPr>
                <w:color w:val="000000" w:themeColor="text1"/>
                <w14:textFill>
                  <w14:solidFill>
                    <w14:schemeClr w14:val="tx1"/>
                  </w14:solidFill>
                </w14:textFill>
              </w:rPr>
              <w:t>（GB3838-2002）</w:t>
            </w:r>
            <w:r>
              <w:rPr>
                <w:rFonts w:hint="eastAsia" w:ascii="宋体" w:hAnsi="宋体" w:cs="宋体"/>
                <w:color w:val="000000" w:themeColor="text1"/>
                <w14:textFill>
                  <w14:solidFill>
                    <w14:schemeClr w14:val="tx1"/>
                  </w14:solidFill>
                </w14:textFill>
              </w:rPr>
              <w:t>Ⅲ</w:t>
            </w:r>
            <w:r>
              <w:rPr>
                <w:color w:val="000000" w:themeColor="text1"/>
                <w14:textFill>
                  <w14:solidFill>
                    <w14:schemeClr w14:val="tx1"/>
                  </w14:solidFill>
                </w14:textFill>
              </w:rPr>
              <w:t>类标准</w:t>
            </w:r>
            <w:r>
              <w:rPr>
                <w:rFonts w:hint="eastAsia"/>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所在区域地下水资源丰富，以基岩裂隙水分布最广。地下水一般属重碳酸钙或重碳酸钠水，pH值在5.5～8.0之间。场地为沉积厚约200～400m白垩系下统东井组上段泥质粉砂岩，夹少量细砂岩或含砾砂岩，岩层透水性差，含水性弱，含微弱风化裂隙溶孔潜水或以所夹细砂岩为底板的上层滞水，属地下水量贫乏区。工业园西部为第四系冲堆积物覆盖，分布有第四系孔隙潜水，北部粉砂岩裸露区分布有白垩系风化裂隙溶孔水。东部场地为地下水排泄区，地下水流向因地势原因，总体为由北往南流向。主要补给为大气降水渗入补给，其次为地表水及上层孔隙水的补给。</w:t>
            </w:r>
          </w:p>
          <w:p>
            <w:pPr>
              <w:pStyle w:val="3"/>
              <w:rPr>
                <w:color w:val="000000" w:themeColor="text1"/>
                <w14:textFill>
                  <w14:solidFill>
                    <w14:schemeClr w14:val="tx1"/>
                  </w14:solidFill>
                </w14:textFill>
              </w:rPr>
            </w:pPr>
            <w:bookmarkStart w:id="13" w:name="_Toc287535117"/>
            <w:r>
              <w:rPr>
                <w:color w:val="000000" w:themeColor="text1"/>
                <w14:textFill>
                  <w14:solidFill>
                    <w14:schemeClr w14:val="tx1"/>
                  </w14:solidFill>
                </w14:textFill>
              </w:rPr>
              <w:t>2.</w:t>
            </w:r>
            <w:r>
              <w:rPr>
                <w:rFonts w:hint="eastAsia"/>
                <w:color w:val="000000" w:themeColor="text1"/>
                <w14:textFill>
                  <w14:solidFill>
                    <w14:schemeClr w14:val="tx1"/>
                  </w14:solidFill>
                </w14:textFill>
              </w:rPr>
              <w:t>5</w:t>
            </w:r>
            <w:bookmarkEnd w:id="13"/>
            <w:r>
              <w:rPr>
                <w:rFonts w:hint="eastAsia"/>
                <w:color w:val="000000" w:themeColor="text1"/>
                <w14:textFill>
                  <w14:solidFill>
                    <w14:schemeClr w14:val="tx1"/>
                  </w14:solidFill>
                </w14:textFill>
              </w:rPr>
              <w:t>生态环境概况</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所在区域植物中乔木类有马尾松、杉木、小叶栎、苦槠、石栎、栲树、樟树、喜树、梧桐、枣、榕叶冬青、樱桃、珍珠莲等，灌木类有问荆、金樱子、盐肤木、山胡桃、水竹、篌竹、油茶、鸡婆柳、胡枝子、黄栀子、野鸦椿等。动物中有斑鸠、野鸡等鸟类，还有蛇、野兔、野鼠等。</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本项目所在区域属于亚热带季风气候，山体植被覆盖较好，未发现珍稀动植物，区域附近主要农作物为水稻、油菜等。</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2.6周边环境概况</w:t>
            </w:r>
          </w:p>
          <w:p>
            <w:pPr>
              <w:pStyle w:val="54"/>
              <w:ind w:firstLine="480"/>
              <w:rPr>
                <w:color w:val="000000" w:themeColor="text1"/>
                <w14:textFill>
                  <w14:solidFill>
                    <w14:schemeClr w14:val="tx1"/>
                  </w14:solidFill>
                </w14:textFill>
              </w:rPr>
            </w:pPr>
            <w:r>
              <w:rPr>
                <w:color w:val="000000" w:themeColor="text1"/>
                <w:lang w:val="zh-CN"/>
                <w14:textFill>
                  <w14:solidFill>
                    <w14:schemeClr w14:val="tx1"/>
                  </w14:solidFill>
                </w14:textFill>
              </w:rPr>
              <w:t>本项目选址位于祁东县洪丰村</w:t>
            </w:r>
            <w:r>
              <w:rPr>
                <w:color w:val="000000" w:themeColor="text1"/>
                <w14:textFill>
                  <w14:solidFill>
                    <w14:schemeClr w14:val="tx1"/>
                  </w14:solidFill>
                </w14:textFill>
              </w:rPr>
              <w:t>G322线北侧</w:t>
            </w:r>
            <w:r>
              <w:rPr>
                <w:color w:val="000000" w:themeColor="text1"/>
                <w:lang w:val="zh-CN"/>
                <w14:textFill>
                  <w14:solidFill>
                    <w14:schemeClr w14:val="tx1"/>
                  </w14:solidFill>
                </w14:textFill>
              </w:rPr>
              <w:t>。项</w:t>
            </w:r>
            <w:r>
              <w:rPr>
                <w:color w:val="000000" w:themeColor="text1"/>
                <w14:textFill>
                  <w14:solidFill>
                    <w14:schemeClr w14:val="tx1"/>
                  </w14:solidFill>
                </w14:textFill>
              </w:rPr>
              <w:t>目场址周围情况为：</w:t>
            </w:r>
            <w:r>
              <w:rPr>
                <w:color w:val="000000" w:themeColor="text1"/>
                <w:lang w:val="zh-CN"/>
                <w14:textFill>
                  <w14:solidFill>
                    <w14:schemeClr w14:val="tx1"/>
                  </w14:solidFill>
                </w14:textFill>
              </w:rPr>
              <w:t>东面为民房，项目西面为汽车检测站，</w:t>
            </w:r>
            <w:r>
              <w:rPr>
                <w:color w:val="000000" w:themeColor="text1"/>
                <w14:textFill>
                  <w14:solidFill>
                    <w14:schemeClr w14:val="tx1"/>
                  </w14:solidFill>
                </w14:textFill>
              </w:rPr>
              <w:t>南临G322，北面为空地，西北方向有一生物发电厂。区域附近无历史文物遗址和风景名胜区等需要特别保护的自然、文化遗产。</w:t>
            </w:r>
          </w:p>
          <w:p>
            <w:pPr>
              <w:pStyle w:val="4"/>
              <w:spacing w:before="156" w:beforeLines="50"/>
              <w:rPr>
                <w:rFonts w:cs="Times New Roman"/>
                <w:bCs/>
                <w:color w:val="000000" w:themeColor="text1"/>
                <w:sz w:val="28"/>
                <w14:textFill>
                  <w14:solidFill>
                    <w14:schemeClr w14:val="tx1"/>
                  </w14:solidFill>
                </w14:textFill>
              </w:rPr>
            </w:pPr>
            <w:r>
              <w:rPr>
                <w:rFonts w:cs="Times New Roman"/>
                <w:bCs/>
                <w:color w:val="000000" w:themeColor="text1"/>
                <w:sz w:val="28"/>
                <w14:textFill>
                  <w14:solidFill>
                    <w14:schemeClr w14:val="tx1"/>
                  </w14:solidFill>
                </w14:textFill>
              </w:rPr>
              <w:t>2.</w:t>
            </w:r>
            <w:r>
              <w:rPr>
                <w:rFonts w:hint="eastAsia" w:cs="Times New Roman"/>
                <w:bCs/>
                <w:color w:val="000000" w:themeColor="text1"/>
                <w:sz w:val="28"/>
                <w14:textFill>
                  <w14:solidFill>
                    <w14:schemeClr w14:val="tx1"/>
                  </w14:solidFill>
                </w14:textFill>
              </w:rPr>
              <w:t>7</w:t>
            </w:r>
            <w:r>
              <w:rPr>
                <w:rFonts w:cs="Times New Roman"/>
                <w:bCs/>
                <w:color w:val="000000" w:themeColor="text1"/>
                <w:sz w:val="28"/>
                <w14:textFill>
                  <w14:solidFill>
                    <w14:schemeClr w14:val="tx1"/>
                  </w14:solidFill>
                </w14:textFill>
              </w:rPr>
              <w:t>“三线一单”相符性分析</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本项目与“三线一单”的符合性见表2-</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表2-</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项目与“三线一单”符合性分析</w:t>
            </w:r>
          </w:p>
          <w:tbl>
            <w:tblPr>
              <w:tblStyle w:val="29"/>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内容</w:t>
                  </w:r>
                </w:p>
              </w:tc>
              <w:tc>
                <w:tcPr>
                  <w:tcW w:w="7364"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生态保护红线</w:t>
                  </w:r>
                </w:p>
              </w:tc>
              <w:tc>
                <w:tcPr>
                  <w:tcW w:w="7364"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本项目位于</w:t>
                  </w:r>
                  <w:r>
                    <w:rPr>
                      <w:color w:val="000000" w:themeColor="text1"/>
                      <w14:textFill>
                        <w14:solidFill>
                          <w14:schemeClr w14:val="tx1"/>
                        </w14:solidFill>
                      </w14:textFill>
                    </w:rPr>
                    <w:t>祁东县洪桥镇洪丰村G322线北侧</w:t>
                  </w:r>
                  <w:r>
                    <w:rPr>
                      <w:rStyle w:val="35"/>
                      <w:color w:val="000000" w:themeColor="text1"/>
                      <w14:textFill>
                        <w14:solidFill>
                          <w14:schemeClr w14:val="tx1"/>
                        </w14:solidFill>
                      </w14:textFill>
                    </w:rPr>
                    <w:t>，项目周边无自然保护区，无饮用水源保护区，项目不在生态保护红线内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资源利用上线</w:t>
                  </w:r>
                </w:p>
              </w:tc>
              <w:tc>
                <w:tcPr>
                  <w:tcW w:w="7364"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本项目营运期主要是消耗一定量的电能</w:t>
                  </w:r>
                  <w:r>
                    <w:rPr>
                      <w:rStyle w:val="35"/>
                      <w:rFonts w:hint="eastAsia"/>
                      <w:color w:val="000000" w:themeColor="text1"/>
                      <w14:textFill>
                        <w14:solidFill>
                          <w14:schemeClr w14:val="tx1"/>
                        </w14:solidFill>
                      </w14:textFill>
                    </w:rPr>
                    <w:t>及水能</w:t>
                  </w:r>
                  <w:r>
                    <w:rPr>
                      <w:rStyle w:val="35"/>
                      <w:color w:val="000000" w:themeColor="text1"/>
                      <w14:textFill>
                        <w14:solidFill>
                          <w14:schemeClr w14:val="tx1"/>
                        </w14:solidFill>
                      </w14:textFill>
                    </w:rPr>
                    <w:t>，工程总规模较小，资源消耗相对区域资源利用总量较少，符合资源利用上限要求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环境质量底线</w:t>
                  </w:r>
                </w:p>
              </w:tc>
              <w:tc>
                <w:tcPr>
                  <w:tcW w:w="7364"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根据2018年衡阳市生态环境局发布的关于2018年环境质量通报及引用其他监测单位对项目所在地声环境质量进行监测的数据可知，本项目所在地</w:t>
                  </w:r>
                  <w:r>
                    <w:rPr>
                      <w:rStyle w:val="35"/>
                      <w:color w:val="000000" w:themeColor="text1"/>
                      <w14:textFill>
                        <w14:solidFill>
                          <w14:schemeClr w14:val="tx1"/>
                        </w14:solidFill>
                      </w14:textFill>
                    </w:rPr>
                    <w:t>声环境质量</w:t>
                  </w:r>
                  <w:r>
                    <w:rPr>
                      <w:rStyle w:val="35"/>
                      <w:rFonts w:hint="eastAsia"/>
                      <w:color w:val="000000" w:themeColor="text1"/>
                      <w14:textFill>
                        <w14:solidFill>
                          <w14:schemeClr w14:val="tx1"/>
                        </w14:solidFill>
                      </w14:textFill>
                    </w:rPr>
                    <w:t>及2018年地表水环境质量均达标</w:t>
                  </w:r>
                  <w:r>
                    <w:rPr>
                      <w:rStyle w:val="35"/>
                      <w:color w:val="000000" w:themeColor="text1"/>
                      <w14:textFill>
                        <w14:solidFill>
                          <w14:schemeClr w14:val="tx1"/>
                        </w14:solidFill>
                      </w14:textFill>
                    </w:rPr>
                    <w:t>，</w:t>
                  </w:r>
                  <w:r>
                    <w:rPr>
                      <w:rStyle w:val="35"/>
                      <w:rFonts w:hint="eastAsia"/>
                      <w:color w:val="000000" w:themeColor="text1"/>
                      <w14:textFill>
                        <w14:solidFill>
                          <w14:schemeClr w14:val="tx1"/>
                        </w14:solidFill>
                      </w14:textFill>
                    </w:rPr>
                    <w:t>祁东县2018年环境空气质量属于不达标区</w:t>
                  </w:r>
                  <w:r>
                    <w:rPr>
                      <w:rStyle w:val="35"/>
                      <w:color w:val="000000" w:themeColor="text1"/>
                      <w14:textFill>
                        <w14:solidFill>
                          <w14:schemeClr w14:val="tx1"/>
                        </w14:solidFill>
                      </w14:textFill>
                    </w:rPr>
                    <w:t>，</w:t>
                  </w:r>
                  <w:r>
                    <w:rPr>
                      <w:rStyle w:val="35"/>
                      <w:rFonts w:hint="eastAsia"/>
                      <w:color w:val="000000" w:themeColor="text1"/>
                      <w14:textFill>
                        <w14:solidFill>
                          <w14:schemeClr w14:val="tx1"/>
                        </w14:solidFill>
                      </w14:textFill>
                    </w:rPr>
                    <w:t>但本</w:t>
                  </w:r>
                  <w:r>
                    <w:rPr>
                      <w:rStyle w:val="35"/>
                      <w:color w:val="000000" w:themeColor="text1"/>
                      <w14:textFill>
                        <w14:solidFill>
                          <w14:schemeClr w14:val="tx1"/>
                        </w14:solidFill>
                      </w14:textFill>
                    </w:rPr>
                    <w:t>项目本身污染物产生量较小，生产过程中产生的废气经采取相应处理措施处理后可达标排放，</w:t>
                  </w:r>
                  <w:r>
                    <w:rPr>
                      <w:rStyle w:val="35"/>
                      <w:rFonts w:hint="eastAsia"/>
                      <w:color w:val="000000" w:themeColor="text1"/>
                      <w14:textFill>
                        <w14:solidFill>
                          <w14:schemeClr w14:val="tx1"/>
                        </w14:solidFill>
                      </w14:textFill>
                    </w:rPr>
                    <w:t>营运期废水可进入祁东县渔陂污水处理厂处理后达标排入白河，</w:t>
                  </w:r>
                  <w:r>
                    <w:rPr>
                      <w:rStyle w:val="35"/>
                      <w:color w:val="000000" w:themeColor="text1"/>
                      <w14:textFill>
                        <w14:solidFill>
                          <w14:schemeClr w14:val="tx1"/>
                        </w14:solidFill>
                      </w14:textFill>
                    </w:rPr>
                    <w:t>符合环境质量底线要求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环境准入负面清单</w:t>
                  </w:r>
                </w:p>
              </w:tc>
              <w:tc>
                <w:tcPr>
                  <w:tcW w:w="7364"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本项目位于</w:t>
                  </w:r>
                  <w:r>
                    <w:rPr>
                      <w:rFonts w:hint="eastAsia"/>
                      <w:color w:val="000000" w:themeColor="text1"/>
                      <w14:textFill>
                        <w14:solidFill>
                          <w14:schemeClr w14:val="tx1"/>
                        </w14:solidFill>
                      </w14:textFill>
                    </w:rPr>
                    <w:t>祁东县洪桥镇洪丰村G322线北侧</w:t>
                  </w:r>
                  <w:r>
                    <w:rPr>
                      <w:rStyle w:val="35"/>
                      <w:color w:val="000000" w:themeColor="text1"/>
                      <w14:textFill>
                        <w14:solidFill>
                          <w14:schemeClr w14:val="tx1"/>
                        </w14:solidFill>
                      </w14:textFill>
                    </w:rPr>
                    <w:t>，</w:t>
                  </w:r>
                  <w:r>
                    <w:rPr>
                      <w:rStyle w:val="35"/>
                      <w:rFonts w:hint="eastAsia"/>
                      <w:color w:val="000000" w:themeColor="text1"/>
                      <w14:textFill>
                        <w14:solidFill>
                          <w14:schemeClr w14:val="tx1"/>
                        </w14:solidFill>
                      </w14:textFill>
                    </w:rPr>
                    <w:t>属于机动车燃料零售，符合</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祁东县城市总体规划</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，本项目</w:t>
                  </w:r>
                  <w:r>
                    <w:rPr>
                      <w:rStyle w:val="35"/>
                      <w:color w:val="000000" w:themeColor="text1"/>
                      <w14:textFill>
                        <w14:solidFill>
                          <w14:schemeClr w14:val="tx1"/>
                        </w14:solidFill>
                      </w14:textFill>
                    </w:rPr>
                    <w:t>不在环境准入负面清单之内</w:t>
                  </w:r>
                </w:p>
              </w:tc>
            </w:tr>
          </w:tbl>
          <w:p>
            <w:pPr>
              <w:pStyle w:val="4"/>
              <w:spacing w:before="156" w:beforeLines="50"/>
              <w:rPr>
                <w:rFonts w:cs="Times New Roman"/>
                <w:bCs/>
                <w:color w:val="000000" w:themeColor="text1"/>
                <w:sz w:val="28"/>
                <w14:textFill>
                  <w14:solidFill>
                    <w14:schemeClr w14:val="tx1"/>
                  </w14:solidFill>
                </w14:textFill>
              </w:rPr>
            </w:pPr>
            <w:r>
              <w:rPr>
                <w:rFonts w:cs="Times New Roman"/>
                <w:bCs/>
                <w:color w:val="000000" w:themeColor="text1"/>
                <w:sz w:val="28"/>
                <w14:textFill>
                  <w14:solidFill>
                    <w14:schemeClr w14:val="tx1"/>
                  </w14:solidFill>
                </w14:textFill>
              </w:rPr>
              <w:t>2.</w:t>
            </w:r>
            <w:r>
              <w:rPr>
                <w:rFonts w:hint="eastAsia" w:cs="Times New Roman"/>
                <w:bCs/>
                <w:color w:val="000000" w:themeColor="text1"/>
                <w:sz w:val="28"/>
                <w14:textFill>
                  <w14:solidFill>
                    <w14:schemeClr w14:val="tx1"/>
                  </w14:solidFill>
                </w14:textFill>
              </w:rPr>
              <w:t>8</w:t>
            </w:r>
            <w:r>
              <w:rPr>
                <w:rFonts w:cs="Times New Roman"/>
                <w:bCs/>
                <w:color w:val="000000" w:themeColor="text1"/>
                <w:sz w:val="28"/>
                <w14:textFill>
                  <w14:solidFill>
                    <w14:schemeClr w14:val="tx1"/>
                  </w14:solidFill>
                </w14:textFill>
              </w:rPr>
              <w:t>区域环境功能区划</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本项目所在地环境功能区划见下表。</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表2-</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项目所在地环境功能区划</w:t>
            </w:r>
          </w:p>
          <w:tbl>
            <w:tblPr>
              <w:tblStyle w:val="28"/>
              <w:tblW w:w="916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1"/>
              <w:gridCol w:w="2977"/>
              <w:gridCol w:w="1984"/>
              <w:gridCol w:w="35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项目</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功能属性及执行标准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水环境功能</w:t>
                  </w:r>
                  <w:r>
                    <w:rPr>
                      <w:rFonts w:hint="eastAsia"/>
                      <w:color w:val="000000" w:themeColor="text1"/>
                      <w14:textFill>
                        <w14:solidFill>
                          <w14:schemeClr w14:val="tx1"/>
                        </w14:solidFill>
                      </w14:textFill>
                    </w:rPr>
                    <w:t>区划</w:t>
                  </w:r>
                </w:p>
              </w:tc>
              <w:tc>
                <w:tcPr>
                  <w:tcW w:w="1984" w:type="dxa"/>
                  <w:vAlign w:val="center"/>
                </w:tcPr>
                <w:p>
                  <w:pPr>
                    <w:pStyle w:val="79"/>
                    <w:rPr>
                      <w:bCs/>
                      <w:color w:val="000000" w:themeColor="text1"/>
                      <w:spacing w:val="6"/>
                      <w14:textFill>
                        <w14:solidFill>
                          <w14:schemeClr w14:val="tx1"/>
                        </w14:solidFill>
                      </w14:textFill>
                    </w:rPr>
                  </w:pPr>
                  <w:r>
                    <w:rPr>
                      <w:rFonts w:hint="eastAsia"/>
                      <w:bCs/>
                      <w:color w:val="000000" w:themeColor="text1"/>
                      <w:spacing w:val="6"/>
                      <w14:textFill>
                        <w14:solidFill>
                          <w14:schemeClr w14:val="tx1"/>
                        </w14:solidFill>
                      </w14:textFill>
                    </w:rPr>
                    <w:t>白河</w:t>
                  </w:r>
                </w:p>
              </w:tc>
              <w:tc>
                <w:tcPr>
                  <w:tcW w:w="3506" w:type="dxa"/>
                  <w:vAlign w:val="center"/>
                </w:tcPr>
                <w:p>
                  <w:pPr>
                    <w:pStyle w:val="79"/>
                    <w:rPr>
                      <w:color w:val="000000" w:themeColor="text1"/>
                      <w14:textFill>
                        <w14:solidFill>
                          <w14:schemeClr w14:val="tx1"/>
                        </w14:solidFill>
                      </w14:textFill>
                    </w:rPr>
                  </w:pPr>
                  <w:r>
                    <w:rPr>
                      <w:rFonts w:hint="eastAsia"/>
                      <w:bCs/>
                      <w:color w:val="000000" w:themeColor="text1"/>
                      <w:szCs w:val="21"/>
                      <w14:textFill>
                        <w14:solidFill>
                          <w14:schemeClr w14:val="tx1"/>
                        </w14:solidFill>
                      </w14:textFill>
                    </w:rPr>
                    <w:t>渔业用水，</w:t>
                  </w:r>
                  <w:r>
                    <w:rPr>
                      <w:color w:val="000000" w:themeColor="text1"/>
                      <w:szCs w:val="21"/>
                      <w14:textFill>
                        <w14:solidFill>
                          <w14:schemeClr w14:val="tx1"/>
                        </w14:solidFill>
                      </w14:textFill>
                    </w:rPr>
                    <w:t>《地表水环境质量标准》（GB3838-2002）</w:t>
                  </w:r>
                  <w:r>
                    <w:rPr>
                      <w:rFonts w:hint="eastAsia" w:ascii="宋体" w:hAnsi="宋体" w:cs="宋体"/>
                      <w:bCs/>
                      <w:color w:val="000000" w:themeColor="text1"/>
                      <w:szCs w:val="21"/>
                      <w14:textFill>
                        <w14:solidFill>
                          <w14:schemeClr w14:val="tx1"/>
                        </w14:solidFill>
                      </w14:textFill>
                    </w:rPr>
                    <w:t>Ⅲ</w:t>
                  </w:r>
                  <w:r>
                    <w:rPr>
                      <w:bCs/>
                      <w:color w:val="000000" w:themeColor="text1"/>
                      <w:szCs w:val="21"/>
                      <w14:textFill>
                        <w14:solidFill>
                          <w14:schemeClr w14:val="tx1"/>
                        </w14:solidFill>
                      </w14:textFill>
                    </w:rPr>
                    <w:t>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环境空气功能区划</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二类区，执行《环境空气质量标准》（GB3095-2012）及其修改单中的二级标准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声环境功能区划</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区域声环境执行《声环境质量标准》（GB3096-2008）中的</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是否是基本农田</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是否是森林公园</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是否是生态功能保护区</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是否水土流失重点防治区</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是否人口密集区</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是否重点文物保护单位</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是否三河、三湖、两控区</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是（两控区）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11</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是否水库库区</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是否污水处理厂纳污集水范围</w:t>
                  </w:r>
                </w:p>
              </w:tc>
              <w:tc>
                <w:tcPr>
                  <w:tcW w:w="5490"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是（祁东县渔陂污水处理厂）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13</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是否属于生态敏感脆弱区</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否</w:t>
                  </w:r>
                </w:p>
              </w:tc>
            </w:tr>
          </w:tbl>
          <w:p>
            <w:pPr>
              <w:pStyle w:val="54"/>
              <w:ind w:firstLine="480"/>
              <w:rPr>
                <w:color w:val="000000" w:themeColor="text1"/>
                <w14:textFill>
                  <w14:solidFill>
                    <w14:schemeClr w14:val="tx1"/>
                  </w14:solidFill>
                </w14:textFill>
              </w:rPr>
            </w:pPr>
          </w:p>
        </w:tc>
      </w:tr>
    </w:tbl>
    <w:p>
      <w:pPr>
        <w:pStyle w:val="2"/>
        <w:spacing w:before="0" w:after="0" w:line="360" w:lineRule="auto"/>
        <w:rPr>
          <w:rFonts w:ascii="Times New Roman" w:hAnsi="Times New Roman"/>
          <w:color w:val="000000" w:themeColor="text1"/>
          <w:sz w:val="28"/>
          <w:szCs w:val="28"/>
          <w14:textFill>
            <w14:solidFill>
              <w14:schemeClr w14:val="tx1"/>
            </w14:solidFill>
          </w14:textFill>
        </w:rPr>
      </w:pPr>
      <w:bookmarkStart w:id="14" w:name="_Toc287535124"/>
      <w:bookmarkStart w:id="15" w:name="_Toc29913612"/>
      <w:r>
        <w:rPr>
          <w:rFonts w:ascii="Times New Roman" w:hAnsi="Times New Roman"/>
          <w:color w:val="000000" w:themeColor="text1"/>
          <w:sz w:val="28"/>
          <w:szCs w:val="28"/>
          <w14:textFill>
            <w14:solidFill>
              <w14:schemeClr w14:val="tx1"/>
            </w14:solidFill>
          </w14:textFill>
        </w:rPr>
        <w:t>三、建设项目所在地环境现状简况</w:t>
      </w:r>
      <w:bookmarkEnd w:id="14"/>
      <w:bookmarkEnd w:id="15"/>
    </w:p>
    <w:tbl>
      <w:tblPr>
        <w:tblStyle w:val="28"/>
        <w:tblW w:w="9400" w:type="dxa"/>
        <w:jc w:val="center"/>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Layout w:type="autofit"/>
        <w:tblCellMar>
          <w:top w:w="0" w:type="dxa"/>
          <w:left w:w="108" w:type="dxa"/>
          <w:bottom w:w="0" w:type="dxa"/>
          <w:right w:w="108" w:type="dxa"/>
        </w:tblCellMar>
      </w:tblPr>
      <w:tblGrid>
        <w:gridCol w:w="9400"/>
      </w:tblGrid>
      <w:tr>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trHeight w:val="2522" w:hRule="atLeast"/>
          <w:jc w:val="center"/>
        </w:trPr>
        <w:tc>
          <w:tcPr>
            <w:tcW w:w="9400" w:type="dxa"/>
          </w:tcPr>
          <w:p>
            <w:pPr>
              <w:adjustRightInd w:val="0"/>
              <w:snapToGrid w:val="0"/>
              <w:spacing w:line="360" w:lineRule="auto"/>
              <w:rPr>
                <w:rStyle w:val="77"/>
                <w:rFonts w:ascii="Times New Roman" w:hAnsi="Times New Roman"/>
                <w:color w:val="000000" w:themeColor="text1"/>
                <w:szCs w:val="28"/>
                <w14:textFill>
                  <w14:solidFill>
                    <w14:schemeClr w14:val="tx1"/>
                  </w14:solidFill>
                </w14:textFill>
              </w:rPr>
            </w:pPr>
            <w:bookmarkStart w:id="16" w:name="_Toc287535125"/>
            <w:r>
              <w:rPr>
                <w:rStyle w:val="77"/>
                <w:rFonts w:ascii="Times New Roman" w:hAnsi="Times New Roman"/>
                <w:color w:val="000000" w:themeColor="text1"/>
                <w:szCs w:val="28"/>
                <w14:textFill>
                  <w14:solidFill>
                    <w14:schemeClr w14:val="tx1"/>
                  </w14:solidFill>
                </w14:textFill>
              </w:rPr>
              <w:t>建设项目所在地区域环境质量现状及主要环境问题（环境空气、地面水、地下水、声环境、生态环境）</w:t>
            </w:r>
            <w:bookmarkEnd w:id="16"/>
          </w:p>
          <w:p>
            <w:pPr>
              <w:pStyle w:val="3"/>
              <w:rPr>
                <w:color w:val="000000" w:themeColor="text1"/>
                <w14:textFill>
                  <w14:solidFill>
                    <w14:schemeClr w14:val="tx1"/>
                  </w14:solidFill>
                </w14:textFill>
              </w:rPr>
            </w:pPr>
            <w:r>
              <w:rPr>
                <w:color w:val="000000" w:themeColor="text1"/>
                <w14:textFill>
                  <w14:solidFill>
                    <w14:schemeClr w14:val="tx1"/>
                  </w14:solidFill>
                </w14:textFill>
              </w:rPr>
              <w:t>3.1 区域环境空气质量</w:t>
            </w:r>
          </w:p>
          <w:p>
            <w:pPr>
              <w:pStyle w:val="5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1、达标区判定</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根据衡阳市</w:t>
            </w:r>
            <w:r>
              <w:rPr>
                <w:rFonts w:hint="eastAsia"/>
                <w:color w:val="000000" w:themeColor="text1"/>
                <w14:textFill>
                  <w14:solidFill>
                    <w14:schemeClr w14:val="tx1"/>
                  </w14:solidFill>
                </w14:textFill>
              </w:rPr>
              <w:t>环境保护局发布的</w:t>
            </w:r>
            <w:r>
              <w:rPr>
                <w:color w:val="000000" w:themeColor="text1"/>
                <w14:textFill>
                  <w14:solidFill>
                    <w14:schemeClr w14:val="tx1"/>
                  </w14:solidFill>
                </w14:textFill>
              </w:rPr>
              <w:t>《关于2018年12月及1~12月全市环境质量状况的通报》，祁东县二氧化硫和二氧化氮年平均质量浓度、可吸入颗粒物（PM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）年平均质量浓度、一氧化碳年评价浓度（第95百分位数）、臭氧年评价浓度（第90百分位数）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细颗粒物（PM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）年平均质量浓度均达到《环境空气质量标准》（GB3095-2012）二级标准，具体见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REF _Ref528415780 \h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表</w:t>
            </w:r>
            <w:r>
              <w:rPr>
                <w:color w:val="000000" w:themeColor="text1"/>
                <w14:textFill>
                  <w14:solidFill>
                    <w14:schemeClr w14:val="tx1"/>
                  </w14:solidFill>
                </w14:textFill>
              </w:rPr>
              <w:fldChar w:fldCharType="end"/>
            </w:r>
            <w:r>
              <w:rPr>
                <w:color w:val="000000" w:themeColor="text1"/>
                <w14:textFill>
                  <w14:solidFill>
                    <w14:schemeClr w14:val="tx1"/>
                  </w14:solidFill>
                </w14:textFill>
              </w:rPr>
              <w:t>，项目所在区域为达标区。</w:t>
            </w:r>
          </w:p>
          <w:p>
            <w:pPr>
              <w:pStyle w:val="88"/>
              <w:rPr>
                <w:color w:val="000000" w:themeColor="text1"/>
                <w14:textFill>
                  <w14:solidFill>
                    <w14:schemeClr w14:val="tx1"/>
                  </w14:solidFill>
                </w14:textFill>
              </w:rPr>
            </w:pPr>
            <w:bookmarkStart w:id="17" w:name="_Ref528415780"/>
            <w:r>
              <w:rPr>
                <w:color w:val="000000" w:themeColor="text1"/>
                <w14:textFill>
                  <w14:solidFill>
                    <w14:schemeClr w14:val="tx1"/>
                  </w14:solidFill>
                </w14:textFill>
              </w:rPr>
              <w:t>表</w:t>
            </w:r>
            <w:bookmarkEnd w:id="17"/>
            <w:r>
              <w:rPr>
                <w:color w:val="000000" w:themeColor="text1"/>
                <w14:textFill>
                  <w14:solidFill>
                    <w14:schemeClr w14:val="tx1"/>
                  </w14:solidFill>
                </w14:textFill>
              </w:rPr>
              <w:t>3-1  区域空气质量现状评价表</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4"/>
              <w:gridCol w:w="2621"/>
              <w:gridCol w:w="1979"/>
              <w:gridCol w:w="1695"/>
              <w:gridCol w:w="974"/>
              <w:gridCol w:w="1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46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污染物</w:t>
                  </w:r>
                </w:p>
              </w:tc>
              <w:tc>
                <w:tcPr>
                  <w:tcW w:w="142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年评价指标</w:t>
                  </w:r>
                </w:p>
              </w:tc>
              <w:tc>
                <w:tcPr>
                  <w:tcW w:w="107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现状浓度（µg/m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c>
                <w:tcPr>
                  <w:tcW w:w="92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标准值（µg/m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c>
                <w:tcPr>
                  <w:tcW w:w="531"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占标率%</w:t>
                  </w:r>
                </w:p>
              </w:tc>
              <w:tc>
                <w:tcPr>
                  <w:tcW w:w="57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6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p>
              </w:tc>
              <w:tc>
                <w:tcPr>
                  <w:tcW w:w="1429"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年平均质量浓度</w:t>
                  </w:r>
                </w:p>
              </w:tc>
              <w:tc>
                <w:tcPr>
                  <w:tcW w:w="1079"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11</w:t>
                  </w:r>
                </w:p>
              </w:tc>
              <w:tc>
                <w:tcPr>
                  <w:tcW w:w="924"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60</w:t>
                  </w:r>
                </w:p>
              </w:tc>
              <w:tc>
                <w:tcPr>
                  <w:tcW w:w="531"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18.33</w:t>
                  </w:r>
                </w:p>
              </w:tc>
              <w:tc>
                <w:tcPr>
                  <w:tcW w:w="576"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6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p>
              </w:tc>
              <w:tc>
                <w:tcPr>
                  <w:tcW w:w="1429"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年平均质量浓度</w:t>
                  </w:r>
                </w:p>
              </w:tc>
              <w:tc>
                <w:tcPr>
                  <w:tcW w:w="1079"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1</w:t>
                  </w:r>
                </w:p>
              </w:tc>
              <w:tc>
                <w:tcPr>
                  <w:tcW w:w="924"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4</w:t>
                  </w:r>
                </w:p>
              </w:tc>
              <w:tc>
                <w:tcPr>
                  <w:tcW w:w="531"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27.50</w:t>
                  </w:r>
                </w:p>
              </w:tc>
              <w:tc>
                <w:tcPr>
                  <w:tcW w:w="576"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46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CO</w:t>
                  </w:r>
                </w:p>
              </w:tc>
              <w:tc>
                <w:tcPr>
                  <w:tcW w:w="142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百分位数日平均质量浓度</w:t>
                  </w:r>
                </w:p>
              </w:tc>
              <w:tc>
                <w:tcPr>
                  <w:tcW w:w="107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1500</w:t>
                  </w:r>
                </w:p>
              </w:tc>
              <w:tc>
                <w:tcPr>
                  <w:tcW w:w="92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4000</w:t>
                  </w:r>
                </w:p>
              </w:tc>
              <w:tc>
                <w:tcPr>
                  <w:tcW w:w="531"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37.50</w:t>
                  </w:r>
                </w:p>
              </w:tc>
              <w:tc>
                <w:tcPr>
                  <w:tcW w:w="576" w:type="pct"/>
                  <w:vAlign w:val="center"/>
                </w:tcPr>
                <w:p>
                  <w:pPr>
                    <w:pStyle w:val="79"/>
                    <w:rPr>
                      <w:color w:val="000000" w:themeColor="text1"/>
                      <w14:textFill>
                        <w14:solidFill>
                          <w14:schemeClr w14:val="tx1"/>
                        </w14:solidFill>
                      </w14:textFill>
                    </w:rPr>
                  </w:pPr>
                  <w:r>
                    <w:rPr>
                      <w:bCs/>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46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3</w:t>
                  </w:r>
                </w:p>
              </w:tc>
              <w:tc>
                <w:tcPr>
                  <w:tcW w:w="142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百分位数8h平均质量浓度</w:t>
                  </w:r>
                </w:p>
              </w:tc>
              <w:tc>
                <w:tcPr>
                  <w:tcW w:w="107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128</w:t>
                  </w:r>
                </w:p>
              </w:tc>
              <w:tc>
                <w:tcPr>
                  <w:tcW w:w="92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160</w:t>
                  </w:r>
                </w:p>
              </w:tc>
              <w:tc>
                <w:tcPr>
                  <w:tcW w:w="531"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80.00</w:t>
                  </w:r>
                </w:p>
              </w:tc>
              <w:tc>
                <w:tcPr>
                  <w:tcW w:w="576" w:type="pct"/>
                  <w:vAlign w:val="center"/>
                </w:tcPr>
                <w:p>
                  <w:pPr>
                    <w:pStyle w:val="79"/>
                    <w:rPr>
                      <w:color w:val="000000" w:themeColor="text1"/>
                      <w14:textFill>
                        <w14:solidFill>
                          <w14:schemeClr w14:val="tx1"/>
                        </w14:solidFill>
                      </w14:textFill>
                    </w:rPr>
                  </w:pPr>
                  <w:r>
                    <w:rPr>
                      <w:bCs/>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60" w:type="pct"/>
                  <w:vAlign w:val="center"/>
                </w:tcPr>
                <w:p>
                  <w:pPr>
                    <w:pStyle w:val="79"/>
                    <w:rPr>
                      <w:color w:val="000000" w:themeColor="text1"/>
                      <w:vertAlign w:val="subscript"/>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p>
              </w:tc>
              <w:tc>
                <w:tcPr>
                  <w:tcW w:w="1429" w:type="pct"/>
                  <w:vAlign w:val="center"/>
                </w:tcPr>
                <w:p>
                  <w:pPr>
                    <w:pStyle w:val="79"/>
                    <w:rPr>
                      <w:color w:val="000000" w:themeColor="text1"/>
                      <w14:textFill>
                        <w14:solidFill>
                          <w14:schemeClr w14:val="tx1"/>
                        </w14:solidFill>
                      </w14:textFill>
                    </w:rPr>
                  </w:pPr>
                  <w:r>
                    <w:rPr>
                      <w:bCs/>
                      <w:color w:val="000000" w:themeColor="text1"/>
                      <w14:textFill>
                        <w14:solidFill>
                          <w14:schemeClr w14:val="tx1"/>
                        </w14:solidFill>
                      </w14:textFill>
                    </w:rPr>
                    <w:t>年平均质量浓度</w:t>
                  </w:r>
                </w:p>
              </w:tc>
              <w:tc>
                <w:tcPr>
                  <w:tcW w:w="107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58</w:t>
                  </w:r>
                </w:p>
              </w:tc>
              <w:tc>
                <w:tcPr>
                  <w:tcW w:w="92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70</w:t>
                  </w:r>
                </w:p>
              </w:tc>
              <w:tc>
                <w:tcPr>
                  <w:tcW w:w="531"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82.86</w:t>
                  </w:r>
                </w:p>
              </w:tc>
              <w:tc>
                <w:tcPr>
                  <w:tcW w:w="576" w:type="pct"/>
                  <w:vAlign w:val="center"/>
                </w:tcPr>
                <w:p>
                  <w:pPr>
                    <w:pStyle w:val="79"/>
                    <w:rPr>
                      <w:color w:val="000000" w:themeColor="text1"/>
                      <w14:textFill>
                        <w14:solidFill>
                          <w14:schemeClr w14:val="tx1"/>
                        </w14:solidFill>
                      </w14:textFill>
                    </w:rPr>
                  </w:pPr>
                  <w:r>
                    <w:rPr>
                      <w:bCs/>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60" w:type="pct"/>
                  <w:vAlign w:val="center"/>
                </w:tcPr>
                <w:p>
                  <w:pPr>
                    <w:pStyle w:val="79"/>
                    <w:rPr>
                      <w:color w:val="000000" w:themeColor="text1"/>
                      <w:vertAlign w:val="subscript"/>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p>
              </w:tc>
              <w:tc>
                <w:tcPr>
                  <w:tcW w:w="1429" w:type="pct"/>
                  <w:vAlign w:val="center"/>
                </w:tcPr>
                <w:p>
                  <w:pPr>
                    <w:pStyle w:val="79"/>
                    <w:rPr>
                      <w:color w:val="000000" w:themeColor="text1"/>
                      <w:vertAlign w:val="subscript"/>
                      <w14:textFill>
                        <w14:solidFill>
                          <w14:schemeClr w14:val="tx1"/>
                        </w14:solidFill>
                      </w14:textFill>
                    </w:rPr>
                  </w:pPr>
                  <w:r>
                    <w:rPr>
                      <w:bCs/>
                      <w:color w:val="000000" w:themeColor="text1"/>
                      <w14:textFill>
                        <w14:solidFill>
                          <w14:schemeClr w14:val="tx1"/>
                        </w14:solidFill>
                      </w14:textFill>
                    </w:rPr>
                    <w:t>年平均质量浓度</w:t>
                  </w:r>
                </w:p>
              </w:tc>
              <w:tc>
                <w:tcPr>
                  <w:tcW w:w="107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35</w:t>
                  </w:r>
                </w:p>
              </w:tc>
              <w:tc>
                <w:tcPr>
                  <w:tcW w:w="92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35</w:t>
                  </w:r>
                </w:p>
              </w:tc>
              <w:tc>
                <w:tcPr>
                  <w:tcW w:w="531"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100.00</w:t>
                  </w:r>
                </w:p>
              </w:tc>
              <w:tc>
                <w:tcPr>
                  <w:tcW w:w="57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达标</w:t>
                  </w:r>
                </w:p>
              </w:tc>
            </w:tr>
          </w:tbl>
          <w:p>
            <w:pPr>
              <w:pStyle w:val="54"/>
              <w:spacing w:before="156" w:beforeLines="50"/>
              <w:ind w:firstLine="482"/>
              <w:rPr>
                <w:b/>
                <w:color w:val="000000" w:themeColor="text1"/>
                <w14:textFill>
                  <w14:solidFill>
                    <w14:schemeClr w14:val="tx1"/>
                  </w14:solidFill>
                </w14:textFill>
              </w:rPr>
            </w:pPr>
            <w:r>
              <w:rPr>
                <w:b/>
                <w:color w:val="000000" w:themeColor="text1"/>
                <w14:textFill>
                  <w14:solidFill>
                    <w14:schemeClr w14:val="tx1"/>
                  </w14:solidFill>
                </w14:textFill>
              </w:rPr>
              <w:t>2、基本污染物环境质量现状评价</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选择祁东县监测站为评价监测站，祁东县监测站2018年连续1年监测数据来源于衡阳市生态环境局发布的</w:t>
            </w:r>
            <w:r>
              <w:rPr>
                <w:color w:val="000000" w:themeColor="text1"/>
                <w:lang w:val="zh-CN"/>
                <w14:textFill>
                  <w14:solidFill>
                    <w14:schemeClr w14:val="tx1"/>
                  </w14:solidFill>
                </w14:textFill>
              </w:rPr>
              <w:t>《</w:t>
            </w:r>
            <w:r>
              <w:rPr>
                <w:color w:val="000000" w:themeColor="text1"/>
                <w14:textFill>
                  <w14:solidFill>
                    <w14:schemeClr w14:val="tx1"/>
                  </w14:solidFill>
                </w14:textFill>
              </w:rPr>
              <w:t>关于2018年12月及1~12月全市环境质量状况的通报</w:t>
            </w:r>
            <w:r>
              <w:rPr>
                <w:color w:val="000000" w:themeColor="text1"/>
                <w:lang w:val="zh-CN"/>
                <w14:textFill>
                  <w14:solidFill>
                    <w14:schemeClr w14:val="tx1"/>
                  </w14:solidFill>
                </w14:textFill>
              </w:rPr>
              <w:t>》，</w:t>
            </w:r>
            <w:r>
              <w:rPr>
                <w:color w:val="000000" w:themeColor="text1"/>
                <w14:textFill>
                  <w14:solidFill>
                    <w14:schemeClr w14:val="tx1"/>
                  </w14:solidFill>
                </w14:textFill>
              </w:rPr>
              <w:t>监测站基本情况见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REF _Ref529713744 \h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表</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p>
          <w:p>
            <w:pPr>
              <w:pStyle w:val="88"/>
              <w:rPr>
                <w:color w:val="000000" w:themeColor="text1"/>
                <w14:textFill>
                  <w14:solidFill>
                    <w14:schemeClr w14:val="tx1"/>
                  </w14:solidFill>
                </w14:textFill>
              </w:rPr>
            </w:pPr>
            <w:bookmarkStart w:id="18" w:name="_Ref529713744"/>
            <w:r>
              <w:rPr>
                <w:color w:val="000000" w:themeColor="text1"/>
                <w14:textFill>
                  <w14:solidFill>
                    <w14:schemeClr w14:val="tx1"/>
                  </w14:solidFill>
                </w14:textFill>
              </w:rPr>
              <w:t>表</w:t>
            </w:r>
            <w:bookmarkEnd w:id="18"/>
            <w:r>
              <w:rPr>
                <w:rFonts w:hint="eastAsia"/>
                <w:color w:val="000000" w:themeColor="text1"/>
                <w14:textFill>
                  <w14:solidFill>
                    <w14:schemeClr w14:val="tx1"/>
                  </w14:solidFill>
                </w14:textFill>
              </w:rPr>
              <w:t xml:space="preserve">3-2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祁东县</w:t>
            </w:r>
            <w:r>
              <w:rPr>
                <w:color w:val="000000" w:themeColor="text1"/>
                <w14:textFill>
                  <w14:solidFill>
                    <w14:schemeClr w14:val="tx1"/>
                  </w14:solidFill>
                </w14:textFill>
              </w:rPr>
              <w:t>监测站点位基本信息</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84"/>
              <w:gridCol w:w="1799"/>
              <w:gridCol w:w="1847"/>
              <w:gridCol w:w="1847"/>
              <w:gridCol w:w="992"/>
              <w:gridCol w:w="992"/>
              <w:gridCol w:w="8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82"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监测站名称</w:t>
                  </w:r>
                </w:p>
              </w:tc>
              <w:tc>
                <w:tcPr>
                  <w:tcW w:w="1988"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监测站坐标</w:t>
                  </w:r>
                </w:p>
              </w:tc>
              <w:tc>
                <w:tcPr>
                  <w:tcW w:w="1007"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监测因子</w:t>
                  </w:r>
                </w:p>
              </w:tc>
              <w:tc>
                <w:tcPr>
                  <w:tcW w:w="541"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相对厂区方位</w:t>
                  </w:r>
                </w:p>
              </w:tc>
              <w:tc>
                <w:tcPr>
                  <w:tcW w:w="541"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相对厂界距离/km</w:t>
                  </w:r>
                </w:p>
              </w:tc>
              <w:tc>
                <w:tcPr>
                  <w:tcW w:w="440"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82" w:type="pct"/>
                  <w:vMerge w:val="continue"/>
                  <w:vAlign w:val="center"/>
                </w:tcPr>
                <w:p>
                  <w:pPr>
                    <w:pStyle w:val="79"/>
                    <w:rPr>
                      <w:color w:val="000000" w:themeColor="text1"/>
                      <w14:textFill>
                        <w14:solidFill>
                          <w14:schemeClr w14:val="tx1"/>
                        </w14:solidFill>
                      </w14:textFill>
                    </w:rPr>
                  </w:pPr>
                </w:p>
              </w:tc>
              <w:tc>
                <w:tcPr>
                  <w:tcW w:w="98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E/°</w:t>
                  </w:r>
                </w:p>
              </w:tc>
              <w:tc>
                <w:tcPr>
                  <w:tcW w:w="100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w:t>
                  </w:r>
                </w:p>
              </w:tc>
              <w:tc>
                <w:tcPr>
                  <w:tcW w:w="1007" w:type="pct"/>
                  <w:vMerge w:val="continue"/>
                  <w:vAlign w:val="center"/>
                </w:tcPr>
                <w:p>
                  <w:pPr>
                    <w:pStyle w:val="79"/>
                    <w:rPr>
                      <w:color w:val="000000" w:themeColor="text1"/>
                      <w14:textFill>
                        <w14:solidFill>
                          <w14:schemeClr w14:val="tx1"/>
                        </w14:solidFill>
                      </w14:textFill>
                    </w:rPr>
                  </w:pPr>
                </w:p>
              </w:tc>
              <w:tc>
                <w:tcPr>
                  <w:tcW w:w="541" w:type="pct"/>
                  <w:vMerge w:val="continue"/>
                  <w:vAlign w:val="center"/>
                </w:tcPr>
                <w:p>
                  <w:pPr>
                    <w:pStyle w:val="79"/>
                    <w:rPr>
                      <w:color w:val="000000" w:themeColor="text1"/>
                      <w14:textFill>
                        <w14:solidFill>
                          <w14:schemeClr w14:val="tx1"/>
                        </w14:solidFill>
                      </w14:textFill>
                    </w:rPr>
                  </w:pPr>
                </w:p>
              </w:tc>
              <w:tc>
                <w:tcPr>
                  <w:tcW w:w="541" w:type="pct"/>
                  <w:vMerge w:val="continue"/>
                  <w:vAlign w:val="center"/>
                </w:tcPr>
                <w:p>
                  <w:pPr>
                    <w:pStyle w:val="79"/>
                    <w:rPr>
                      <w:color w:val="000000" w:themeColor="text1"/>
                      <w14:textFill>
                        <w14:solidFill>
                          <w14:schemeClr w14:val="tx1"/>
                        </w14:solidFill>
                      </w14:textFill>
                    </w:rPr>
                  </w:pPr>
                </w:p>
              </w:tc>
              <w:tc>
                <w:tcPr>
                  <w:tcW w:w="440" w:type="pct"/>
                  <w:vMerge w:val="continue"/>
                  <w:vAlign w:val="center"/>
                </w:tcPr>
                <w:p>
                  <w:pPr>
                    <w:pStyle w:val="79"/>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482"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祁东县</w:t>
                  </w:r>
                  <w:r>
                    <w:rPr>
                      <w:color w:val="000000" w:themeColor="text1"/>
                      <w14:textFill>
                        <w14:solidFill>
                          <w14:schemeClr w14:val="tx1"/>
                        </w14:solidFill>
                      </w14:textFill>
                    </w:rPr>
                    <w:t>监测站</w:t>
                  </w:r>
                </w:p>
              </w:tc>
              <w:tc>
                <w:tcPr>
                  <w:tcW w:w="981"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112.116316138</w:t>
                  </w:r>
                </w:p>
              </w:tc>
              <w:tc>
                <w:tcPr>
                  <w:tcW w:w="100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26.786249585</w:t>
                  </w:r>
                </w:p>
              </w:tc>
              <w:tc>
                <w:tcPr>
                  <w:tcW w:w="100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、CO</w:t>
                  </w:r>
                </w:p>
              </w:tc>
              <w:tc>
                <w:tcPr>
                  <w:tcW w:w="54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东侧</w:t>
                  </w:r>
                </w:p>
              </w:tc>
              <w:tc>
                <w:tcPr>
                  <w:tcW w:w="54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4.7</w:t>
                  </w:r>
                </w:p>
              </w:tc>
              <w:tc>
                <w:tcPr>
                  <w:tcW w:w="44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县控</w:t>
                  </w:r>
                </w:p>
              </w:tc>
            </w:tr>
          </w:tbl>
          <w:p>
            <w:pPr>
              <w:pStyle w:val="54"/>
              <w:spacing w:before="156" w:beforeLines="50"/>
              <w:ind w:firstLine="480"/>
              <w:rPr>
                <w:color w:val="000000" w:themeColor="text1"/>
                <w:lang w:val="zh-CN"/>
                <w14:textFill>
                  <w14:solidFill>
                    <w14:schemeClr w14:val="tx1"/>
                  </w14:solidFill>
                </w14:textFill>
              </w:rPr>
            </w:pPr>
            <w:r>
              <w:rPr>
                <w:color w:val="000000" w:themeColor="text1"/>
                <w:lang w:val="zh-CN"/>
                <w14:textFill>
                  <w14:solidFill>
                    <w14:schemeClr w14:val="tx1"/>
                  </w14:solidFill>
                </w14:textFill>
              </w:rPr>
              <w:t>根据</w:t>
            </w:r>
            <w:r>
              <w:rPr>
                <w:color w:val="000000" w:themeColor="text1"/>
                <w14:textFill>
                  <w14:solidFill>
                    <w14:schemeClr w14:val="tx1"/>
                  </w14:solidFill>
                </w14:textFill>
              </w:rPr>
              <w:t>《环境影响评价技术导则 大气环境》（HJ2.2-2018）</w:t>
            </w:r>
            <w:r>
              <w:rPr>
                <w:color w:val="000000" w:themeColor="text1"/>
                <w:lang w:val="zh-CN"/>
                <w14:textFill>
                  <w14:solidFill>
                    <w14:schemeClr w14:val="tx1"/>
                  </w14:solidFill>
                </w14:textFill>
              </w:rPr>
              <w:t>以及</w:t>
            </w:r>
            <w:r>
              <w:rPr>
                <w:rFonts w:hint="eastAsia"/>
                <w:color w:val="000000" w:themeColor="text1"/>
                <w:lang w:val="zh-CN"/>
                <w14:textFill>
                  <w14:solidFill>
                    <w14:schemeClr w14:val="tx1"/>
                  </w14:solidFill>
                </w14:textFill>
              </w:rPr>
              <w:t>2018年祁东县</w:t>
            </w:r>
            <w:r>
              <w:rPr>
                <w:color w:val="000000" w:themeColor="text1"/>
                <w:lang w:val="zh-CN"/>
                <w14:textFill>
                  <w14:solidFill>
                    <w14:schemeClr w14:val="tx1"/>
                  </w14:solidFill>
                </w14:textFill>
              </w:rPr>
              <w:t>空气质量数据，对各基本污染物标进行环境质量现状评价。</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（1）评价标准</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本项目位于环境空气二类功能区，SO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、CO、O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执行《环境空气质量标准》（GB3095-2012）二级标准，本次环境空气质量现状评价采用的标准限值详见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REF _Ref529713772 \h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表</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p>
          <w:p>
            <w:pPr>
              <w:pStyle w:val="88"/>
              <w:rPr>
                <w:color w:val="000000" w:themeColor="text1"/>
                <w14:textFill>
                  <w14:solidFill>
                    <w14:schemeClr w14:val="tx1"/>
                  </w14:solidFill>
                </w14:textFill>
              </w:rPr>
            </w:pPr>
            <w:bookmarkStart w:id="19" w:name="_Ref529713772"/>
            <w:r>
              <w:rPr>
                <w:color w:val="000000" w:themeColor="text1"/>
                <w14:textFill>
                  <w14:solidFill>
                    <w14:schemeClr w14:val="tx1"/>
                  </w14:solidFill>
                </w14:textFill>
              </w:rPr>
              <w:t>表</w:t>
            </w:r>
            <w:bookmarkEnd w:id="19"/>
            <w:r>
              <w:rPr>
                <w:color w:val="000000" w:themeColor="text1"/>
                <w14:textFill>
                  <w14:solidFill>
                    <w14:schemeClr w14:val="tx1"/>
                  </w14:solidFill>
                </w14:textFill>
              </w:rPr>
              <w:t>3-3  环境空气评价标准</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97"/>
              <w:gridCol w:w="2180"/>
              <w:gridCol w:w="1108"/>
              <w:gridCol w:w="1243"/>
              <w:gridCol w:w="30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71"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评价因子</w:t>
                  </w:r>
                </w:p>
              </w:tc>
              <w:tc>
                <w:tcPr>
                  <w:tcW w:w="118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平均时段</w:t>
                  </w:r>
                </w:p>
              </w:tc>
              <w:tc>
                <w:tcPr>
                  <w:tcW w:w="60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单位</w:t>
                  </w:r>
                </w:p>
              </w:tc>
              <w:tc>
                <w:tcPr>
                  <w:tcW w:w="67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标准值</w:t>
                  </w:r>
                </w:p>
              </w:tc>
              <w:tc>
                <w:tcPr>
                  <w:tcW w:w="16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71"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二氧化硫</w:t>
                  </w:r>
                </w:p>
              </w:tc>
              <w:tc>
                <w:tcPr>
                  <w:tcW w:w="118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60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µg/m</w:t>
                  </w:r>
                  <w:r>
                    <w:rPr>
                      <w:color w:val="000000" w:themeColor="text1"/>
                      <w:vertAlign w:val="superscript"/>
                      <w14:textFill>
                        <w14:solidFill>
                          <w14:schemeClr w14:val="tx1"/>
                        </w14:solidFill>
                      </w14:textFill>
                    </w:rPr>
                    <w:t>3</w:t>
                  </w:r>
                </w:p>
              </w:tc>
              <w:tc>
                <w:tcPr>
                  <w:tcW w:w="67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1658"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《环境空气质量标准》（GB3095-2012）及其修改单二级标准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71" w:type="pct"/>
                  <w:vMerge w:val="continue"/>
                  <w:vAlign w:val="center"/>
                </w:tcPr>
                <w:p>
                  <w:pPr>
                    <w:pStyle w:val="79"/>
                    <w:rPr>
                      <w:color w:val="000000" w:themeColor="text1"/>
                      <w14:textFill>
                        <w14:solidFill>
                          <w14:schemeClr w14:val="tx1"/>
                        </w14:solidFill>
                      </w14:textFill>
                    </w:rPr>
                  </w:pPr>
                </w:p>
              </w:tc>
              <w:tc>
                <w:tcPr>
                  <w:tcW w:w="118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年平均</w:t>
                  </w:r>
                </w:p>
              </w:tc>
              <w:tc>
                <w:tcPr>
                  <w:tcW w:w="60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µg/m</w:t>
                  </w:r>
                  <w:r>
                    <w:rPr>
                      <w:color w:val="000000" w:themeColor="text1"/>
                      <w:vertAlign w:val="superscript"/>
                      <w14:textFill>
                        <w14:solidFill>
                          <w14:schemeClr w14:val="tx1"/>
                        </w14:solidFill>
                      </w14:textFill>
                    </w:rPr>
                    <w:t>3</w:t>
                  </w:r>
                </w:p>
              </w:tc>
              <w:tc>
                <w:tcPr>
                  <w:tcW w:w="67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60</w:t>
                  </w:r>
                </w:p>
              </w:tc>
              <w:tc>
                <w:tcPr>
                  <w:tcW w:w="1658" w:type="pct"/>
                  <w:vMerge w:val="continue"/>
                  <w:vAlign w:val="center"/>
                </w:tcPr>
                <w:p>
                  <w:pPr>
                    <w:pStyle w:val="79"/>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71"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二氧化氮</w:t>
                  </w:r>
                </w:p>
              </w:tc>
              <w:tc>
                <w:tcPr>
                  <w:tcW w:w="118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60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µg/m</w:t>
                  </w:r>
                  <w:r>
                    <w:rPr>
                      <w:color w:val="000000" w:themeColor="text1"/>
                      <w:vertAlign w:val="superscript"/>
                      <w14:textFill>
                        <w14:solidFill>
                          <w14:schemeClr w14:val="tx1"/>
                        </w14:solidFill>
                      </w14:textFill>
                    </w:rPr>
                    <w:t>3</w:t>
                  </w:r>
                </w:p>
              </w:tc>
              <w:tc>
                <w:tcPr>
                  <w:tcW w:w="67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1658" w:type="pct"/>
                  <w:vMerge w:val="continue"/>
                  <w:vAlign w:val="center"/>
                </w:tcPr>
                <w:p>
                  <w:pPr>
                    <w:pStyle w:val="79"/>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71" w:type="pct"/>
                  <w:vMerge w:val="continue"/>
                  <w:vAlign w:val="center"/>
                </w:tcPr>
                <w:p>
                  <w:pPr>
                    <w:pStyle w:val="79"/>
                    <w:rPr>
                      <w:color w:val="000000" w:themeColor="text1"/>
                      <w14:textFill>
                        <w14:solidFill>
                          <w14:schemeClr w14:val="tx1"/>
                        </w14:solidFill>
                      </w14:textFill>
                    </w:rPr>
                  </w:pPr>
                </w:p>
              </w:tc>
              <w:tc>
                <w:tcPr>
                  <w:tcW w:w="118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年平均</w:t>
                  </w:r>
                </w:p>
              </w:tc>
              <w:tc>
                <w:tcPr>
                  <w:tcW w:w="60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µg/m</w:t>
                  </w:r>
                  <w:r>
                    <w:rPr>
                      <w:color w:val="000000" w:themeColor="text1"/>
                      <w:vertAlign w:val="superscript"/>
                      <w14:textFill>
                        <w14:solidFill>
                          <w14:schemeClr w14:val="tx1"/>
                        </w14:solidFill>
                      </w14:textFill>
                    </w:rPr>
                    <w:t>3</w:t>
                  </w:r>
                </w:p>
              </w:tc>
              <w:tc>
                <w:tcPr>
                  <w:tcW w:w="67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40</w:t>
                  </w:r>
                </w:p>
              </w:tc>
              <w:tc>
                <w:tcPr>
                  <w:tcW w:w="1658" w:type="pct"/>
                  <w:vMerge w:val="continue"/>
                  <w:vAlign w:val="center"/>
                </w:tcPr>
                <w:p>
                  <w:pPr>
                    <w:pStyle w:val="79"/>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71" w:type="pct"/>
                  <w:vMerge w:val="restart"/>
                  <w:vAlign w:val="center"/>
                </w:tcPr>
                <w:p>
                  <w:pPr>
                    <w:pStyle w:val="79"/>
                    <w:rPr>
                      <w:color w:val="000000" w:themeColor="text1"/>
                      <w:vertAlign w:val="subscript"/>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p>
              </w:tc>
              <w:tc>
                <w:tcPr>
                  <w:tcW w:w="118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604"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µg/m</w:t>
                  </w:r>
                  <w:r>
                    <w:rPr>
                      <w:color w:val="000000" w:themeColor="text1"/>
                      <w:vertAlign w:val="superscript"/>
                      <w14:textFill>
                        <w14:solidFill>
                          <w14:schemeClr w14:val="tx1"/>
                        </w14:solidFill>
                      </w14:textFill>
                    </w:rPr>
                    <w:t>3</w:t>
                  </w:r>
                </w:p>
              </w:tc>
              <w:tc>
                <w:tcPr>
                  <w:tcW w:w="67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1658" w:type="pct"/>
                  <w:vMerge w:val="continue"/>
                  <w:vAlign w:val="center"/>
                </w:tcPr>
                <w:p>
                  <w:pPr>
                    <w:pStyle w:val="79"/>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71" w:type="pct"/>
                  <w:vMerge w:val="continue"/>
                  <w:vAlign w:val="center"/>
                </w:tcPr>
                <w:p>
                  <w:pPr>
                    <w:pStyle w:val="79"/>
                    <w:rPr>
                      <w:color w:val="000000" w:themeColor="text1"/>
                      <w:vertAlign w:val="subscript"/>
                      <w14:textFill>
                        <w14:solidFill>
                          <w14:schemeClr w14:val="tx1"/>
                        </w14:solidFill>
                      </w14:textFill>
                    </w:rPr>
                  </w:pPr>
                </w:p>
              </w:tc>
              <w:tc>
                <w:tcPr>
                  <w:tcW w:w="118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年平均</w:t>
                  </w:r>
                </w:p>
              </w:tc>
              <w:tc>
                <w:tcPr>
                  <w:tcW w:w="604" w:type="pct"/>
                  <w:vMerge w:val="continue"/>
                  <w:vAlign w:val="center"/>
                </w:tcPr>
                <w:p>
                  <w:pPr>
                    <w:pStyle w:val="79"/>
                    <w:rPr>
                      <w:color w:val="000000" w:themeColor="text1"/>
                      <w14:textFill>
                        <w14:solidFill>
                          <w14:schemeClr w14:val="tx1"/>
                        </w14:solidFill>
                      </w14:textFill>
                    </w:rPr>
                  </w:pPr>
                </w:p>
              </w:tc>
              <w:tc>
                <w:tcPr>
                  <w:tcW w:w="67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70</w:t>
                  </w:r>
                </w:p>
              </w:tc>
              <w:tc>
                <w:tcPr>
                  <w:tcW w:w="1658" w:type="pct"/>
                  <w:vMerge w:val="continue"/>
                  <w:vAlign w:val="center"/>
                </w:tcPr>
                <w:p>
                  <w:pPr>
                    <w:pStyle w:val="79"/>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71"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p>
              </w:tc>
              <w:tc>
                <w:tcPr>
                  <w:tcW w:w="118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604"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µg/m</w:t>
                  </w:r>
                  <w:r>
                    <w:rPr>
                      <w:color w:val="000000" w:themeColor="text1"/>
                      <w:vertAlign w:val="superscript"/>
                      <w14:textFill>
                        <w14:solidFill>
                          <w14:schemeClr w14:val="tx1"/>
                        </w14:solidFill>
                      </w14:textFill>
                    </w:rPr>
                    <w:t>3</w:t>
                  </w:r>
                </w:p>
              </w:tc>
              <w:tc>
                <w:tcPr>
                  <w:tcW w:w="67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75</w:t>
                  </w:r>
                </w:p>
              </w:tc>
              <w:tc>
                <w:tcPr>
                  <w:tcW w:w="1658" w:type="pct"/>
                  <w:vMerge w:val="continue"/>
                  <w:vAlign w:val="center"/>
                </w:tcPr>
                <w:p>
                  <w:pPr>
                    <w:pStyle w:val="79"/>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71" w:type="pct"/>
                  <w:vMerge w:val="continue"/>
                  <w:vAlign w:val="center"/>
                </w:tcPr>
                <w:p>
                  <w:pPr>
                    <w:pStyle w:val="79"/>
                    <w:rPr>
                      <w:color w:val="000000" w:themeColor="text1"/>
                      <w14:textFill>
                        <w14:solidFill>
                          <w14:schemeClr w14:val="tx1"/>
                        </w14:solidFill>
                      </w14:textFill>
                    </w:rPr>
                  </w:pPr>
                </w:p>
              </w:tc>
              <w:tc>
                <w:tcPr>
                  <w:tcW w:w="118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年平均</w:t>
                  </w:r>
                </w:p>
              </w:tc>
              <w:tc>
                <w:tcPr>
                  <w:tcW w:w="604" w:type="pct"/>
                  <w:vMerge w:val="continue"/>
                  <w:vAlign w:val="center"/>
                </w:tcPr>
                <w:p>
                  <w:pPr>
                    <w:pStyle w:val="79"/>
                    <w:rPr>
                      <w:color w:val="000000" w:themeColor="text1"/>
                      <w14:textFill>
                        <w14:solidFill>
                          <w14:schemeClr w14:val="tx1"/>
                        </w14:solidFill>
                      </w14:textFill>
                    </w:rPr>
                  </w:pPr>
                </w:p>
              </w:tc>
              <w:tc>
                <w:tcPr>
                  <w:tcW w:w="67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35</w:t>
                  </w:r>
                </w:p>
              </w:tc>
              <w:tc>
                <w:tcPr>
                  <w:tcW w:w="1658" w:type="pct"/>
                  <w:vMerge w:val="continue"/>
                  <w:vAlign w:val="center"/>
                </w:tcPr>
                <w:p>
                  <w:pPr>
                    <w:pStyle w:val="79"/>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71"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CO</w:t>
                  </w:r>
                </w:p>
              </w:tc>
              <w:tc>
                <w:tcPr>
                  <w:tcW w:w="118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60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mg/m</w:t>
                  </w:r>
                  <w:r>
                    <w:rPr>
                      <w:color w:val="000000" w:themeColor="text1"/>
                      <w:vertAlign w:val="superscript"/>
                      <w14:textFill>
                        <w14:solidFill>
                          <w14:schemeClr w14:val="tx1"/>
                        </w14:solidFill>
                      </w14:textFill>
                    </w:rPr>
                    <w:t>3</w:t>
                  </w:r>
                </w:p>
              </w:tc>
              <w:tc>
                <w:tcPr>
                  <w:tcW w:w="67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w:t>
                  </w:r>
                </w:p>
              </w:tc>
              <w:tc>
                <w:tcPr>
                  <w:tcW w:w="1658" w:type="pct"/>
                  <w:vMerge w:val="continue"/>
                  <w:vAlign w:val="center"/>
                </w:tcPr>
                <w:p>
                  <w:pPr>
                    <w:pStyle w:val="79"/>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871" w:type="pct"/>
                  <w:vAlign w:val="center"/>
                </w:tcPr>
                <w:p>
                  <w:pPr>
                    <w:pStyle w:val="79"/>
                    <w:rPr>
                      <w:color w:val="000000" w:themeColor="text1"/>
                      <w:vertAlign w:val="subscript"/>
                      <w14:textFill>
                        <w14:solidFill>
                          <w14:schemeClr w14:val="tx1"/>
                        </w14:solidFill>
                      </w14:textFill>
                    </w:rPr>
                  </w:pP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3</w:t>
                  </w:r>
                </w:p>
              </w:tc>
              <w:tc>
                <w:tcPr>
                  <w:tcW w:w="118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日最大8小时平均</w:t>
                  </w:r>
                </w:p>
              </w:tc>
              <w:tc>
                <w:tcPr>
                  <w:tcW w:w="60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µg/m</w:t>
                  </w:r>
                  <w:r>
                    <w:rPr>
                      <w:color w:val="000000" w:themeColor="text1"/>
                      <w:vertAlign w:val="superscript"/>
                      <w14:textFill>
                        <w14:solidFill>
                          <w14:schemeClr w14:val="tx1"/>
                        </w14:solidFill>
                      </w14:textFill>
                    </w:rPr>
                    <w:t>3</w:t>
                  </w:r>
                </w:p>
              </w:tc>
              <w:tc>
                <w:tcPr>
                  <w:tcW w:w="67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160</w:t>
                  </w:r>
                </w:p>
              </w:tc>
              <w:tc>
                <w:tcPr>
                  <w:tcW w:w="1658" w:type="pct"/>
                  <w:vMerge w:val="continue"/>
                  <w:vAlign w:val="center"/>
                </w:tcPr>
                <w:p>
                  <w:pPr>
                    <w:pStyle w:val="79"/>
                    <w:rPr>
                      <w:color w:val="000000" w:themeColor="text1"/>
                      <w14:textFill>
                        <w14:solidFill>
                          <w14:schemeClr w14:val="tx1"/>
                        </w14:solidFill>
                      </w14:textFill>
                    </w:rPr>
                  </w:pPr>
                </w:p>
              </w:tc>
            </w:tr>
          </w:tbl>
          <w:p>
            <w:pPr>
              <w:pStyle w:val="54"/>
              <w:spacing w:before="156" w:beforeLines="50"/>
              <w:ind w:firstLine="480"/>
              <w:rPr>
                <w:color w:val="000000" w:themeColor="text1"/>
                <w14:textFill>
                  <w14:solidFill>
                    <w14:schemeClr w14:val="tx1"/>
                  </w14:solidFill>
                </w14:textFill>
              </w:rPr>
            </w:pPr>
            <w:r>
              <w:rPr>
                <w:color w:val="000000" w:themeColor="text1"/>
                <w14:textFill>
                  <w14:solidFill>
                    <w14:schemeClr w14:val="tx1"/>
                  </w14:solidFill>
                </w14:textFill>
              </w:rPr>
              <w:t>（2）评价方法</w:t>
            </w:r>
          </w:p>
          <w:p>
            <w:pPr>
              <w:pStyle w:val="54"/>
              <w:ind w:firstLine="480"/>
              <w:rPr>
                <w:color w:val="000000" w:themeColor="text1"/>
                <w:lang w:val="zh-CN"/>
                <w14:textFill>
                  <w14:solidFill>
                    <w14:schemeClr w14:val="tx1"/>
                  </w14:solidFill>
                </w14:textFill>
              </w:rPr>
            </w:pPr>
            <w:r>
              <w:rPr>
                <w:color w:val="000000" w:themeColor="text1"/>
                <w:lang w:val="zh-CN"/>
                <w14:textFill>
                  <w14:solidFill>
                    <w14:schemeClr w14:val="tx1"/>
                  </w14:solidFill>
                </w14:textFill>
              </w:rPr>
              <w:t>对采用多个长期监测点位数据进行现状评价的，取各污染物相同时刻各监测点位的浓度平均值，作为评价范围内环境空气保护目标及网格点环境质量现状浓度，计算方法见下公式：</w:t>
            </w:r>
          </w:p>
          <w:p>
            <w:pPr>
              <w:pStyle w:val="88"/>
              <w:rPr>
                <w:color w:val="000000" w:themeColor="text1"/>
                <w:lang w:val="zh-CN"/>
                <w14:textFill>
                  <w14:solidFill>
                    <w14:schemeClr w14:val="tx1"/>
                  </w14:solidFill>
                </w14:textFill>
              </w:rPr>
            </w:pPr>
            <m:oMathPara>
              <m:oMath>
                <m:sSub>
                  <m:sSubPr>
                    <m:ctrlPr>
                      <w:rPr>
                        <w:rFonts w:ascii="Cambria Math" w:hAnsi="Cambria Math"/>
                        <w:color w:val="000000" w:themeColor="text1"/>
                        <w:lang w:val="zh-CN"/>
                        <w14:textFill>
                          <w14:solidFill>
                            <w14:schemeClr w14:val="tx1"/>
                          </w14:solidFill>
                        </w14:textFill>
                      </w:rPr>
                    </m:ctrlPr>
                  </m:sSubPr>
                  <m:e>
                    <m:r>
                      <m:rPr>
                        <m:sty m:val="bi"/>
                      </m:rPr>
                      <w:rPr>
                        <w:rFonts w:ascii="Cambria Math" w:hAnsi="Cambria Math"/>
                        <w:color w:val="000000" w:themeColor="text1"/>
                        <w:lang w:val="zh-CN"/>
                        <w14:textFill>
                          <w14:solidFill>
                            <w14:schemeClr w14:val="tx1"/>
                          </w14:solidFill>
                        </w14:textFill>
                      </w:rPr>
                      <m:t>C</m:t>
                    </m:r>
                    <m:ctrlPr>
                      <w:rPr>
                        <w:rFonts w:ascii="Cambria Math" w:hAnsi="Cambria Math"/>
                        <w:color w:val="000000" w:themeColor="text1"/>
                        <w:lang w:val="zh-CN"/>
                        <w14:textFill>
                          <w14:solidFill>
                            <w14:schemeClr w14:val="tx1"/>
                          </w14:solidFill>
                        </w14:textFill>
                      </w:rPr>
                    </m:ctrlPr>
                  </m:e>
                  <m:sub>
                    <m:r>
                      <m:rPr>
                        <m:sty m:val="p"/>
                      </m:rPr>
                      <w:rPr>
                        <w:rFonts w:ascii="Cambria Math" w:hAnsi="Cambria Math"/>
                        <w:color w:val="000000" w:themeColor="text1"/>
                        <w:lang w:val="zh-CN"/>
                        <w14:textFill>
                          <w14:solidFill>
                            <w14:schemeClr w14:val="tx1"/>
                          </w14:solidFill>
                        </w14:textFill>
                      </w:rPr>
                      <m:t>现状（</m:t>
                    </m:r>
                    <m:r>
                      <m:rPr>
                        <m:sty m:val="bi"/>
                      </m:rPr>
                      <w:rPr>
                        <w:rFonts w:ascii="Cambria Math" w:hAnsi="Cambria Math"/>
                        <w:color w:val="000000" w:themeColor="text1"/>
                        <w:lang w:val="zh-CN"/>
                        <w14:textFill>
                          <w14:solidFill>
                            <w14:schemeClr w14:val="tx1"/>
                          </w14:solidFill>
                        </w14:textFill>
                      </w:rPr>
                      <m:t>x</m:t>
                    </m:r>
                    <m:r>
                      <m:rPr>
                        <m:sty m:val="p"/>
                      </m:rPr>
                      <w:rPr>
                        <w:rFonts w:ascii="Cambria Math" w:hAnsi="Cambria Math"/>
                        <w:color w:val="000000" w:themeColor="text1"/>
                        <w:lang w:val="zh-CN"/>
                        <w14:textFill>
                          <w14:solidFill>
                            <w14:schemeClr w14:val="tx1"/>
                          </w14:solidFill>
                        </w14:textFill>
                      </w:rPr>
                      <m:t>,</m:t>
                    </m:r>
                    <m:r>
                      <m:rPr>
                        <m:sty m:val="bi"/>
                      </m:rPr>
                      <w:rPr>
                        <w:rFonts w:ascii="Cambria Math" w:hAnsi="Cambria Math"/>
                        <w:color w:val="000000" w:themeColor="text1"/>
                        <w:lang w:val="zh-CN"/>
                        <w14:textFill>
                          <w14:solidFill>
                            <w14:schemeClr w14:val="tx1"/>
                          </w14:solidFill>
                        </w14:textFill>
                      </w:rPr>
                      <m:t>y</m:t>
                    </m:r>
                    <m:r>
                      <m:rPr>
                        <m:sty m:val="p"/>
                      </m:rPr>
                      <w:rPr>
                        <w:rFonts w:ascii="Cambria Math" w:hAnsi="Cambria Math"/>
                        <w:color w:val="000000" w:themeColor="text1"/>
                        <w:lang w:val="zh-CN"/>
                        <w14:textFill>
                          <w14:solidFill>
                            <w14:schemeClr w14:val="tx1"/>
                          </w14:solidFill>
                        </w14:textFill>
                      </w:rPr>
                      <m:t>）</m:t>
                    </m:r>
                    <m:ctrlPr>
                      <w:rPr>
                        <w:rFonts w:ascii="Cambria Math" w:hAnsi="Cambria Math"/>
                        <w:color w:val="000000" w:themeColor="text1"/>
                        <w:lang w:val="zh-CN"/>
                        <w14:textFill>
                          <w14:solidFill>
                            <w14:schemeClr w14:val="tx1"/>
                          </w14:solidFill>
                        </w14:textFill>
                      </w:rPr>
                    </m:ctrlPr>
                  </m:sub>
                </m:sSub>
                <m:r>
                  <m:rPr>
                    <m:sty m:val="p"/>
                  </m:rPr>
                  <w:rPr>
                    <w:rFonts w:ascii="Cambria Math" w:hAnsi="Cambria Math"/>
                    <w:color w:val="000000" w:themeColor="text1"/>
                    <w:lang w:val="zh-CN"/>
                    <w14:textFill>
                      <w14:solidFill>
                        <w14:schemeClr w14:val="tx1"/>
                      </w14:solidFill>
                    </w14:textFill>
                  </w:rPr>
                  <m:t>=</m:t>
                </m:r>
                <m:sSub>
                  <m:sSubPr>
                    <m:ctrlPr>
                      <w:rPr>
                        <w:rFonts w:ascii="Cambria Math" w:hAnsi="Cambria Math"/>
                        <w:color w:val="000000" w:themeColor="text1"/>
                        <w14:textFill>
                          <w14:solidFill>
                            <w14:schemeClr w14:val="tx1"/>
                          </w14:solidFill>
                        </w14:textFill>
                      </w:rPr>
                    </m:ctrlPr>
                  </m:sSubPr>
                  <m:e>
                    <m:r>
                      <m:rPr>
                        <m:sty m:val="bi"/>
                      </m:rPr>
                      <w:rPr>
                        <w:rFonts w:ascii="Cambria Math" w:hAnsi="Cambria Math"/>
                        <w:color w:val="000000" w:themeColor="text1"/>
                        <w14:textFill>
                          <w14:solidFill>
                            <w14:schemeClr w14:val="tx1"/>
                          </w14:solidFill>
                        </w14:textFill>
                      </w:rPr>
                      <m:t>C</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现状</m:t>
                    </m:r>
                    <m:d>
                      <m:dPr>
                        <m:begChr m:val="（"/>
                        <m:endChr m:val="）"/>
                        <m:ctrlPr>
                          <w:rPr>
                            <w:rFonts w:ascii="Cambria Math" w:hAnsi="Cambria Math"/>
                            <w:color w:val="000000" w:themeColor="text1"/>
                            <w14:textFill>
                              <w14:solidFill>
                                <w14:schemeClr w14:val="tx1"/>
                              </w14:solidFill>
                            </w14:textFill>
                          </w:rPr>
                        </m:ctrlPr>
                      </m:dPr>
                      <m:e>
                        <m:r>
                          <m:rPr>
                            <m:sty m:val="bi"/>
                          </m:rPr>
                          <w:rPr>
                            <w:rFonts w:ascii="Cambria Math" w:hAnsi="Cambria Math"/>
                            <w:color w:val="000000" w:themeColor="text1"/>
                            <w14:textFill>
                              <w14:solidFill>
                                <w14:schemeClr w14:val="tx1"/>
                              </w14:solidFill>
                            </w14:textFill>
                          </w:rPr>
                          <m:t>x</m:t>
                        </m:r>
                        <m:r>
                          <m:rPr>
                            <m:sty m:val="p"/>
                          </m:rPr>
                          <w:rPr>
                            <w:rFonts w:ascii="Cambria Math" w:hAnsi="Cambria Math"/>
                            <w:color w:val="000000" w:themeColor="text1"/>
                            <w14:textFill>
                              <w14:solidFill>
                                <w14:schemeClr w14:val="tx1"/>
                              </w14:solidFill>
                            </w14:textFill>
                          </w:rPr>
                          <m:t>,</m:t>
                        </m:r>
                        <m:r>
                          <m:rPr>
                            <m:sty m:val="bi"/>
                          </m:rPr>
                          <w:rPr>
                            <w:rFonts w:ascii="Cambria Math" w:hAnsi="Cambria Math"/>
                            <w:color w:val="000000" w:themeColor="text1"/>
                            <w14:textFill>
                              <w14:solidFill>
                                <w14:schemeClr w14:val="tx1"/>
                              </w14:solidFill>
                            </w14:textFill>
                          </w:rPr>
                          <m:t>y</m:t>
                        </m:r>
                        <m:ctrlPr>
                          <w:rPr>
                            <w:rFonts w:ascii="Cambria Math" w:hAnsi="Cambria Math"/>
                            <w:color w:val="000000" w:themeColor="text1"/>
                            <w14:textFill>
                              <w14:solidFill>
                                <w14:schemeClr w14:val="tx1"/>
                              </w14:solidFill>
                            </w14:textFill>
                          </w:rPr>
                        </m:ctrlPr>
                      </m:e>
                    </m:d>
                    <m:ctrlPr>
                      <w:rPr>
                        <w:rFonts w:ascii="Cambria Math" w:hAnsi="Cambria Math"/>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m:t>
                </m:r>
                <m:box>
                  <m:boxPr>
                    <m:ctrlPr>
                      <w:rPr>
                        <w:rFonts w:ascii="Cambria Math" w:hAnsi="Cambria Math"/>
                        <w:color w:val="000000" w:themeColor="text1"/>
                        <w14:textFill>
                          <w14:solidFill>
                            <w14:schemeClr w14:val="tx1"/>
                          </w14:solidFill>
                        </w14:textFill>
                      </w:rPr>
                    </m:ctrlPr>
                  </m:boxPr>
                  <m:e>
                    <m:argPr>
                      <m:argSz m:val="-1"/>
                    </m:argPr>
                    <m:f>
                      <m:fPr>
                        <m:ctrlPr>
                          <w:rPr>
                            <w:rFonts w:ascii="Cambria Math" w:hAnsi="Cambria Math"/>
                            <w:color w:val="000000" w:themeColor="text1"/>
                            <w14:textFill>
                              <w14:solidFill>
                                <w14:schemeClr w14:val="tx1"/>
                              </w14:solidFill>
                            </w14:textFill>
                          </w:rPr>
                        </m:ctrlPr>
                      </m:fPr>
                      <m:num>
                        <m:r>
                          <m:rPr>
                            <m:sty m:val="b"/>
                          </m:rPr>
                          <w:rPr>
                            <w:rFonts w:ascii="Cambria Math" w:hAnsi="Cambria Math"/>
                            <w:color w:val="000000" w:themeColor="text1"/>
                            <w14:textFill>
                              <w14:solidFill>
                                <w14:schemeClr w14:val="tx1"/>
                              </w14:solidFill>
                            </w14:textFill>
                          </w:rPr>
                          <m:t>1</m:t>
                        </m:r>
                        <m:ctrlPr>
                          <w:rPr>
                            <w:rFonts w:ascii="Cambria Math" w:hAnsi="Cambria Math"/>
                            <w:color w:val="000000" w:themeColor="text1"/>
                            <w14:textFill>
                              <w14:solidFill>
                                <w14:schemeClr w14:val="tx1"/>
                              </w14:solidFill>
                            </w14:textFill>
                          </w:rPr>
                        </m:ctrlPr>
                      </m:num>
                      <m:den>
                        <m:r>
                          <m:rPr>
                            <m:sty m:val="bi"/>
                          </m:rPr>
                          <w:rPr>
                            <w:rFonts w:ascii="Cambria Math" w:hAnsi="Cambria Math"/>
                            <w:color w:val="000000" w:themeColor="text1"/>
                            <w14:textFill>
                              <w14:solidFill>
                                <w14:schemeClr w14:val="tx1"/>
                              </w14:solidFill>
                            </w14:textFill>
                          </w:rPr>
                          <m:t>n</m:t>
                        </m:r>
                        <m:ctrlPr>
                          <w:rPr>
                            <w:rFonts w:ascii="Cambria Math" w:hAnsi="Cambria Math"/>
                            <w:color w:val="000000" w:themeColor="text1"/>
                            <w14:textFill>
                              <w14:solidFill>
                                <w14:schemeClr w14:val="tx1"/>
                              </w14:solidFill>
                            </w14:textFill>
                          </w:rPr>
                        </m:ctrlPr>
                      </m:den>
                    </m:f>
                    <m:ctrlPr>
                      <w:rPr>
                        <w:rFonts w:ascii="Cambria Math" w:hAnsi="Cambria Math"/>
                        <w:color w:val="000000" w:themeColor="text1"/>
                        <w14:textFill>
                          <w14:solidFill>
                            <w14:schemeClr w14:val="tx1"/>
                          </w14:solidFill>
                        </w14:textFill>
                      </w:rPr>
                    </m:ctrlPr>
                  </m:e>
                </m:box>
                <m:nary>
                  <m:naryPr>
                    <m:chr m:val="∑"/>
                    <m:limLoc m:val="undOvr"/>
                    <m:subHide m:val="1"/>
                    <m:supHide m:val="1"/>
                    <m:ctrlPr>
                      <w:rPr>
                        <w:rFonts w:ascii="Cambria Math" w:hAnsi="Cambria Math"/>
                        <w:color w:val="000000" w:themeColor="text1"/>
                        <w14:textFill>
                          <w14:solidFill>
                            <w14:schemeClr w14:val="tx1"/>
                          </w14:solidFill>
                        </w14:textFill>
                      </w:rPr>
                    </m:ctrlPr>
                  </m:naryPr>
                  <m:sub>
                    <m:ctrlPr>
                      <w:rPr>
                        <w:rFonts w:ascii="Cambria Math" w:hAnsi="Cambria Math"/>
                        <w:color w:val="000000" w:themeColor="text1"/>
                        <w14:textFill>
                          <w14:solidFill>
                            <w14:schemeClr w14:val="tx1"/>
                          </w14:solidFill>
                        </w14:textFill>
                      </w:rPr>
                    </m:ctrlPr>
                  </m:sub>
                  <m:sup>
                    <m:ctrlPr>
                      <w:rPr>
                        <w:rFonts w:ascii="Cambria Math" w:hAnsi="Cambria Math"/>
                        <w:color w:val="000000" w:themeColor="text1"/>
                        <w14:textFill>
                          <w14:solidFill>
                            <w14:schemeClr w14:val="tx1"/>
                          </w14:solidFill>
                        </w14:textFill>
                      </w:rPr>
                    </m:ctrlPr>
                  </m:sup>
                  <m:e>
                    <m:m>
                      <m:mPr>
                        <m:mcs>
                          <m:mc>
                            <m:mcPr>
                              <m:count m:val="1"/>
                              <m:mcJc m:val="center"/>
                            </m:mcPr>
                          </m:mc>
                        </m:mcs>
                        <m:ctrlPr>
                          <w:rPr>
                            <w:rFonts w:ascii="Cambria Math" w:hAnsi="Cambria Math"/>
                            <w:color w:val="000000" w:themeColor="text1"/>
                            <w14:textFill>
                              <w14:solidFill>
                                <w14:schemeClr w14:val="tx1"/>
                              </w14:solidFill>
                            </w14:textFill>
                          </w:rPr>
                        </m:ctrlPr>
                      </m:mPr>
                      <m:mr>
                        <m:e>
                          <m:r>
                            <m:rPr>
                              <m:sty m:val="bi"/>
                            </m:rPr>
                            <w:rPr>
                              <w:rFonts w:ascii="Cambria Math" w:hAnsi="Cambria Math"/>
                              <w:color w:val="000000" w:themeColor="text1"/>
                              <w14:textFill>
                                <w14:solidFill>
                                  <w14:schemeClr w14:val="tx1"/>
                                </w14:solidFill>
                              </w14:textFill>
                            </w:rPr>
                            <m:t>n</m:t>
                          </m:r>
                          <m:ctrlPr>
                            <w:rPr>
                              <w:rFonts w:ascii="Cambria Math" w:hAnsi="Cambria Math"/>
                              <w:color w:val="000000" w:themeColor="text1"/>
                              <w14:textFill>
                                <w14:solidFill>
                                  <w14:schemeClr w14:val="tx1"/>
                                </w14:solidFill>
                              </w14:textFill>
                            </w:rPr>
                          </m:ctrlPr>
                        </m:e>
                      </m:mr>
                      <m:mr>
                        <m:e>
                          <m:r>
                            <m:rPr>
                              <m:sty m:val="bi"/>
                            </m:rPr>
                            <w:rPr>
                              <w:rFonts w:ascii="Cambria Math" w:hAnsi="Cambria Math"/>
                              <w:color w:val="000000" w:themeColor="text1"/>
                              <w14:textFill>
                                <w14:solidFill>
                                  <w14:schemeClr w14:val="tx1"/>
                                </w14:solidFill>
                              </w14:textFill>
                            </w:rPr>
                            <m:t>j</m:t>
                          </m:r>
                          <m:r>
                            <m:rPr>
                              <m:sty m:val="p"/>
                            </m:rPr>
                            <w:rPr>
                              <w:rFonts w:ascii="Cambria Math" w:hAnsi="Cambria Math"/>
                              <w:color w:val="000000" w:themeColor="text1"/>
                              <w14:textFill>
                                <w14:solidFill>
                                  <w14:schemeClr w14:val="tx1"/>
                                </w14:solidFill>
                              </w14:textFill>
                            </w:rPr>
                            <m:t>=</m:t>
                          </m:r>
                          <m:r>
                            <m:rPr>
                              <m:sty m:val="b"/>
                            </m:rPr>
                            <w:rPr>
                              <w:rFonts w:ascii="Cambria Math" w:hAnsi="Cambria Math"/>
                              <w:color w:val="000000" w:themeColor="text1"/>
                              <w14:textFill>
                                <w14:solidFill>
                                  <w14:schemeClr w14:val="tx1"/>
                                </w14:solidFill>
                              </w14:textFill>
                            </w:rPr>
                            <m:t>1</m:t>
                          </m:r>
                          <m:ctrlPr>
                            <w:rPr>
                              <w:rFonts w:ascii="Cambria Math" w:hAnsi="Cambria Math"/>
                              <w:color w:val="000000" w:themeColor="text1"/>
                              <w14:textFill>
                                <w14:solidFill>
                                  <w14:schemeClr w14:val="tx1"/>
                                </w14:solidFill>
                              </w14:textFill>
                            </w:rPr>
                          </m:ctrlPr>
                        </m:e>
                      </m:mr>
                    </m:m>
                    <m:sSub>
                      <m:sSubPr>
                        <m:ctrlPr>
                          <w:rPr>
                            <w:rFonts w:ascii="Cambria Math" w:hAnsi="Cambria Math"/>
                            <w:color w:val="000000" w:themeColor="text1"/>
                            <w14:textFill>
                              <w14:solidFill>
                                <w14:schemeClr w14:val="tx1"/>
                              </w14:solidFill>
                            </w14:textFill>
                          </w:rPr>
                        </m:ctrlPr>
                      </m:sSubPr>
                      <m:e>
                        <m:r>
                          <m:rPr>
                            <m:sty m:val="bi"/>
                          </m:rPr>
                          <w:rPr>
                            <w:rFonts w:ascii="Cambria Math" w:hAnsi="Cambria Math"/>
                            <w:color w:val="000000" w:themeColor="text1"/>
                            <w14:textFill>
                              <w14:solidFill>
                                <w14:schemeClr w14:val="tx1"/>
                              </w14:solidFill>
                            </w14:textFill>
                          </w:rPr>
                          <m:t>C</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现状</m:t>
                        </m:r>
                        <m:d>
                          <m:dPr>
                            <m:begChr m:val="（"/>
                            <m:endChr m:val="）"/>
                            <m:ctrlPr>
                              <w:rPr>
                                <w:rFonts w:ascii="Cambria Math" w:hAnsi="Cambria Math"/>
                                <w:color w:val="000000" w:themeColor="text1"/>
                                <w14:textFill>
                                  <w14:solidFill>
                                    <w14:schemeClr w14:val="tx1"/>
                                  </w14:solidFill>
                                </w14:textFill>
                              </w:rPr>
                            </m:ctrlPr>
                          </m:dPr>
                          <m:e>
                            <m:r>
                              <m:rPr>
                                <m:sty m:val="bi"/>
                              </m:rPr>
                              <w:rPr>
                                <w:rFonts w:ascii="Cambria Math" w:hAnsi="Cambria Math"/>
                                <w:color w:val="000000" w:themeColor="text1"/>
                                <w14:textFill>
                                  <w14:solidFill>
                                    <w14:schemeClr w14:val="tx1"/>
                                  </w14:solidFill>
                                </w14:textFill>
                              </w:rPr>
                              <m:t>j</m:t>
                            </m:r>
                            <m:r>
                              <m:rPr>
                                <m:sty m:val="p"/>
                              </m:rPr>
                              <w:rPr>
                                <w:rFonts w:ascii="Cambria Math" w:hAnsi="Cambria Math"/>
                                <w:color w:val="000000" w:themeColor="text1"/>
                                <w14:textFill>
                                  <w14:solidFill>
                                    <w14:schemeClr w14:val="tx1"/>
                                  </w14:solidFill>
                                </w14:textFill>
                              </w:rPr>
                              <m:t>,</m:t>
                            </m:r>
                            <m:r>
                              <m:rPr>
                                <m:sty m:val="bi"/>
                              </m:rPr>
                              <w:rPr>
                                <w:rFonts w:ascii="Cambria Math" w:hAnsi="Cambria Math"/>
                                <w:color w:val="000000" w:themeColor="text1"/>
                                <w14:textFill>
                                  <w14:solidFill>
                                    <w14:schemeClr w14:val="tx1"/>
                                  </w14:solidFill>
                                </w14:textFill>
                              </w:rPr>
                              <m:t>t</m:t>
                            </m:r>
                            <m:ctrlPr>
                              <w:rPr>
                                <w:rFonts w:ascii="Cambria Math" w:hAnsi="Cambria Math"/>
                                <w:color w:val="000000" w:themeColor="text1"/>
                                <w14:textFill>
                                  <w14:solidFill>
                                    <w14:schemeClr w14:val="tx1"/>
                                  </w14:solidFill>
                                </w14:textFill>
                              </w:rPr>
                            </m:ctrlPr>
                          </m:e>
                        </m:d>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e>
                </m:nary>
              </m:oMath>
            </m:oMathPara>
          </w:p>
          <w:p>
            <w:pPr>
              <w:pStyle w:val="54"/>
              <w:ind w:firstLine="480"/>
              <w:rPr>
                <w:color w:val="000000" w:themeColor="text1"/>
                <w14:textFill>
                  <w14:solidFill>
                    <w14:schemeClr w14:val="tx1"/>
                  </w14:solidFill>
                </w14:textFill>
              </w:rPr>
            </w:pPr>
            <w:r>
              <w:rPr>
                <w:color w:val="000000" w:themeColor="text1"/>
                <w:lang w:val="zh-CN"/>
                <w14:textFill>
                  <w14:solidFill>
                    <w14:schemeClr w14:val="tx1"/>
                  </w14:solidFill>
                </w14:textFill>
              </w:rPr>
              <w:t>式中：C</w:t>
            </w:r>
            <w:r>
              <w:rPr>
                <w:color w:val="000000" w:themeColor="text1"/>
                <w:vertAlign w:val="subscript"/>
                <w:lang w:val="zh-CN"/>
                <w14:textFill>
                  <w14:solidFill>
                    <w14:schemeClr w14:val="tx1"/>
                  </w14:solidFill>
                </w14:textFill>
              </w:rPr>
              <w:t>现状（x，y，t）</w:t>
            </w:r>
            <w:r>
              <w:rPr>
                <w:color w:val="000000" w:themeColor="text1"/>
                <w:lang w:val="zh-CN"/>
                <w14:textFill>
                  <w14:solidFill>
                    <w14:schemeClr w14:val="tx1"/>
                  </w14:solidFill>
                </w14:textFill>
              </w:rPr>
              <w:t>——环境空气保护目标及网格点（x，y）在t时刻环境质量现状浓度，</w:t>
            </w:r>
            <w:r>
              <w:rPr>
                <w:color w:val="000000" w:themeColor="text1"/>
                <w14:textFill>
                  <w14:solidFill>
                    <w14:schemeClr w14:val="tx1"/>
                  </w14:solidFill>
                </w14:textFill>
              </w:rPr>
              <w:t>µg/m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      C</w:t>
            </w:r>
            <w:r>
              <w:rPr>
                <w:color w:val="000000" w:themeColor="text1"/>
                <w:vertAlign w:val="subscript"/>
                <w:lang w:val="zh-CN"/>
                <w14:textFill>
                  <w14:solidFill>
                    <w14:schemeClr w14:val="tx1"/>
                  </w14:solidFill>
                </w14:textFill>
              </w:rPr>
              <w:t>现状（j，t）</w:t>
            </w:r>
            <w:r>
              <w:rPr>
                <w:color w:val="000000" w:themeColor="text1"/>
                <w:lang w:val="zh-CN"/>
                <w14:textFill>
                  <w14:solidFill>
                    <w14:schemeClr w14:val="tx1"/>
                  </w14:solidFill>
                </w14:textFill>
              </w:rPr>
              <w:t>——第j个监测点位在t时刻环境质量现状浓度（包括短期浓度和长期浓度），</w:t>
            </w:r>
            <w:r>
              <w:rPr>
                <w:color w:val="000000" w:themeColor="text1"/>
                <w14:textFill>
                  <w14:solidFill>
                    <w14:schemeClr w14:val="tx1"/>
                  </w14:solidFill>
                </w14:textFill>
              </w:rPr>
              <w:t>µg/m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      n——长期监测点位数。</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百分位数按照《环境空气质量评价技术规范（试行）》（HJ663-2013）中的统计方法对各污染物的年评价指标进行环境质量现状评价。</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污染物浓度序列的第p百分位数计算方法如下：</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将污染物浓度序列按数值从小到大排序，排序后的浓度序列为化，i=1，2，--n}。</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计算第p百分位数m</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的序数k，序数k按式(A.3)计算：</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               k=1+（n-1）•p%                           （A.3）</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式中：</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k一p%位置对应的序数。</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N—污染物浓度序列中的浓度值数量。</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t>第p百分位数m</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按式（A.4）计算：</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               m</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=X</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+（X</w:t>
            </w:r>
            <w:r>
              <w:rPr>
                <w:color w:val="000000" w:themeColor="text1"/>
                <w:vertAlign w:val="subscript"/>
                <w14:textFill>
                  <w14:solidFill>
                    <w14:schemeClr w14:val="tx1"/>
                  </w14:solidFill>
                </w14:textFill>
              </w:rPr>
              <w:t>（s+1）</w:t>
            </w:r>
            <w:r>
              <w:rPr>
                <w:color w:val="000000" w:themeColor="text1"/>
                <w14:textFill>
                  <w14:solidFill>
                    <w14:schemeClr w14:val="tx1"/>
                  </w14:solidFill>
                </w14:textFill>
              </w:rPr>
              <w:t>-X</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）*（k-s）              (A.4)</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式中：</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s一k的整数部分，当k为整数时s与k相等。</w:t>
            </w:r>
          </w:p>
          <w:p>
            <w:pPr>
              <w:pStyle w:val="54"/>
              <w:ind w:firstLine="480"/>
              <w:rPr>
                <w:color w:val="000000" w:themeColor="text1"/>
                <w:kern w:val="0"/>
                <w14:textFill>
                  <w14:solidFill>
                    <w14:schemeClr w14:val="tx1"/>
                  </w14:solidFill>
                </w14:textFill>
              </w:rPr>
            </w:pPr>
            <w:r>
              <w:rPr>
                <w:color w:val="000000" w:themeColor="text1"/>
                <w:kern w:val="0"/>
                <w14:textFill>
                  <w14:solidFill>
                    <w14:schemeClr w14:val="tx1"/>
                  </w14:solidFill>
                </w14:textFill>
              </w:rPr>
              <w:t>（3）监测结果及评价</w:t>
            </w:r>
          </w:p>
          <w:p>
            <w:pPr>
              <w:pStyle w:val="54"/>
              <w:ind w:firstLine="480"/>
              <w:rPr>
                <w:color w:val="000000" w:themeColor="text1"/>
                <w:kern w:val="0"/>
                <w14:textFill>
                  <w14:solidFill>
                    <w14:schemeClr w14:val="tx1"/>
                  </w14:solidFill>
                </w14:textFill>
              </w:rPr>
            </w:pPr>
            <w:r>
              <w:rPr>
                <w:color w:val="000000" w:themeColor="text1"/>
                <w:kern w:val="0"/>
                <w14:textFill>
                  <w14:solidFill>
                    <w14:schemeClr w14:val="tx1"/>
                  </w14:solidFill>
                </w14:textFill>
              </w:rPr>
              <w:t>本次基本污染物现状监测结果见表3-4。</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表3-4  基本污染物环境质量现状</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57"/>
              <w:gridCol w:w="2641"/>
              <w:gridCol w:w="1276"/>
              <w:gridCol w:w="1276"/>
              <w:gridCol w:w="990"/>
              <w:gridCol w:w="851"/>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41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污染物</w:t>
                  </w:r>
                </w:p>
              </w:tc>
              <w:tc>
                <w:tcPr>
                  <w:tcW w:w="144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年评价指标</w:t>
                  </w:r>
                </w:p>
              </w:tc>
              <w:tc>
                <w:tcPr>
                  <w:tcW w:w="69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现状浓度（µg/m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c>
                <w:tcPr>
                  <w:tcW w:w="69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标准值（µg/m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c>
                <w:tcPr>
                  <w:tcW w:w="54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占标率%</w:t>
                  </w:r>
                </w:p>
              </w:tc>
              <w:tc>
                <w:tcPr>
                  <w:tcW w:w="46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超标率%</w:t>
                  </w:r>
                </w:p>
              </w:tc>
              <w:tc>
                <w:tcPr>
                  <w:tcW w:w="752"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41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p>
              </w:tc>
              <w:tc>
                <w:tcPr>
                  <w:tcW w:w="1440"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年平均质量浓度</w:t>
                  </w:r>
                </w:p>
              </w:tc>
              <w:tc>
                <w:tcPr>
                  <w:tcW w:w="696"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11</w:t>
                  </w:r>
                </w:p>
              </w:tc>
              <w:tc>
                <w:tcPr>
                  <w:tcW w:w="696"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60</w:t>
                  </w:r>
                </w:p>
              </w:tc>
              <w:tc>
                <w:tcPr>
                  <w:tcW w:w="540"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18.33</w:t>
                  </w:r>
                </w:p>
              </w:tc>
              <w:tc>
                <w:tcPr>
                  <w:tcW w:w="464"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0</w:t>
                  </w:r>
                </w:p>
              </w:tc>
              <w:tc>
                <w:tcPr>
                  <w:tcW w:w="752"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p>
              </w:tc>
              <w:tc>
                <w:tcPr>
                  <w:tcW w:w="1440"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年</w:t>
                  </w:r>
                  <w:r>
                    <w:rPr>
                      <w:rFonts w:hint="eastAsia"/>
                      <w:bCs/>
                      <w:color w:val="000000" w:themeColor="text1"/>
                      <w14:textFill>
                        <w14:solidFill>
                          <w14:schemeClr w14:val="tx1"/>
                        </w14:solidFill>
                      </w14:textFill>
                    </w:rPr>
                    <w:t>平</w:t>
                  </w:r>
                  <w:r>
                    <w:rPr>
                      <w:bCs/>
                      <w:color w:val="000000" w:themeColor="text1"/>
                      <w14:textFill>
                        <w14:solidFill>
                          <w14:schemeClr w14:val="tx1"/>
                        </w14:solidFill>
                      </w14:textFill>
                    </w:rPr>
                    <w:t>均质量浓度</w:t>
                  </w:r>
                </w:p>
              </w:tc>
              <w:tc>
                <w:tcPr>
                  <w:tcW w:w="696"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11</w:t>
                  </w:r>
                </w:p>
              </w:tc>
              <w:tc>
                <w:tcPr>
                  <w:tcW w:w="696"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40</w:t>
                  </w:r>
                </w:p>
              </w:tc>
              <w:tc>
                <w:tcPr>
                  <w:tcW w:w="540"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27.50</w:t>
                  </w:r>
                </w:p>
              </w:tc>
              <w:tc>
                <w:tcPr>
                  <w:tcW w:w="464"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0</w:t>
                  </w:r>
                </w:p>
              </w:tc>
              <w:tc>
                <w:tcPr>
                  <w:tcW w:w="752"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41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CO</w:t>
                  </w:r>
                </w:p>
              </w:tc>
              <w:tc>
                <w:tcPr>
                  <w:tcW w:w="144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百分位数日平均质量浓度</w:t>
                  </w:r>
                </w:p>
              </w:tc>
              <w:tc>
                <w:tcPr>
                  <w:tcW w:w="69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1500</w:t>
                  </w:r>
                </w:p>
              </w:tc>
              <w:tc>
                <w:tcPr>
                  <w:tcW w:w="69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4000</w:t>
                  </w:r>
                </w:p>
              </w:tc>
              <w:tc>
                <w:tcPr>
                  <w:tcW w:w="54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37.50</w:t>
                  </w:r>
                </w:p>
              </w:tc>
              <w:tc>
                <w:tcPr>
                  <w:tcW w:w="464"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0</w:t>
                  </w:r>
                </w:p>
              </w:tc>
              <w:tc>
                <w:tcPr>
                  <w:tcW w:w="752" w:type="pct"/>
                  <w:vAlign w:val="center"/>
                </w:tcPr>
                <w:p>
                  <w:pPr>
                    <w:pStyle w:val="79"/>
                    <w:rPr>
                      <w:color w:val="000000" w:themeColor="text1"/>
                      <w14:textFill>
                        <w14:solidFill>
                          <w14:schemeClr w14:val="tx1"/>
                        </w14:solidFill>
                      </w14:textFill>
                    </w:rPr>
                  </w:pPr>
                  <w:r>
                    <w:rPr>
                      <w:bCs/>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41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3</w:t>
                  </w:r>
                </w:p>
              </w:tc>
              <w:tc>
                <w:tcPr>
                  <w:tcW w:w="144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百分位数8h平均质量浓度</w:t>
                  </w:r>
                </w:p>
              </w:tc>
              <w:tc>
                <w:tcPr>
                  <w:tcW w:w="69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128</w:t>
                  </w:r>
                </w:p>
              </w:tc>
              <w:tc>
                <w:tcPr>
                  <w:tcW w:w="69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160</w:t>
                  </w:r>
                </w:p>
              </w:tc>
              <w:tc>
                <w:tcPr>
                  <w:tcW w:w="54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80.00</w:t>
                  </w:r>
                </w:p>
              </w:tc>
              <w:tc>
                <w:tcPr>
                  <w:tcW w:w="464"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0</w:t>
                  </w:r>
                </w:p>
              </w:tc>
              <w:tc>
                <w:tcPr>
                  <w:tcW w:w="752" w:type="pct"/>
                  <w:vAlign w:val="center"/>
                </w:tcPr>
                <w:p>
                  <w:pPr>
                    <w:pStyle w:val="79"/>
                    <w:rPr>
                      <w:color w:val="000000" w:themeColor="text1"/>
                      <w14:textFill>
                        <w14:solidFill>
                          <w14:schemeClr w14:val="tx1"/>
                        </w14:solidFill>
                      </w14:textFill>
                    </w:rPr>
                  </w:pPr>
                  <w:r>
                    <w:rPr>
                      <w:bCs/>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3" w:type="pct"/>
                  <w:vAlign w:val="center"/>
                </w:tcPr>
                <w:p>
                  <w:pPr>
                    <w:pStyle w:val="79"/>
                    <w:rPr>
                      <w:color w:val="000000" w:themeColor="text1"/>
                      <w:vertAlign w:val="subscript"/>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p>
              </w:tc>
              <w:tc>
                <w:tcPr>
                  <w:tcW w:w="1440" w:type="pct"/>
                  <w:vAlign w:val="center"/>
                </w:tcPr>
                <w:p>
                  <w:pPr>
                    <w:pStyle w:val="79"/>
                    <w:rPr>
                      <w:color w:val="000000" w:themeColor="text1"/>
                      <w14:textFill>
                        <w14:solidFill>
                          <w14:schemeClr w14:val="tx1"/>
                        </w14:solidFill>
                      </w14:textFill>
                    </w:rPr>
                  </w:pPr>
                  <w:r>
                    <w:rPr>
                      <w:bCs/>
                      <w:color w:val="000000" w:themeColor="text1"/>
                      <w14:textFill>
                        <w14:solidFill>
                          <w14:schemeClr w14:val="tx1"/>
                        </w14:solidFill>
                      </w14:textFill>
                    </w:rPr>
                    <w:t>年平均质量浓度</w:t>
                  </w:r>
                </w:p>
              </w:tc>
              <w:tc>
                <w:tcPr>
                  <w:tcW w:w="69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69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70</w:t>
                  </w:r>
                </w:p>
              </w:tc>
              <w:tc>
                <w:tcPr>
                  <w:tcW w:w="54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82.86</w:t>
                  </w:r>
                </w:p>
              </w:tc>
              <w:tc>
                <w:tcPr>
                  <w:tcW w:w="464" w:type="pct"/>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0</w:t>
                  </w:r>
                </w:p>
              </w:tc>
              <w:tc>
                <w:tcPr>
                  <w:tcW w:w="752" w:type="pct"/>
                  <w:vAlign w:val="center"/>
                </w:tcPr>
                <w:p>
                  <w:pPr>
                    <w:pStyle w:val="79"/>
                    <w:rPr>
                      <w:color w:val="000000" w:themeColor="text1"/>
                      <w14:textFill>
                        <w14:solidFill>
                          <w14:schemeClr w14:val="tx1"/>
                        </w14:solidFill>
                      </w14:textFill>
                    </w:rPr>
                  </w:pPr>
                  <w:r>
                    <w:rPr>
                      <w:bCs/>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413" w:type="pct"/>
                  <w:vAlign w:val="center"/>
                </w:tcPr>
                <w:p>
                  <w:pPr>
                    <w:pStyle w:val="79"/>
                    <w:rPr>
                      <w:color w:val="000000" w:themeColor="text1"/>
                      <w:vertAlign w:val="subscript"/>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p>
              </w:tc>
              <w:tc>
                <w:tcPr>
                  <w:tcW w:w="1440" w:type="pct"/>
                  <w:vAlign w:val="center"/>
                </w:tcPr>
                <w:p>
                  <w:pPr>
                    <w:pStyle w:val="79"/>
                    <w:rPr>
                      <w:color w:val="000000" w:themeColor="text1"/>
                      <w:vertAlign w:val="subscript"/>
                      <w14:textFill>
                        <w14:solidFill>
                          <w14:schemeClr w14:val="tx1"/>
                        </w14:solidFill>
                      </w14:textFill>
                    </w:rPr>
                  </w:pPr>
                  <w:r>
                    <w:rPr>
                      <w:bCs/>
                      <w:color w:val="000000" w:themeColor="text1"/>
                      <w14:textFill>
                        <w14:solidFill>
                          <w14:schemeClr w14:val="tx1"/>
                        </w14:solidFill>
                      </w14:textFill>
                    </w:rPr>
                    <w:t>年平均质量浓度</w:t>
                  </w:r>
                </w:p>
              </w:tc>
              <w:tc>
                <w:tcPr>
                  <w:tcW w:w="69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35</w:t>
                  </w:r>
                </w:p>
              </w:tc>
              <w:tc>
                <w:tcPr>
                  <w:tcW w:w="69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35</w:t>
                  </w:r>
                </w:p>
              </w:tc>
              <w:tc>
                <w:tcPr>
                  <w:tcW w:w="54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100.00</w:t>
                  </w:r>
                </w:p>
              </w:tc>
              <w:tc>
                <w:tcPr>
                  <w:tcW w:w="46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w:t>
                  </w:r>
                </w:p>
              </w:tc>
              <w:tc>
                <w:tcPr>
                  <w:tcW w:w="752"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达标</w:t>
                  </w:r>
                </w:p>
              </w:tc>
            </w:tr>
          </w:tbl>
          <w:p>
            <w:pPr>
              <w:pStyle w:val="54"/>
              <w:spacing w:before="156" w:beforeLines="50"/>
              <w:ind w:firstLine="480"/>
              <w:rPr>
                <w:color w:val="000000" w:themeColor="text1"/>
                <w14:textFill>
                  <w14:solidFill>
                    <w14:schemeClr w14:val="tx1"/>
                  </w14:solidFill>
                </w14:textFill>
              </w:rPr>
            </w:pPr>
            <w:r>
              <w:rPr>
                <w:color w:val="000000" w:themeColor="text1"/>
                <w14:textFill>
                  <w14:solidFill>
                    <w14:schemeClr w14:val="tx1"/>
                  </w14:solidFill>
                </w14:textFill>
              </w:rPr>
              <w:t>由上表可知，SO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年平均质量浓度，CO百分位数日平均质量浓度、O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百分位数8h平均质量浓度均未超出《环境空气质量标准》（GB3095-2012）二级标准。</w:t>
            </w:r>
          </w:p>
          <w:p>
            <w:pPr>
              <w:pStyle w:val="5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3、特征污染物环境质量现状评价</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了解本项目所在地大气环境质量现状，本次评价特征监测因子非甲烷总烃收集了《祁东县粤新汽车销售服务有限公司环境影响报告表》中的监测数据，该监测数据监测时间为2019年7月23-29日，为近三年监测数据，且布设的监测点位位于本项目大气环境影响评价范围内，可以引用。</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①监测因子：非甲烷总烃。</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②监测点位：G1项目东南侧主导下风向50m；</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③监测时间和频次：2019年7月23-29日连续7天，非甲烷总烃监测小时均值；</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④评价标准：非甲烷总烃参照执行《大气污染物综合排放标准详解》中的一次值取值。</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⑤监测结果与评价：大气环境现状监测及评价结果见表3-5。</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表3-5 现状监测数据统计结果及评价表</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8"/>
              <w:gridCol w:w="754"/>
              <w:gridCol w:w="882"/>
              <w:gridCol w:w="1876"/>
              <w:gridCol w:w="7"/>
              <w:gridCol w:w="1034"/>
              <w:gridCol w:w="7"/>
              <w:gridCol w:w="1040"/>
              <w:gridCol w:w="7"/>
              <w:gridCol w:w="996"/>
              <w:gridCol w:w="1010"/>
              <w:gridCol w:w="8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8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监测点位</w:t>
                  </w:r>
                </w:p>
              </w:tc>
              <w:tc>
                <w:tcPr>
                  <w:tcW w:w="41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污染物</w:t>
                  </w:r>
                </w:p>
              </w:tc>
              <w:tc>
                <w:tcPr>
                  <w:tcW w:w="481" w:type="pct"/>
                  <w:vAlign w:val="center"/>
                </w:tcPr>
                <w:p>
                  <w:pPr>
                    <w:pStyle w:val="79"/>
                    <w:rPr>
                      <w:color w:val="000000" w:themeColor="text1"/>
                      <w14:textFill>
                        <w14:solidFill>
                          <w14:schemeClr w14:val="tx1"/>
                        </w14:solidFill>
                      </w14:textFill>
                    </w:rPr>
                  </w:pPr>
                  <w:r>
                    <w:rPr>
                      <w:rFonts w:hint="eastAsia"/>
                      <w:color w:val="000000" w:themeColor="text1"/>
                      <w:position w:val="-2"/>
                      <w14:textFill>
                        <w14:solidFill>
                          <w14:schemeClr w14:val="tx1"/>
                        </w14:solidFill>
                      </w14:textFill>
                    </w:rPr>
                    <w:t>监测</w:t>
                  </w:r>
                  <w:r>
                    <w:rPr>
                      <w:rFonts w:hint="eastAsia"/>
                      <w:color w:val="000000" w:themeColor="text1"/>
                      <w:spacing w:val="-2"/>
                      <w:position w:val="-2"/>
                      <w14:textFill>
                        <w14:solidFill>
                          <w14:schemeClr w14:val="tx1"/>
                        </w14:solidFill>
                      </w14:textFill>
                    </w:rPr>
                    <w:t>时间</w:t>
                  </w:r>
                </w:p>
              </w:tc>
              <w:tc>
                <w:tcPr>
                  <w:tcW w:w="1023" w:type="pct"/>
                  <w:vAlign w:val="center"/>
                </w:tcPr>
                <w:p>
                  <w:pPr>
                    <w:pStyle w:val="79"/>
                    <w:rPr>
                      <w:color w:val="000000" w:themeColor="text1"/>
                      <w:position w:val="-2"/>
                      <w14:textFill>
                        <w14:solidFill>
                          <w14:schemeClr w14:val="tx1"/>
                        </w14:solidFill>
                      </w14:textFill>
                    </w:rPr>
                  </w:pPr>
                  <w:r>
                    <w:rPr>
                      <w:rFonts w:hint="eastAsia"/>
                      <w:color w:val="000000" w:themeColor="text1"/>
                      <w:position w:val="-2"/>
                      <w14:textFill>
                        <w14:solidFill>
                          <w14:schemeClr w14:val="tx1"/>
                        </w14:solidFill>
                      </w14:textFill>
                    </w:rPr>
                    <w:t>浓度</w:t>
                  </w:r>
                  <w:r>
                    <w:rPr>
                      <w:rFonts w:hint="eastAsia"/>
                      <w:color w:val="000000" w:themeColor="text1"/>
                      <w:spacing w:val="-2"/>
                      <w:position w:val="-2"/>
                      <w14:textFill>
                        <w14:solidFill>
                          <w14:schemeClr w14:val="tx1"/>
                        </w14:solidFill>
                      </w14:textFill>
                    </w:rPr>
                    <w:t>范</w:t>
                  </w:r>
                  <w:r>
                    <w:rPr>
                      <w:rFonts w:hint="eastAsia"/>
                      <w:color w:val="000000" w:themeColor="text1"/>
                      <w:position w:val="-2"/>
                      <w14:textFill>
                        <w14:solidFill>
                          <w14:schemeClr w14:val="tx1"/>
                        </w14:solidFill>
                      </w14:textFill>
                    </w:rPr>
                    <w:t>围</w:t>
                  </w:r>
                </w:p>
                <w:p>
                  <w:pPr>
                    <w:pStyle w:val="79"/>
                    <w:rPr>
                      <w:color w:val="000000" w:themeColor="text1"/>
                      <w14:textFill>
                        <w14:solidFill>
                          <w14:schemeClr w14:val="tx1"/>
                        </w14:solidFill>
                      </w14:textFill>
                    </w:rPr>
                  </w:pPr>
                  <w:r>
                    <w:rPr>
                      <w:rFonts w:hint="eastAsia"/>
                      <w:color w:val="000000" w:themeColor="text1"/>
                      <w:position w:val="-2"/>
                      <w14:textFill>
                        <w14:solidFill>
                          <w14:schemeClr w14:val="tx1"/>
                        </w14:solidFill>
                      </w14:textFill>
                    </w:rPr>
                    <w:t>(</w:t>
                  </w:r>
                  <w:r>
                    <w:rPr>
                      <w:rFonts w:hint="eastAsia"/>
                      <w:bCs/>
                      <w:color w:val="000000" w:themeColor="text1"/>
                      <w:position w:val="-2"/>
                      <w14:textFill>
                        <w14:solidFill>
                          <w14:schemeClr w14:val="tx1"/>
                        </w14:solidFill>
                      </w14:textFill>
                    </w:rPr>
                    <w:t>mg</w:t>
                  </w:r>
                  <w:r>
                    <w:rPr>
                      <w:rFonts w:hint="eastAsia"/>
                      <w:bCs/>
                      <w:color w:val="000000" w:themeColor="text1"/>
                      <w:spacing w:val="-1"/>
                      <w:position w:val="-2"/>
                      <w14:textFill>
                        <w14:solidFill>
                          <w14:schemeClr w14:val="tx1"/>
                        </w14:solidFill>
                      </w14:textFill>
                    </w:rPr>
                    <w:t>/</w:t>
                  </w:r>
                  <w:r>
                    <w:rPr>
                      <w:rFonts w:hint="eastAsia"/>
                      <w:bCs/>
                      <w:color w:val="000000" w:themeColor="text1"/>
                      <w:spacing w:val="-3"/>
                      <w:position w:val="-2"/>
                      <w14:textFill>
                        <w14:solidFill>
                          <w14:schemeClr w14:val="tx1"/>
                        </w14:solidFill>
                      </w14:textFill>
                    </w:rPr>
                    <w:t>m</w:t>
                  </w:r>
                  <w:r>
                    <w:rPr>
                      <w:rFonts w:hint="eastAsia"/>
                      <w:bCs/>
                      <w:color w:val="000000" w:themeColor="text1"/>
                      <w:spacing w:val="-3"/>
                      <w:position w:val="-2"/>
                      <w:vertAlign w:val="superscript"/>
                      <w14:textFill>
                        <w14:solidFill>
                          <w14:schemeClr w14:val="tx1"/>
                        </w14:solidFill>
                      </w14:textFill>
                    </w:rPr>
                    <w:t>3</w:t>
                  </w:r>
                  <w:r>
                    <w:rPr>
                      <w:rFonts w:hint="eastAsia"/>
                      <w:color w:val="000000" w:themeColor="text1"/>
                      <w:position w:val="-2"/>
                      <w14:textFill>
                        <w14:solidFill>
                          <w14:schemeClr w14:val="tx1"/>
                        </w14:solidFill>
                      </w14:textFill>
                    </w:rPr>
                    <w:t>)</w:t>
                  </w:r>
                </w:p>
              </w:tc>
              <w:tc>
                <w:tcPr>
                  <w:tcW w:w="568" w:type="pct"/>
                  <w:gridSpan w:val="2"/>
                  <w:vAlign w:val="center"/>
                </w:tcPr>
                <w:p>
                  <w:pPr>
                    <w:pStyle w:val="79"/>
                    <w:rPr>
                      <w:color w:val="000000" w:themeColor="text1"/>
                      <w:position w:val="-1"/>
                      <w14:textFill>
                        <w14:solidFill>
                          <w14:schemeClr w14:val="tx1"/>
                        </w14:solidFill>
                      </w14:textFill>
                    </w:rPr>
                  </w:pPr>
                  <w:r>
                    <w:rPr>
                      <w:rFonts w:hint="eastAsia"/>
                      <w:color w:val="000000" w:themeColor="text1"/>
                      <w:position w:val="-1"/>
                      <w14:textFill>
                        <w14:solidFill>
                          <w14:schemeClr w14:val="tx1"/>
                        </w14:solidFill>
                      </w14:textFill>
                    </w:rPr>
                    <w:t>平均值</w:t>
                  </w:r>
                  <w:r>
                    <w:rPr>
                      <w:rFonts w:hint="eastAsia"/>
                      <w:color w:val="000000" w:themeColor="text1"/>
                      <w:position w:val="-2"/>
                      <w14:textFill>
                        <w14:solidFill>
                          <w14:schemeClr w14:val="tx1"/>
                        </w14:solidFill>
                      </w14:textFill>
                    </w:rPr>
                    <w:t>(</w:t>
                  </w:r>
                  <w:r>
                    <w:rPr>
                      <w:rFonts w:hint="eastAsia"/>
                      <w:bCs/>
                      <w:color w:val="000000" w:themeColor="text1"/>
                      <w:position w:val="-2"/>
                      <w14:textFill>
                        <w14:solidFill>
                          <w14:schemeClr w14:val="tx1"/>
                        </w14:solidFill>
                      </w14:textFill>
                    </w:rPr>
                    <w:t>mg</w:t>
                  </w:r>
                  <w:r>
                    <w:rPr>
                      <w:rFonts w:hint="eastAsia"/>
                      <w:bCs/>
                      <w:color w:val="000000" w:themeColor="text1"/>
                      <w:spacing w:val="-1"/>
                      <w:position w:val="-2"/>
                      <w14:textFill>
                        <w14:solidFill>
                          <w14:schemeClr w14:val="tx1"/>
                        </w14:solidFill>
                      </w14:textFill>
                    </w:rPr>
                    <w:t>/</w:t>
                  </w:r>
                  <w:r>
                    <w:rPr>
                      <w:rFonts w:hint="eastAsia"/>
                      <w:bCs/>
                      <w:color w:val="000000" w:themeColor="text1"/>
                      <w:spacing w:val="-3"/>
                      <w:position w:val="-2"/>
                      <w14:textFill>
                        <w14:solidFill>
                          <w14:schemeClr w14:val="tx1"/>
                        </w14:solidFill>
                      </w14:textFill>
                    </w:rPr>
                    <w:t>m</w:t>
                  </w:r>
                  <w:r>
                    <w:rPr>
                      <w:rFonts w:hint="eastAsia"/>
                      <w:bCs/>
                      <w:color w:val="000000" w:themeColor="text1"/>
                      <w:spacing w:val="-3"/>
                      <w:position w:val="-2"/>
                      <w:vertAlign w:val="superscript"/>
                      <w14:textFill>
                        <w14:solidFill>
                          <w14:schemeClr w14:val="tx1"/>
                        </w14:solidFill>
                      </w14:textFill>
                    </w:rPr>
                    <w:t>3</w:t>
                  </w:r>
                  <w:r>
                    <w:rPr>
                      <w:rFonts w:hint="eastAsia"/>
                      <w:color w:val="000000" w:themeColor="text1"/>
                      <w:position w:val="-2"/>
                      <w14:textFill>
                        <w14:solidFill>
                          <w14:schemeClr w14:val="tx1"/>
                        </w14:solidFill>
                      </w14:textFill>
                    </w:rPr>
                    <w:t>)</w:t>
                  </w:r>
                </w:p>
              </w:tc>
              <w:tc>
                <w:tcPr>
                  <w:tcW w:w="571" w:type="pct"/>
                  <w:gridSpan w:val="2"/>
                  <w:vAlign w:val="center"/>
                </w:tcPr>
                <w:p>
                  <w:pPr>
                    <w:pStyle w:val="79"/>
                    <w:rPr>
                      <w:color w:val="000000" w:themeColor="text1"/>
                      <w:spacing w:val="-2"/>
                      <w:position w:val="-1"/>
                      <w14:textFill>
                        <w14:solidFill>
                          <w14:schemeClr w14:val="tx1"/>
                        </w14:solidFill>
                      </w14:textFill>
                    </w:rPr>
                  </w:pPr>
                  <w:r>
                    <w:rPr>
                      <w:rFonts w:hint="eastAsia"/>
                      <w:color w:val="000000" w:themeColor="text1"/>
                      <w:position w:val="-1"/>
                      <w14:textFill>
                        <w14:solidFill>
                          <w14:schemeClr w14:val="tx1"/>
                        </w14:solidFill>
                      </w14:textFill>
                    </w:rPr>
                    <w:t>超标</w:t>
                  </w:r>
                  <w:r>
                    <w:rPr>
                      <w:rFonts w:hint="eastAsia"/>
                      <w:color w:val="000000" w:themeColor="text1"/>
                      <w:spacing w:val="-2"/>
                      <w:position w:val="-1"/>
                      <w14:textFill>
                        <w14:solidFill>
                          <w14:schemeClr w14:val="tx1"/>
                        </w14:solidFill>
                      </w14:textFill>
                    </w:rPr>
                    <w:t>率</w:t>
                  </w:r>
                  <w:r>
                    <w:rPr>
                      <w:rFonts w:hint="eastAsia"/>
                      <w:color w:val="000000" w:themeColor="text1"/>
                      <w:position w:val="-1"/>
                      <w14:textFill>
                        <w14:solidFill>
                          <w14:schemeClr w14:val="tx1"/>
                        </w14:solidFill>
                      </w14:textFill>
                    </w:rPr>
                    <w:t>（</w:t>
                  </w:r>
                  <w:r>
                    <w:rPr>
                      <w:rFonts w:hint="eastAsia"/>
                      <w:color w:val="000000" w:themeColor="text1"/>
                      <w:spacing w:val="-3"/>
                      <w:position w:val="-1"/>
                      <w14:textFill>
                        <w14:solidFill>
                          <w14:schemeClr w14:val="tx1"/>
                        </w14:solidFill>
                      </w14:textFill>
                    </w:rPr>
                    <w:t>%</w:t>
                  </w:r>
                  <w:r>
                    <w:rPr>
                      <w:rFonts w:hint="eastAsia"/>
                      <w:color w:val="000000" w:themeColor="text1"/>
                      <w:position w:val="-1"/>
                      <w14:textFill>
                        <w14:solidFill>
                          <w14:schemeClr w14:val="tx1"/>
                        </w14:solidFill>
                      </w14:textFill>
                    </w:rPr>
                    <w:t>）</w:t>
                  </w:r>
                </w:p>
              </w:tc>
              <w:tc>
                <w:tcPr>
                  <w:tcW w:w="547" w:type="pct"/>
                  <w:gridSpan w:val="2"/>
                  <w:vAlign w:val="center"/>
                </w:tcPr>
                <w:p>
                  <w:pPr>
                    <w:pStyle w:val="79"/>
                    <w:rPr>
                      <w:color w:val="000000" w:themeColor="text1"/>
                      <w:spacing w:val="-2"/>
                      <w:position w:val="-1"/>
                      <w14:textFill>
                        <w14:solidFill>
                          <w14:schemeClr w14:val="tx1"/>
                        </w14:solidFill>
                      </w14:textFill>
                    </w:rPr>
                  </w:pPr>
                  <w:r>
                    <w:rPr>
                      <w:rFonts w:hint="eastAsia"/>
                      <w:color w:val="000000" w:themeColor="text1"/>
                      <w:position w:val="-1"/>
                      <w14:textFill>
                        <w14:solidFill>
                          <w14:schemeClr w14:val="tx1"/>
                        </w14:solidFill>
                      </w14:textFill>
                    </w:rPr>
                    <w:t>最大</w:t>
                  </w:r>
                  <w:r>
                    <w:rPr>
                      <w:rFonts w:hint="eastAsia"/>
                      <w:color w:val="000000" w:themeColor="text1"/>
                      <w:spacing w:val="-2"/>
                      <w:position w:val="-1"/>
                      <w14:textFill>
                        <w14:solidFill>
                          <w14:schemeClr w14:val="tx1"/>
                        </w14:solidFill>
                      </w14:textFill>
                    </w:rPr>
                    <w:t>超标倍数</w:t>
                  </w:r>
                </w:p>
              </w:tc>
              <w:tc>
                <w:tcPr>
                  <w:tcW w:w="551" w:type="pct"/>
                  <w:vAlign w:val="center"/>
                </w:tcPr>
                <w:p>
                  <w:pPr>
                    <w:pStyle w:val="79"/>
                    <w:rPr>
                      <w:color w:val="000000" w:themeColor="text1"/>
                      <w14:textFill>
                        <w14:solidFill>
                          <w14:schemeClr w14:val="tx1"/>
                        </w14:solidFill>
                      </w14:textFill>
                    </w:rPr>
                  </w:pPr>
                  <w:r>
                    <w:rPr>
                      <w:rFonts w:hint="eastAsia"/>
                      <w:color w:val="000000" w:themeColor="text1"/>
                      <w:position w:val="-2"/>
                      <w14:textFill>
                        <w14:solidFill>
                          <w14:schemeClr w14:val="tx1"/>
                        </w14:solidFill>
                      </w14:textFill>
                    </w:rPr>
                    <w:t>标准值(</w:t>
                  </w:r>
                  <w:r>
                    <w:rPr>
                      <w:rFonts w:hint="eastAsia"/>
                      <w:bCs/>
                      <w:color w:val="000000" w:themeColor="text1"/>
                      <w:position w:val="-2"/>
                      <w14:textFill>
                        <w14:solidFill>
                          <w14:schemeClr w14:val="tx1"/>
                        </w14:solidFill>
                      </w14:textFill>
                    </w:rPr>
                    <w:t>mg</w:t>
                  </w:r>
                  <w:r>
                    <w:rPr>
                      <w:rFonts w:hint="eastAsia"/>
                      <w:bCs/>
                      <w:color w:val="000000" w:themeColor="text1"/>
                      <w:spacing w:val="-1"/>
                      <w:position w:val="-2"/>
                      <w14:textFill>
                        <w14:solidFill>
                          <w14:schemeClr w14:val="tx1"/>
                        </w14:solidFill>
                      </w14:textFill>
                    </w:rPr>
                    <w:t>/</w:t>
                  </w:r>
                  <w:r>
                    <w:rPr>
                      <w:rFonts w:hint="eastAsia"/>
                      <w:bCs/>
                      <w:color w:val="000000" w:themeColor="text1"/>
                      <w:spacing w:val="-3"/>
                      <w:position w:val="-2"/>
                      <w14:textFill>
                        <w14:solidFill>
                          <w14:schemeClr w14:val="tx1"/>
                        </w14:solidFill>
                      </w14:textFill>
                    </w:rPr>
                    <w:t>m</w:t>
                  </w:r>
                  <w:r>
                    <w:rPr>
                      <w:rFonts w:hint="eastAsia"/>
                      <w:bCs/>
                      <w:color w:val="000000" w:themeColor="text1"/>
                      <w:spacing w:val="-3"/>
                      <w:position w:val="-2"/>
                      <w:vertAlign w:val="superscript"/>
                      <w14:textFill>
                        <w14:solidFill>
                          <w14:schemeClr w14:val="tx1"/>
                        </w14:solidFill>
                      </w14:textFill>
                    </w:rPr>
                    <w:t>3</w:t>
                  </w:r>
                  <w:r>
                    <w:rPr>
                      <w:rFonts w:hint="eastAsia"/>
                      <w:color w:val="000000" w:themeColor="text1"/>
                      <w:position w:val="-2"/>
                      <w14:textFill>
                        <w14:solidFill>
                          <w14:schemeClr w14:val="tx1"/>
                        </w14:solidFill>
                      </w14:textFill>
                    </w:rPr>
                    <w:t>)</w:t>
                  </w:r>
                </w:p>
              </w:tc>
              <w:tc>
                <w:tcPr>
                  <w:tcW w:w="462"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86"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G1</w:t>
                  </w:r>
                </w:p>
              </w:tc>
              <w:tc>
                <w:tcPr>
                  <w:tcW w:w="411"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48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7.23</w:t>
                  </w:r>
                </w:p>
              </w:tc>
              <w:tc>
                <w:tcPr>
                  <w:tcW w:w="1027" w:type="pct"/>
                  <w:gridSpan w:val="2"/>
                  <w:vAlign w:val="center"/>
                </w:tcPr>
                <w:p>
                  <w:pPr>
                    <w:pStyle w:val="79"/>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0.08</w:t>
                  </w:r>
                  <w:r>
                    <w:rPr>
                      <w:rFonts w:hint="eastAsia"/>
                      <w:color w:val="000000" w:themeColor="text1"/>
                      <w14:textFill>
                        <w14:solidFill>
                          <w14:schemeClr w14:val="tx1"/>
                        </w14:solidFill>
                      </w14:textFill>
                    </w:rPr>
                    <w:t>~0.10</w:t>
                  </w:r>
                </w:p>
              </w:tc>
              <w:tc>
                <w:tcPr>
                  <w:tcW w:w="568"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0.09</w:t>
                  </w:r>
                </w:p>
              </w:tc>
              <w:tc>
                <w:tcPr>
                  <w:tcW w:w="571"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4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51"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w:t>
                  </w:r>
                </w:p>
              </w:tc>
              <w:tc>
                <w:tcPr>
                  <w:tcW w:w="462" w:type="pct"/>
                  <w:vAlign w:val="center"/>
                </w:tcPr>
                <w:p>
                  <w:pPr>
                    <w:pStyle w:val="79"/>
                    <w:rPr>
                      <w:color w:val="000000" w:themeColor="text1"/>
                      <w:spacing w:val="-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86" w:type="pct"/>
                  <w:vMerge w:val="continue"/>
                  <w:vAlign w:val="center"/>
                </w:tcPr>
                <w:p>
                  <w:pPr>
                    <w:pStyle w:val="79"/>
                    <w:rPr>
                      <w:color w:val="000000" w:themeColor="text1"/>
                      <w14:textFill>
                        <w14:solidFill>
                          <w14:schemeClr w14:val="tx1"/>
                        </w14:solidFill>
                      </w14:textFill>
                    </w:rPr>
                  </w:pPr>
                </w:p>
              </w:tc>
              <w:tc>
                <w:tcPr>
                  <w:tcW w:w="411" w:type="pct"/>
                  <w:vMerge w:val="continue"/>
                  <w:vAlign w:val="center"/>
                </w:tcPr>
                <w:p>
                  <w:pPr>
                    <w:pStyle w:val="79"/>
                    <w:rPr>
                      <w:color w:val="000000" w:themeColor="text1"/>
                      <w14:textFill>
                        <w14:solidFill>
                          <w14:schemeClr w14:val="tx1"/>
                        </w14:solidFill>
                      </w14:textFill>
                    </w:rPr>
                  </w:pPr>
                </w:p>
              </w:tc>
              <w:tc>
                <w:tcPr>
                  <w:tcW w:w="48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7.24</w:t>
                  </w:r>
                </w:p>
              </w:tc>
              <w:tc>
                <w:tcPr>
                  <w:tcW w:w="1027" w:type="pct"/>
                  <w:gridSpan w:val="2"/>
                  <w:vAlign w:val="center"/>
                </w:tcPr>
                <w:p>
                  <w:pPr>
                    <w:pStyle w:val="79"/>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0.06</w:t>
                  </w:r>
                  <w:r>
                    <w:rPr>
                      <w:rFonts w:hint="eastAsia"/>
                      <w:color w:val="000000" w:themeColor="text1"/>
                      <w14:textFill>
                        <w14:solidFill>
                          <w14:schemeClr w14:val="tx1"/>
                        </w14:solidFill>
                      </w14:textFill>
                    </w:rPr>
                    <w:t>~0.09</w:t>
                  </w:r>
                </w:p>
              </w:tc>
              <w:tc>
                <w:tcPr>
                  <w:tcW w:w="568"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0.07</w:t>
                  </w:r>
                </w:p>
              </w:tc>
              <w:tc>
                <w:tcPr>
                  <w:tcW w:w="571"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4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51"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w:t>
                  </w:r>
                </w:p>
              </w:tc>
              <w:tc>
                <w:tcPr>
                  <w:tcW w:w="462" w:type="pct"/>
                  <w:vAlign w:val="center"/>
                </w:tcPr>
                <w:p>
                  <w:pPr>
                    <w:pStyle w:val="79"/>
                    <w:rPr>
                      <w:color w:val="000000" w:themeColor="text1"/>
                      <w:spacing w:val="-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86" w:type="pct"/>
                  <w:vMerge w:val="continue"/>
                  <w:vAlign w:val="center"/>
                </w:tcPr>
                <w:p>
                  <w:pPr>
                    <w:pStyle w:val="79"/>
                    <w:rPr>
                      <w:color w:val="000000" w:themeColor="text1"/>
                      <w14:textFill>
                        <w14:solidFill>
                          <w14:schemeClr w14:val="tx1"/>
                        </w14:solidFill>
                      </w14:textFill>
                    </w:rPr>
                  </w:pPr>
                </w:p>
              </w:tc>
              <w:tc>
                <w:tcPr>
                  <w:tcW w:w="411" w:type="pct"/>
                  <w:vMerge w:val="continue"/>
                  <w:vAlign w:val="center"/>
                </w:tcPr>
                <w:p>
                  <w:pPr>
                    <w:pStyle w:val="79"/>
                    <w:rPr>
                      <w:color w:val="000000" w:themeColor="text1"/>
                      <w14:textFill>
                        <w14:solidFill>
                          <w14:schemeClr w14:val="tx1"/>
                        </w14:solidFill>
                      </w14:textFill>
                    </w:rPr>
                  </w:pPr>
                </w:p>
              </w:tc>
              <w:tc>
                <w:tcPr>
                  <w:tcW w:w="48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7.25</w:t>
                  </w:r>
                </w:p>
              </w:tc>
              <w:tc>
                <w:tcPr>
                  <w:tcW w:w="1027" w:type="pct"/>
                  <w:gridSpan w:val="2"/>
                  <w:vAlign w:val="center"/>
                </w:tcPr>
                <w:p>
                  <w:pPr>
                    <w:pStyle w:val="79"/>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0.05</w:t>
                  </w:r>
                  <w:r>
                    <w:rPr>
                      <w:rFonts w:hint="eastAsia"/>
                      <w:color w:val="000000" w:themeColor="text1"/>
                      <w14:textFill>
                        <w14:solidFill>
                          <w14:schemeClr w14:val="tx1"/>
                        </w14:solidFill>
                      </w14:textFill>
                    </w:rPr>
                    <w:t>~0.09</w:t>
                  </w:r>
                </w:p>
              </w:tc>
              <w:tc>
                <w:tcPr>
                  <w:tcW w:w="568"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0.07</w:t>
                  </w:r>
                </w:p>
              </w:tc>
              <w:tc>
                <w:tcPr>
                  <w:tcW w:w="571"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4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51"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w:t>
                  </w:r>
                </w:p>
              </w:tc>
              <w:tc>
                <w:tcPr>
                  <w:tcW w:w="462" w:type="pct"/>
                  <w:vAlign w:val="center"/>
                </w:tcPr>
                <w:p>
                  <w:pPr>
                    <w:pStyle w:val="79"/>
                    <w:rPr>
                      <w:color w:val="000000" w:themeColor="text1"/>
                      <w:spacing w:val="-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86" w:type="pct"/>
                  <w:vMerge w:val="continue"/>
                  <w:vAlign w:val="center"/>
                </w:tcPr>
                <w:p>
                  <w:pPr>
                    <w:pStyle w:val="79"/>
                    <w:rPr>
                      <w:color w:val="000000" w:themeColor="text1"/>
                      <w14:textFill>
                        <w14:solidFill>
                          <w14:schemeClr w14:val="tx1"/>
                        </w14:solidFill>
                      </w14:textFill>
                    </w:rPr>
                  </w:pPr>
                </w:p>
              </w:tc>
              <w:tc>
                <w:tcPr>
                  <w:tcW w:w="411" w:type="pct"/>
                  <w:vMerge w:val="continue"/>
                  <w:vAlign w:val="center"/>
                </w:tcPr>
                <w:p>
                  <w:pPr>
                    <w:pStyle w:val="79"/>
                    <w:rPr>
                      <w:color w:val="000000" w:themeColor="text1"/>
                      <w14:textFill>
                        <w14:solidFill>
                          <w14:schemeClr w14:val="tx1"/>
                        </w14:solidFill>
                      </w14:textFill>
                    </w:rPr>
                  </w:pPr>
                </w:p>
              </w:tc>
              <w:tc>
                <w:tcPr>
                  <w:tcW w:w="48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7.26</w:t>
                  </w:r>
                </w:p>
              </w:tc>
              <w:tc>
                <w:tcPr>
                  <w:tcW w:w="1027" w:type="pct"/>
                  <w:gridSpan w:val="2"/>
                  <w:vAlign w:val="center"/>
                </w:tcPr>
                <w:p>
                  <w:pPr>
                    <w:pStyle w:val="79"/>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0.04</w:t>
                  </w:r>
                  <w:r>
                    <w:rPr>
                      <w:rFonts w:hint="eastAsia"/>
                      <w:color w:val="000000" w:themeColor="text1"/>
                      <w14:textFill>
                        <w14:solidFill>
                          <w14:schemeClr w14:val="tx1"/>
                        </w14:solidFill>
                      </w14:textFill>
                    </w:rPr>
                    <w:t>~0.08</w:t>
                  </w:r>
                </w:p>
              </w:tc>
              <w:tc>
                <w:tcPr>
                  <w:tcW w:w="568"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0.06</w:t>
                  </w:r>
                </w:p>
              </w:tc>
              <w:tc>
                <w:tcPr>
                  <w:tcW w:w="571"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4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51"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w:t>
                  </w:r>
                </w:p>
              </w:tc>
              <w:tc>
                <w:tcPr>
                  <w:tcW w:w="462" w:type="pct"/>
                  <w:vAlign w:val="center"/>
                </w:tcPr>
                <w:p>
                  <w:pPr>
                    <w:pStyle w:val="79"/>
                    <w:rPr>
                      <w:color w:val="000000" w:themeColor="text1"/>
                      <w:spacing w:val="-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86" w:type="pct"/>
                  <w:vMerge w:val="continue"/>
                  <w:vAlign w:val="center"/>
                </w:tcPr>
                <w:p>
                  <w:pPr>
                    <w:pStyle w:val="79"/>
                    <w:rPr>
                      <w:color w:val="000000" w:themeColor="text1"/>
                      <w14:textFill>
                        <w14:solidFill>
                          <w14:schemeClr w14:val="tx1"/>
                        </w14:solidFill>
                      </w14:textFill>
                    </w:rPr>
                  </w:pPr>
                </w:p>
              </w:tc>
              <w:tc>
                <w:tcPr>
                  <w:tcW w:w="411" w:type="pct"/>
                  <w:vMerge w:val="continue"/>
                  <w:vAlign w:val="center"/>
                </w:tcPr>
                <w:p>
                  <w:pPr>
                    <w:pStyle w:val="79"/>
                    <w:rPr>
                      <w:color w:val="000000" w:themeColor="text1"/>
                      <w14:textFill>
                        <w14:solidFill>
                          <w14:schemeClr w14:val="tx1"/>
                        </w14:solidFill>
                      </w14:textFill>
                    </w:rPr>
                  </w:pPr>
                </w:p>
              </w:tc>
              <w:tc>
                <w:tcPr>
                  <w:tcW w:w="48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7.27</w:t>
                  </w:r>
                </w:p>
              </w:tc>
              <w:tc>
                <w:tcPr>
                  <w:tcW w:w="1027" w:type="pct"/>
                  <w:gridSpan w:val="2"/>
                  <w:vAlign w:val="center"/>
                </w:tcPr>
                <w:p>
                  <w:pPr>
                    <w:pStyle w:val="79"/>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0.08</w:t>
                  </w:r>
                  <w:r>
                    <w:rPr>
                      <w:rFonts w:hint="eastAsia"/>
                      <w:color w:val="000000" w:themeColor="text1"/>
                      <w14:textFill>
                        <w14:solidFill>
                          <w14:schemeClr w14:val="tx1"/>
                        </w14:solidFill>
                      </w14:textFill>
                    </w:rPr>
                    <w:t>~0.11</w:t>
                  </w:r>
                </w:p>
              </w:tc>
              <w:tc>
                <w:tcPr>
                  <w:tcW w:w="568"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0.10</w:t>
                  </w:r>
                </w:p>
              </w:tc>
              <w:tc>
                <w:tcPr>
                  <w:tcW w:w="571"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4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51"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w:t>
                  </w:r>
                </w:p>
              </w:tc>
              <w:tc>
                <w:tcPr>
                  <w:tcW w:w="462" w:type="pct"/>
                  <w:vAlign w:val="center"/>
                </w:tcPr>
                <w:p>
                  <w:pPr>
                    <w:pStyle w:val="79"/>
                    <w:rPr>
                      <w:color w:val="000000" w:themeColor="text1"/>
                      <w:spacing w:val="-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86" w:type="pct"/>
                  <w:vMerge w:val="continue"/>
                  <w:vAlign w:val="center"/>
                </w:tcPr>
                <w:p>
                  <w:pPr>
                    <w:pStyle w:val="79"/>
                    <w:rPr>
                      <w:color w:val="000000" w:themeColor="text1"/>
                      <w14:textFill>
                        <w14:solidFill>
                          <w14:schemeClr w14:val="tx1"/>
                        </w14:solidFill>
                      </w14:textFill>
                    </w:rPr>
                  </w:pPr>
                </w:p>
              </w:tc>
              <w:tc>
                <w:tcPr>
                  <w:tcW w:w="411" w:type="pct"/>
                  <w:vMerge w:val="continue"/>
                  <w:vAlign w:val="center"/>
                </w:tcPr>
                <w:p>
                  <w:pPr>
                    <w:pStyle w:val="79"/>
                    <w:rPr>
                      <w:color w:val="000000" w:themeColor="text1"/>
                      <w14:textFill>
                        <w14:solidFill>
                          <w14:schemeClr w14:val="tx1"/>
                        </w14:solidFill>
                      </w14:textFill>
                    </w:rPr>
                  </w:pPr>
                </w:p>
              </w:tc>
              <w:tc>
                <w:tcPr>
                  <w:tcW w:w="48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7.28</w:t>
                  </w:r>
                </w:p>
              </w:tc>
              <w:tc>
                <w:tcPr>
                  <w:tcW w:w="1027" w:type="pct"/>
                  <w:gridSpan w:val="2"/>
                  <w:vAlign w:val="center"/>
                </w:tcPr>
                <w:p>
                  <w:pPr>
                    <w:pStyle w:val="79"/>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0.07</w:t>
                  </w:r>
                  <w:r>
                    <w:rPr>
                      <w:rFonts w:hint="eastAsia"/>
                      <w:color w:val="000000" w:themeColor="text1"/>
                      <w14:textFill>
                        <w14:solidFill>
                          <w14:schemeClr w14:val="tx1"/>
                        </w14:solidFill>
                      </w14:textFill>
                    </w:rPr>
                    <w:t>~0.09</w:t>
                  </w:r>
                </w:p>
              </w:tc>
              <w:tc>
                <w:tcPr>
                  <w:tcW w:w="568"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0.08</w:t>
                  </w:r>
                </w:p>
              </w:tc>
              <w:tc>
                <w:tcPr>
                  <w:tcW w:w="571"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4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51"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w:t>
                  </w:r>
                </w:p>
              </w:tc>
              <w:tc>
                <w:tcPr>
                  <w:tcW w:w="462" w:type="pct"/>
                  <w:vAlign w:val="center"/>
                </w:tcPr>
                <w:p>
                  <w:pPr>
                    <w:pStyle w:val="79"/>
                    <w:rPr>
                      <w:color w:val="000000" w:themeColor="text1"/>
                      <w:spacing w:val="-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86" w:type="pct"/>
                  <w:vMerge w:val="continue"/>
                  <w:vAlign w:val="center"/>
                </w:tcPr>
                <w:p>
                  <w:pPr>
                    <w:pStyle w:val="79"/>
                    <w:rPr>
                      <w:color w:val="000000" w:themeColor="text1"/>
                      <w14:textFill>
                        <w14:solidFill>
                          <w14:schemeClr w14:val="tx1"/>
                        </w14:solidFill>
                      </w14:textFill>
                    </w:rPr>
                  </w:pPr>
                </w:p>
              </w:tc>
              <w:tc>
                <w:tcPr>
                  <w:tcW w:w="411" w:type="pct"/>
                  <w:vMerge w:val="continue"/>
                  <w:vAlign w:val="center"/>
                </w:tcPr>
                <w:p>
                  <w:pPr>
                    <w:pStyle w:val="79"/>
                    <w:rPr>
                      <w:color w:val="000000" w:themeColor="text1"/>
                      <w14:textFill>
                        <w14:solidFill>
                          <w14:schemeClr w14:val="tx1"/>
                        </w14:solidFill>
                      </w14:textFill>
                    </w:rPr>
                  </w:pPr>
                </w:p>
              </w:tc>
              <w:tc>
                <w:tcPr>
                  <w:tcW w:w="48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7.29</w:t>
                  </w:r>
                </w:p>
              </w:tc>
              <w:tc>
                <w:tcPr>
                  <w:tcW w:w="1027" w:type="pct"/>
                  <w:gridSpan w:val="2"/>
                  <w:vAlign w:val="center"/>
                </w:tcPr>
                <w:p>
                  <w:pPr>
                    <w:pStyle w:val="79"/>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0.07</w:t>
                  </w:r>
                  <w:r>
                    <w:rPr>
                      <w:rFonts w:hint="eastAsia"/>
                      <w:color w:val="000000" w:themeColor="text1"/>
                      <w14:textFill>
                        <w14:solidFill>
                          <w14:schemeClr w14:val="tx1"/>
                        </w14:solidFill>
                      </w14:textFill>
                    </w:rPr>
                    <w:t>~0.10</w:t>
                  </w:r>
                </w:p>
              </w:tc>
              <w:tc>
                <w:tcPr>
                  <w:tcW w:w="568"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0.09</w:t>
                  </w:r>
                </w:p>
              </w:tc>
              <w:tc>
                <w:tcPr>
                  <w:tcW w:w="571"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4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551"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w:t>
                  </w:r>
                </w:p>
              </w:tc>
              <w:tc>
                <w:tcPr>
                  <w:tcW w:w="462" w:type="pct"/>
                  <w:vAlign w:val="center"/>
                </w:tcPr>
                <w:p>
                  <w:pPr>
                    <w:pStyle w:val="79"/>
                    <w:rPr>
                      <w:color w:val="000000" w:themeColor="text1"/>
                      <w:spacing w:val="-1"/>
                      <w14:textFill>
                        <w14:solidFill>
                          <w14:schemeClr w14:val="tx1"/>
                        </w14:solidFill>
                      </w14:textFill>
                    </w:rPr>
                  </w:pPr>
                  <w:r>
                    <w:rPr>
                      <w:rFonts w:hint="eastAsia"/>
                      <w:color w:val="000000" w:themeColor="text1"/>
                      <w14:textFill>
                        <w14:solidFill>
                          <w14:schemeClr w14:val="tx1"/>
                        </w14:solidFill>
                      </w14:textFill>
                    </w:rPr>
                    <w:t>达标</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从表3-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监测数据可见，项目区域大气环境质量监测点的非甲烷总烃符合《大气污染物综合排放标准详解》中的标准要求。</w:t>
            </w:r>
          </w:p>
          <w:p>
            <w:pPr>
              <w:pStyle w:val="54"/>
              <w:ind w:firstLine="0" w:firstLineChars="0"/>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3.2 区域地表水环境质量</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衡阳市生态环境局发布的关于2018年12月及1-12月我市环境质量状况的通报可知，2018年1-12月，我市纳入考核、评价、排名断面27个断面中，II类水质断面24个，III类水质断面3个，其中9个交界断面中，II类水质断面7个、III类水质断面2个；6个“水十条”国考断面中，II类水质断面5个、III类水质断面1个；均符合“水十条”国考平均目标值要求。我市4个趋势科研断面中，II类水质断面2个、劣V类水质断面2个，其中，劣V类水质断面为红星村断面（影响指标为总磷、按断、五日生化需氧量、化学需氧量）和雁栖湖断面（影响指标为总磷、氨氮、五日生化需氧量、高猛酸盐指数）</w:t>
            </w:r>
            <w:r>
              <w:rPr>
                <w:rFonts w:hint="eastAsia"/>
                <w:color w:val="000000" w:themeColor="text1"/>
                <w14:textFill>
                  <w14:solidFill>
                    <w14:schemeClr w14:val="tx1"/>
                  </w14:solidFill>
                </w14:textFill>
              </w:rPr>
              <w:t>，本项目外排废水下游监测断面为状元桥（白河入湘江口），该处水质监测情况如下表所示</w:t>
            </w:r>
            <w:r>
              <w:rPr>
                <w:color w:val="000000" w:themeColor="text1"/>
                <w14:textFill>
                  <w14:solidFill>
                    <w14:schemeClr w14:val="tx1"/>
                  </w14:solidFill>
                </w14:textFill>
              </w:rPr>
              <w:t>。</w:t>
            </w:r>
          </w:p>
          <w:p>
            <w:pPr>
              <w:pStyle w:val="88"/>
              <w:rPr>
                <w:color w:val="000000" w:themeColor="text1"/>
                <w14:textFill>
                  <w14:solidFill>
                    <w14:schemeClr w14:val="tx1"/>
                  </w14:solidFill>
                </w14:textFill>
              </w:rPr>
            </w:pP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表3-6  2018年12月衡阳市地表水水质情况</w:t>
            </w:r>
          </w:p>
          <w:p>
            <w:pPr>
              <w:pStyle w:val="88"/>
              <w:spacing w:line="240" w:lineRule="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781675" cy="36214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782995" cy="3622404"/>
                          </a:xfrm>
                          <a:prstGeom prst="rect">
                            <a:avLst/>
                          </a:prstGeom>
                        </pic:spPr>
                      </pic:pic>
                    </a:graphicData>
                  </a:graphic>
                </wp:inline>
              </w:drawing>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根据上表可知，本项目所在区域水环境质量达标。</w:t>
            </w:r>
          </w:p>
          <w:p>
            <w:pPr>
              <w:pStyle w:val="4"/>
              <w:rPr>
                <w:rFonts w:cs="Times New Roman"/>
                <w:snapToGrid/>
                <w:color w:val="000000" w:themeColor="text1"/>
                <w:spacing w:val="0"/>
                <w:kern w:val="2"/>
                <w:sz w:val="28"/>
                <w:szCs w:val="28"/>
                <w14:textFill>
                  <w14:solidFill>
                    <w14:schemeClr w14:val="tx1"/>
                  </w14:solidFill>
                </w14:textFill>
              </w:rPr>
            </w:pPr>
            <w:r>
              <w:rPr>
                <w:rFonts w:cs="Times New Roman"/>
                <w:snapToGrid/>
                <w:color w:val="000000" w:themeColor="text1"/>
                <w:spacing w:val="0"/>
                <w:kern w:val="2"/>
                <w:sz w:val="28"/>
                <w:szCs w:val="28"/>
                <w14:textFill>
                  <w14:solidFill>
                    <w14:schemeClr w14:val="tx1"/>
                  </w14:solidFill>
                </w14:textFill>
              </w:rPr>
              <w:t>3.3 声环境质量状况</w:t>
            </w:r>
          </w:p>
          <w:p>
            <w:pPr>
              <w:pStyle w:val="54"/>
              <w:ind w:firstLine="480"/>
              <w:rPr>
                <w:color w:val="000000" w:themeColor="text1"/>
                <w14:textFill>
                  <w14:solidFill>
                    <w14:schemeClr w14:val="tx1"/>
                  </w14:solidFill>
                </w14:textFill>
              </w:rPr>
            </w:pPr>
            <w:r>
              <w:rPr>
                <w:color w:val="000000" w:themeColor="text1"/>
                <w:lang w:val="zh-CN"/>
                <w14:textFill>
                  <w14:solidFill>
                    <w14:schemeClr w14:val="tx1"/>
                  </w14:solidFill>
                </w14:textFill>
              </w:rPr>
              <w:t>为了解场址区域所在地</w:t>
            </w:r>
            <w:r>
              <w:rPr>
                <w:rFonts w:hint="eastAsia"/>
                <w:color w:val="000000" w:themeColor="text1"/>
                <w:lang w:val="zh-CN"/>
                <w14:textFill>
                  <w14:solidFill>
                    <w14:schemeClr w14:val="tx1"/>
                  </w14:solidFill>
                </w14:textFill>
              </w:rPr>
              <w:t>声</w:t>
            </w:r>
            <w:r>
              <w:rPr>
                <w:color w:val="000000" w:themeColor="text1"/>
                <w:lang w:val="zh-CN"/>
                <w14:textFill>
                  <w14:solidFill>
                    <w14:schemeClr w14:val="tx1"/>
                  </w14:solidFill>
                </w14:textFill>
              </w:rPr>
              <w:t>环境质量现状，</w:t>
            </w:r>
            <w:r>
              <w:rPr>
                <w:rFonts w:hint="eastAsia"/>
                <w:color w:val="000000" w:themeColor="text1"/>
                <w:lang w:val="zh-CN"/>
                <w14:textFill>
                  <w14:solidFill>
                    <w14:schemeClr w14:val="tx1"/>
                  </w14:solidFill>
                </w14:textFill>
              </w:rPr>
              <w:t>本项目拟用2</w:t>
            </w:r>
            <w:r>
              <w:rPr>
                <w:color w:val="000000" w:themeColor="text1"/>
                <w:lang w:val="zh-CN"/>
                <w14:textFill>
                  <w14:solidFill>
                    <w14:schemeClr w14:val="tx1"/>
                  </w14:solidFill>
                </w14:textFill>
              </w:rPr>
              <w:t>018</w:t>
            </w:r>
            <w:r>
              <w:rPr>
                <w:rFonts w:hint="eastAsia"/>
                <w:color w:val="000000" w:themeColor="text1"/>
                <w:lang w:val="zh-CN"/>
                <w14:textFill>
                  <w14:solidFill>
                    <w14:schemeClr w14:val="tx1"/>
                  </w14:solidFill>
                </w14:textFill>
              </w:rPr>
              <w:t>年1</w:t>
            </w: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月1</w:t>
            </w:r>
            <w:r>
              <w:rPr>
                <w:color w:val="000000" w:themeColor="text1"/>
                <w:lang w:val="zh-CN"/>
                <w14:textFill>
                  <w14:solidFill>
                    <w14:schemeClr w14:val="tx1"/>
                  </w14:solidFill>
                </w14:textFill>
              </w:rPr>
              <w:t>9</w:t>
            </w:r>
            <w:r>
              <w:rPr>
                <w:rFonts w:hint="eastAsia"/>
                <w:color w:val="000000" w:themeColor="text1"/>
                <w:lang w:val="zh-CN"/>
                <w14:textFill>
                  <w14:solidFill>
                    <w14:schemeClr w14:val="tx1"/>
                  </w14:solidFill>
                </w14:textFill>
              </w:rPr>
              <w:t>日该站委托湖南中骏高新科技股份有限公司所做的噪声检测报告中的数据进行评价，该监测数据为改建前原有项目正常运行时监测的数据，具体监测结果如下</w:t>
            </w:r>
            <w:r>
              <w:rPr>
                <w:color w:val="000000" w:themeColor="text1"/>
                <w:lang w:val="zh-CN"/>
                <w14:textFill>
                  <w14:solidFill>
                    <w14:schemeClr w14:val="tx1"/>
                  </w14:solidFill>
                </w14:textFill>
              </w:rPr>
              <w:t>。</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表3-</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  噪声环境质量监测结果</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06"/>
              <w:gridCol w:w="3044"/>
              <w:gridCol w:w="1119"/>
              <w:gridCol w:w="1119"/>
              <w:gridCol w:w="906"/>
              <w:gridCol w:w="908"/>
              <w:gridCol w:w="7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3"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监测日期</w:t>
                  </w:r>
                </w:p>
              </w:tc>
              <w:tc>
                <w:tcPr>
                  <w:tcW w:w="1660"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监测点位</w:t>
                  </w:r>
                </w:p>
              </w:tc>
              <w:tc>
                <w:tcPr>
                  <w:tcW w:w="610"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昼间dB(A)</w:t>
                  </w:r>
                </w:p>
              </w:tc>
              <w:tc>
                <w:tcPr>
                  <w:tcW w:w="610"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夜间dB(A)</w:t>
                  </w:r>
                </w:p>
              </w:tc>
              <w:tc>
                <w:tcPr>
                  <w:tcW w:w="989"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标准限值dB(A)</w:t>
                  </w:r>
                </w:p>
              </w:tc>
              <w:tc>
                <w:tcPr>
                  <w:tcW w:w="419"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3" w:type="pct"/>
                  <w:vMerge w:val="continue"/>
                  <w:vAlign w:val="center"/>
                </w:tcPr>
                <w:p>
                  <w:pPr>
                    <w:pStyle w:val="79"/>
                    <w:rPr>
                      <w:color w:val="000000" w:themeColor="text1"/>
                      <w14:textFill>
                        <w14:solidFill>
                          <w14:schemeClr w14:val="tx1"/>
                        </w14:solidFill>
                      </w14:textFill>
                    </w:rPr>
                  </w:pPr>
                </w:p>
              </w:tc>
              <w:tc>
                <w:tcPr>
                  <w:tcW w:w="1660" w:type="pct"/>
                  <w:vMerge w:val="continue"/>
                  <w:vAlign w:val="center"/>
                </w:tcPr>
                <w:p>
                  <w:pPr>
                    <w:pStyle w:val="79"/>
                    <w:rPr>
                      <w:color w:val="000000" w:themeColor="text1"/>
                      <w14:textFill>
                        <w14:solidFill>
                          <w14:schemeClr w14:val="tx1"/>
                        </w14:solidFill>
                      </w14:textFill>
                    </w:rPr>
                  </w:pPr>
                </w:p>
              </w:tc>
              <w:tc>
                <w:tcPr>
                  <w:tcW w:w="610" w:type="pct"/>
                  <w:vMerge w:val="continue"/>
                  <w:vAlign w:val="center"/>
                </w:tcPr>
                <w:p>
                  <w:pPr>
                    <w:pStyle w:val="79"/>
                    <w:rPr>
                      <w:color w:val="000000" w:themeColor="text1"/>
                      <w14:textFill>
                        <w14:solidFill>
                          <w14:schemeClr w14:val="tx1"/>
                        </w14:solidFill>
                      </w14:textFill>
                    </w:rPr>
                  </w:pPr>
                </w:p>
              </w:tc>
              <w:tc>
                <w:tcPr>
                  <w:tcW w:w="610" w:type="pct"/>
                  <w:vMerge w:val="continue"/>
                  <w:vAlign w:val="center"/>
                </w:tcPr>
                <w:p>
                  <w:pPr>
                    <w:pStyle w:val="79"/>
                    <w:rPr>
                      <w:color w:val="000000" w:themeColor="text1"/>
                      <w14:textFill>
                        <w14:solidFill>
                          <w14:schemeClr w14:val="tx1"/>
                        </w14:solidFill>
                      </w14:textFill>
                    </w:rPr>
                  </w:pP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昼间</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夜间</w:t>
                  </w:r>
                </w:p>
              </w:tc>
              <w:tc>
                <w:tcPr>
                  <w:tcW w:w="419" w:type="pct"/>
                  <w:vMerge w:val="continue"/>
                  <w:vAlign w:val="center"/>
                </w:tcPr>
                <w:p>
                  <w:pPr>
                    <w:pStyle w:val="79"/>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3"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2018.12.26</w:t>
                  </w:r>
                </w:p>
              </w:tc>
              <w:tc>
                <w:tcPr>
                  <w:tcW w:w="166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N1项目区东侧厂界外1m处</w:t>
                  </w:r>
                </w:p>
              </w:tc>
              <w:tc>
                <w:tcPr>
                  <w:tcW w:w="61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52</w:t>
                  </w:r>
                </w:p>
              </w:tc>
              <w:tc>
                <w:tcPr>
                  <w:tcW w:w="61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41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3" w:type="pct"/>
                  <w:vMerge w:val="continue"/>
                  <w:vAlign w:val="center"/>
                </w:tcPr>
                <w:p>
                  <w:pPr>
                    <w:pStyle w:val="79"/>
                    <w:rPr>
                      <w:color w:val="000000" w:themeColor="text1"/>
                      <w14:textFill>
                        <w14:solidFill>
                          <w14:schemeClr w14:val="tx1"/>
                        </w14:solidFill>
                      </w14:textFill>
                    </w:rPr>
                  </w:pPr>
                </w:p>
              </w:tc>
              <w:tc>
                <w:tcPr>
                  <w:tcW w:w="166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N2项目区南侧厂界外1m处</w:t>
                  </w:r>
                </w:p>
              </w:tc>
              <w:tc>
                <w:tcPr>
                  <w:tcW w:w="61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62</w:t>
                  </w:r>
                </w:p>
              </w:tc>
              <w:tc>
                <w:tcPr>
                  <w:tcW w:w="61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41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3" w:type="pct"/>
                  <w:vMerge w:val="continue"/>
                  <w:vAlign w:val="center"/>
                </w:tcPr>
                <w:p>
                  <w:pPr>
                    <w:pStyle w:val="79"/>
                    <w:rPr>
                      <w:color w:val="000000" w:themeColor="text1"/>
                      <w14:textFill>
                        <w14:solidFill>
                          <w14:schemeClr w14:val="tx1"/>
                        </w14:solidFill>
                      </w14:textFill>
                    </w:rPr>
                  </w:pPr>
                </w:p>
              </w:tc>
              <w:tc>
                <w:tcPr>
                  <w:tcW w:w="166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N3项目区西侧厂界外1m处</w:t>
                  </w:r>
                </w:p>
              </w:tc>
              <w:tc>
                <w:tcPr>
                  <w:tcW w:w="61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53</w:t>
                  </w:r>
                </w:p>
              </w:tc>
              <w:tc>
                <w:tcPr>
                  <w:tcW w:w="61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42</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41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3" w:type="pct"/>
                  <w:vMerge w:val="continue"/>
                  <w:vAlign w:val="center"/>
                </w:tcPr>
                <w:p>
                  <w:pPr>
                    <w:pStyle w:val="79"/>
                    <w:rPr>
                      <w:color w:val="000000" w:themeColor="text1"/>
                      <w14:textFill>
                        <w14:solidFill>
                          <w14:schemeClr w14:val="tx1"/>
                        </w14:solidFill>
                      </w14:textFill>
                    </w:rPr>
                  </w:pPr>
                </w:p>
              </w:tc>
              <w:tc>
                <w:tcPr>
                  <w:tcW w:w="166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N4项目区北侧厂界外1m处</w:t>
                  </w:r>
                </w:p>
              </w:tc>
              <w:tc>
                <w:tcPr>
                  <w:tcW w:w="61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c>
                <w:tcPr>
                  <w:tcW w:w="61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41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bl>
          <w:p>
            <w:pPr>
              <w:pStyle w:val="54"/>
              <w:spacing w:before="156" w:beforeLines="50"/>
              <w:ind w:firstLine="480"/>
              <w:rPr>
                <w:color w:val="000000" w:themeColor="text1"/>
                <w14:textFill>
                  <w14:solidFill>
                    <w14:schemeClr w14:val="tx1"/>
                  </w14:solidFill>
                </w14:textFill>
              </w:rPr>
            </w:pPr>
            <w:r>
              <w:rPr>
                <w:color w:val="000000" w:themeColor="text1"/>
                <w14:textFill>
                  <w14:solidFill>
                    <w14:schemeClr w14:val="tx1"/>
                  </w14:solidFill>
                </w14:textFill>
              </w:rPr>
              <w:t>由上表监测结果可知，区域场界</w:t>
            </w:r>
            <w:r>
              <w:rPr>
                <w:rFonts w:hint="eastAsia"/>
                <w:color w:val="000000" w:themeColor="text1"/>
                <w14:textFill>
                  <w14:solidFill>
                    <w14:schemeClr w14:val="tx1"/>
                  </w14:solidFill>
                </w14:textFill>
              </w:rPr>
              <w:t>东、西、北三侧噪声监测结果可以满足</w:t>
            </w:r>
            <w:r>
              <w:rPr>
                <w:color w:val="000000" w:themeColor="text1"/>
                <w14:textFill>
                  <w14:solidFill>
                    <w14:schemeClr w14:val="tx1"/>
                  </w14:solidFill>
                </w14:textFill>
              </w:rPr>
              <w:t>《声环境质量标准》（GB3096-2008）</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类标准</w:t>
            </w:r>
            <w:r>
              <w:rPr>
                <w:rFonts w:hint="eastAsia"/>
                <w:color w:val="000000" w:themeColor="text1"/>
                <w14:textFill>
                  <w14:solidFill>
                    <w14:schemeClr w14:val="tx1"/>
                  </w14:solidFill>
                </w14:textFill>
              </w:rPr>
              <w:t>，南侧噪声监测结果可以满足</w:t>
            </w:r>
            <w:r>
              <w:rPr>
                <w:color w:val="000000" w:themeColor="text1"/>
                <w14:textFill>
                  <w14:solidFill>
                    <w14:schemeClr w14:val="tx1"/>
                  </w14:solidFill>
                </w14:textFill>
              </w:rPr>
              <w:t>《声环境质量标准》（GB3096-2008）</w:t>
            </w:r>
            <w:r>
              <w:rPr>
                <w:rFonts w:hint="eastAsia"/>
                <w:color w:val="000000" w:themeColor="text1"/>
                <w14:textFill>
                  <w14:solidFill>
                    <w14:schemeClr w14:val="tx1"/>
                  </w14:solidFill>
                </w14:textFill>
              </w:rPr>
              <w:t>4a</w:t>
            </w:r>
            <w:r>
              <w:rPr>
                <w:color w:val="000000" w:themeColor="text1"/>
                <w14:textFill>
                  <w14:solidFill>
                    <w14:schemeClr w14:val="tx1"/>
                  </w14:solidFill>
                </w14:textFill>
              </w:rPr>
              <w:t>类标准。</w:t>
            </w:r>
          </w:p>
          <w:p>
            <w:pPr>
              <w:pStyle w:val="4"/>
              <w:rPr>
                <w:rFonts w:cs="Times New Roman"/>
                <w:snapToGrid/>
                <w:color w:val="000000" w:themeColor="text1"/>
                <w:spacing w:val="0"/>
                <w:kern w:val="2"/>
                <w:sz w:val="28"/>
                <w:szCs w:val="28"/>
                <w14:textFill>
                  <w14:solidFill>
                    <w14:schemeClr w14:val="tx1"/>
                  </w14:solidFill>
                </w14:textFill>
              </w:rPr>
            </w:pPr>
            <w:r>
              <w:rPr>
                <w:rFonts w:cs="Times New Roman"/>
                <w:snapToGrid/>
                <w:color w:val="000000" w:themeColor="text1"/>
                <w:spacing w:val="0"/>
                <w:kern w:val="2"/>
                <w:sz w:val="28"/>
                <w:szCs w:val="28"/>
                <w14:textFill>
                  <w14:solidFill>
                    <w14:schemeClr w14:val="tx1"/>
                  </w14:solidFill>
                </w14:textFill>
              </w:rPr>
              <w:t>3.4 生态环境质量状况</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本项目厂区已进行人工平整，厂区内基本无生态植被。厂区用地现属建设用地，根据现场调查，项目南侧紧邻322国道，距离曙光村居民约30m；东侧为堆叶房居民，距离约1</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5m；西侧为汽车检测站；北侧为空地。项目不涉及农田。项目区野生动物主要有蛇、青蛙等，区域生态系统结构相对简单。其他区域植被以农作物水稻、蔬菜为主，动物主要为家禽、鼠类等。周边水体坑塘、农灌渠水生鱼类资源主要有黄鳝、泥鳅、鲫鱼等。工程区域调查未发现野生珍稀濒危动植物和文物古迹保护单位。</w:t>
            </w:r>
          </w:p>
        </w:tc>
      </w:tr>
      <w:tr>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trHeight w:val="12019" w:hRule="atLeast"/>
          <w:jc w:val="center"/>
        </w:trPr>
        <w:tc>
          <w:tcPr>
            <w:tcW w:w="9400" w:type="dxa"/>
          </w:tcPr>
          <w:p>
            <w:pPr>
              <w:adjustRightInd w:val="0"/>
              <w:snapToGrid w:val="0"/>
              <w:spacing w:line="360" w:lineRule="auto"/>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主要环境保护目标（列出名单及保护级别）</w:t>
            </w:r>
          </w:p>
          <w:p>
            <w:pPr>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本项目周边主要环境保护目标如下表所示。</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表3-</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 xml:space="preserve">  主要大气环境保护目标</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14"/>
              <w:gridCol w:w="916"/>
              <w:gridCol w:w="1391"/>
              <w:gridCol w:w="2382"/>
              <w:gridCol w:w="738"/>
              <w:gridCol w:w="914"/>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3"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943"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坐标/</w:t>
                  </w:r>
                  <w:r>
                    <w:rPr>
                      <w:rFonts w:hint="eastAsia"/>
                      <w:color w:val="000000" w:themeColor="text1"/>
                      <w14:textFill>
                        <w14:solidFill>
                          <w14:schemeClr w14:val="tx1"/>
                        </w14:solidFill>
                      </w14:textFill>
                    </w:rPr>
                    <w:t>m</w:t>
                  </w:r>
                </w:p>
              </w:tc>
              <w:tc>
                <w:tcPr>
                  <w:tcW w:w="758"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保护对象</w:t>
                  </w:r>
                </w:p>
              </w:tc>
              <w:tc>
                <w:tcPr>
                  <w:tcW w:w="1298"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保护内容</w:t>
                  </w:r>
                </w:p>
              </w:tc>
              <w:tc>
                <w:tcPr>
                  <w:tcW w:w="402"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环境功能区</w:t>
                  </w:r>
                </w:p>
              </w:tc>
              <w:tc>
                <w:tcPr>
                  <w:tcW w:w="498"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相对厂址方位</w:t>
                  </w:r>
                </w:p>
              </w:tc>
              <w:tc>
                <w:tcPr>
                  <w:tcW w:w="718"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3" w:type="pct"/>
                  <w:vMerge w:val="continue"/>
                  <w:vAlign w:val="center"/>
                </w:tcPr>
                <w:p>
                  <w:pPr>
                    <w:pStyle w:val="79"/>
                    <w:rPr>
                      <w:color w:val="000000" w:themeColor="text1"/>
                      <w14:textFill>
                        <w14:solidFill>
                          <w14:schemeClr w14:val="tx1"/>
                        </w14:solidFill>
                      </w14:textFill>
                    </w:rPr>
                  </w:pPr>
                </w:p>
              </w:tc>
              <w:tc>
                <w:tcPr>
                  <w:tcW w:w="44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X</w:t>
                  </w:r>
                </w:p>
              </w:tc>
              <w:tc>
                <w:tcPr>
                  <w:tcW w:w="49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Y</w:t>
                  </w:r>
                </w:p>
              </w:tc>
              <w:tc>
                <w:tcPr>
                  <w:tcW w:w="758" w:type="pct"/>
                  <w:vMerge w:val="continue"/>
                  <w:vAlign w:val="center"/>
                </w:tcPr>
                <w:p>
                  <w:pPr>
                    <w:pStyle w:val="79"/>
                    <w:rPr>
                      <w:color w:val="000000" w:themeColor="text1"/>
                      <w14:textFill>
                        <w14:solidFill>
                          <w14:schemeClr w14:val="tx1"/>
                        </w14:solidFill>
                      </w14:textFill>
                    </w:rPr>
                  </w:pPr>
                </w:p>
              </w:tc>
              <w:tc>
                <w:tcPr>
                  <w:tcW w:w="1298" w:type="pct"/>
                  <w:vMerge w:val="continue"/>
                  <w:vAlign w:val="center"/>
                </w:tcPr>
                <w:p>
                  <w:pPr>
                    <w:pStyle w:val="79"/>
                    <w:rPr>
                      <w:color w:val="000000" w:themeColor="text1"/>
                      <w14:textFill>
                        <w14:solidFill>
                          <w14:schemeClr w14:val="tx1"/>
                        </w14:solidFill>
                      </w14:textFill>
                    </w:rPr>
                  </w:pPr>
                </w:p>
              </w:tc>
              <w:tc>
                <w:tcPr>
                  <w:tcW w:w="402" w:type="pct"/>
                  <w:vMerge w:val="continue"/>
                  <w:vAlign w:val="center"/>
                </w:tcPr>
                <w:p>
                  <w:pPr>
                    <w:pStyle w:val="79"/>
                    <w:rPr>
                      <w:color w:val="000000" w:themeColor="text1"/>
                      <w14:textFill>
                        <w14:solidFill>
                          <w14:schemeClr w14:val="tx1"/>
                        </w14:solidFill>
                      </w14:textFill>
                    </w:rPr>
                  </w:pPr>
                </w:p>
              </w:tc>
              <w:tc>
                <w:tcPr>
                  <w:tcW w:w="498" w:type="pct"/>
                  <w:vMerge w:val="continue"/>
                  <w:vAlign w:val="center"/>
                </w:tcPr>
                <w:p>
                  <w:pPr>
                    <w:pStyle w:val="79"/>
                    <w:rPr>
                      <w:color w:val="000000" w:themeColor="text1"/>
                      <w14:textFill>
                        <w14:solidFill>
                          <w14:schemeClr w14:val="tx1"/>
                        </w14:solidFill>
                      </w14:textFill>
                    </w:rPr>
                  </w:pPr>
                </w:p>
              </w:tc>
              <w:tc>
                <w:tcPr>
                  <w:tcW w:w="718" w:type="pct"/>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3"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大</w:t>
                  </w:r>
                </w:p>
                <w:p>
                  <w:pPr>
                    <w:pStyle w:val="79"/>
                    <w:rPr>
                      <w:color w:val="000000" w:themeColor="text1"/>
                      <w14:textFill>
                        <w14:solidFill>
                          <w14:schemeClr w14:val="tx1"/>
                        </w14:solidFill>
                      </w14:textFill>
                    </w:rPr>
                  </w:pPr>
                  <w:r>
                    <w:rPr>
                      <w:color w:val="000000" w:themeColor="text1"/>
                      <w14:textFill>
                        <w14:solidFill>
                          <w14:schemeClr w14:val="tx1"/>
                        </w14:solidFill>
                      </w14:textFill>
                    </w:rPr>
                    <w:t>气</w:t>
                  </w:r>
                </w:p>
                <w:p>
                  <w:pPr>
                    <w:pStyle w:val="79"/>
                    <w:rPr>
                      <w:color w:val="000000" w:themeColor="text1"/>
                      <w14:textFill>
                        <w14:solidFill>
                          <w14:schemeClr w14:val="tx1"/>
                        </w14:solidFill>
                      </w14:textFill>
                    </w:rPr>
                  </w:pPr>
                  <w:r>
                    <w:rPr>
                      <w:color w:val="000000" w:themeColor="text1"/>
                      <w14:textFill>
                        <w14:solidFill>
                          <w14:schemeClr w14:val="tx1"/>
                        </w14:solidFill>
                      </w14:textFill>
                    </w:rPr>
                    <w:t>环</w:t>
                  </w:r>
                </w:p>
                <w:p>
                  <w:pPr>
                    <w:pStyle w:val="79"/>
                    <w:rPr>
                      <w:color w:val="000000" w:themeColor="text1"/>
                      <w14:textFill>
                        <w14:solidFill>
                          <w14:schemeClr w14:val="tx1"/>
                        </w14:solidFill>
                      </w14:textFill>
                    </w:rPr>
                  </w:pPr>
                  <w:r>
                    <w:rPr>
                      <w:color w:val="000000" w:themeColor="text1"/>
                      <w14:textFill>
                        <w14:solidFill>
                          <w14:schemeClr w14:val="tx1"/>
                        </w14:solidFill>
                      </w14:textFill>
                    </w:rPr>
                    <w:t>境</w:t>
                  </w:r>
                </w:p>
              </w:tc>
              <w:tc>
                <w:tcPr>
                  <w:tcW w:w="44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49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5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祁东县城区</w:t>
                  </w:r>
                </w:p>
              </w:tc>
              <w:tc>
                <w:tcPr>
                  <w:tcW w:w="129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居住，约3万人</w:t>
                  </w:r>
                </w:p>
              </w:tc>
              <w:tc>
                <w:tcPr>
                  <w:tcW w:w="402"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二类区</w:t>
                  </w:r>
                </w:p>
              </w:tc>
              <w:tc>
                <w:tcPr>
                  <w:tcW w:w="49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E</w:t>
                  </w:r>
                </w:p>
              </w:tc>
              <w:tc>
                <w:tcPr>
                  <w:tcW w:w="71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3" w:type="pct"/>
                  <w:vMerge w:val="continue"/>
                  <w:vAlign w:val="center"/>
                </w:tcPr>
                <w:p>
                  <w:pPr>
                    <w:pStyle w:val="79"/>
                    <w:rPr>
                      <w:color w:val="000000" w:themeColor="text1"/>
                      <w14:textFill>
                        <w14:solidFill>
                          <w14:schemeClr w14:val="tx1"/>
                        </w14:solidFill>
                      </w14:textFill>
                    </w:rPr>
                  </w:pPr>
                </w:p>
              </w:tc>
              <w:tc>
                <w:tcPr>
                  <w:tcW w:w="44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9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75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曙光村</w:t>
                  </w:r>
                </w:p>
              </w:tc>
              <w:tc>
                <w:tcPr>
                  <w:tcW w:w="129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居住，约500人</w:t>
                  </w:r>
                </w:p>
              </w:tc>
              <w:tc>
                <w:tcPr>
                  <w:tcW w:w="402" w:type="pct"/>
                  <w:vMerge w:val="continue"/>
                  <w:vAlign w:val="center"/>
                </w:tcPr>
                <w:p>
                  <w:pPr>
                    <w:pStyle w:val="79"/>
                    <w:rPr>
                      <w:color w:val="000000" w:themeColor="text1"/>
                      <w14:textFill>
                        <w14:solidFill>
                          <w14:schemeClr w14:val="tx1"/>
                        </w14:solidFill>
                      </w14:textFill>
                    </w:rPr>
                  </w:pPr>
                </w:p>
              </w:tc>
              <w:tc>
                <w:tcPr>
                  <w:tcW w:w="49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w:t>
                  </w:r>
                </w:p>
              </w:tc>
              <w:tc>
                <w:tcPr>
                  <w:tcW w:w="71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3" w:type="pct"/>
                  <w:vMerge w:val="continue"/>
                  <w:vAlign w:val="center"/>
                </w:tcPr>
                <w:p>
                  <w:pPr>
                    <w:pStyle w:val="79"/>
                    <w:rPr>
                      <w:color w:val="000000" w:themeColor="text1"/>
                      <w14:textFill>
                        <w14:solidFill>
                          <w14:schemeClr w14:val="tx1"/>
                        </w14:solidFill>
                      </w14:textFill>
                    </w:rPr>
                  </w:pPr>
                </w:p>
              </w:tc>
              <w:tc>
                <w:tcPr>
                  <w:tcW w:w="44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-860</w:t>
                  </w:r>
                </w:p>
              </w:tc>
              <w:tc>
                <w:tcPr>
                  <w:tcW w:w="49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-680</w:t>
                  </w:r>
                </w:p>
              </w:tc>
              <w:tc>
                <w:tcPr>
                  <w:tcW w:w="75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唐家湾</w:t>
                  </w:r>
                </w:p>
              </w:tc>
              <w:tc>
                <w:tcPr>
                  <w:tcW w:w="129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居住，约40人</w:t>
                  </w:r>
                </w:p>
              </w:tc>
              <w:tc>
                <w:tcPr>
                  <w:tcW w:w="402" w:type="pct"/>
                  <w:vMerge w:val="continue"/>
                  <w:vAlign w:val="center"/>
                </w:tcPr>
                <w:p>
                  <w:pPr>
                    <w:pStyle w:val="79"/>
                    <w:rPr>
                      <w:color w:val="000000" w:themeColor="text1"/>
                      <w14:textFill>
                        <w14:solidFill>
                          <w14:schemeClr w14:val="tx1"/>
                        </w14:solidFill>
                      </w14:textFill>
                    </w:rPr>
                  </w:pPr>
                </w:p>
              </w:tc>
              <w:tc>
                <w:tcPr>
                  <w:tcW w:w="49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SW</w:t>
                  </w:r>
                </w:p>
              </w:tc>
              <w:tc>
                <w:tcPr>
                  <w:tcW w:w="71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1105-1325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3" w:type="pct"/>
                  <w:vMerge w:val="continue"/>
                  <w:vAlign w:val="center"/>
                </w:tcPr>
                <w:p>
                  <w:pPr>
                    <w:pStyle w:val="79"/>
                    <w:rPr>
                      <w:color w:val="000000" w:themeColor="text1"/>
                      <w14:textFill>
                        <w14:solidFill>
                          <w14:schemeClr w14:val="tx1"/>
                        </w14:solidFill>
                      </w14:textFill>
                    </w:rPr>
                  </w:pPr>
                </w:p>
              </w:tc>
              <w:tc>
                <w:tcPr>
                  <w:tcW w:w="44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-105</w:t>
                  </w:r>
                </w:p>
              </w:tc>
              <w:tc>
                <w:tcPr>
                  <w:tcW w:w="49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5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洪丰镇</w:t>
                  </w:r>
                </w:p>
              </w:tc>
              <w:tc>
                <w:tcPr>
                  <w:tcW w:w="129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居住，约600人</w:t>
                  </w:r>
                </w:p>
              </w:tc>
              <w:tc>
                <w:tcPr>
                  <w:tcW w:w="402" w:type="pct"/>
                  <w:vMerge w:val="continue"/>
                  <w:vAlign w:val="center"/>
                </w:tcPr>
                <w:p>
                  <w:pPr>
                    <w:pStyle w:val="79"/>
                    <w:rPr>
                      <w:color w:val="000000" w:themeColor="text1"/>
                      <w14:textFill>
                        <w14:solidFill>
                          <w14:schemeClr w14:val="tx1"/>
                        </w14:solidFill>
                      </w14:textFill>
                    </w:rPr>
                  </w:pPr>
                </w:p>
              </w:tc>
              <w:tc>
                <w:tcPr>
                  <w:tcW w:w="49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w:t>
                  </w:r>
                </w:p>
              </w:tc>
              <w:tc>
                <w:tcPr>
                  <w:tcW w:w="71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105-1380</w:t>
                  </w:r>
                </w:p>
              </w:tc>
            </w:tr>
          </w:tbl>
          <w:p>
            <w:pPr>
              <w:pStyle w:val="88"/>
              <w:rPr>
                <w:color w:val="000000" w:themeColor="text1"/>
                <w14:textFill>
                  <w14:solidFill>
                    <w14:schemeClr w14:val="tx1"/>
                  </w14:solidFill>
                </w14:textFill>
              </w:rPr>
            </w:pPr>
            <w:r>
              <w:rPr>
                <w:color w:val="000000" w:themeColor="text1"/>
                <w14:textFill>
                  <w14:solidFill>
                    <w14:schemeClr w14:val="tx1"/>
                  </w14:solidFill>
                </w14:textFill>
              </w:rPr>
              <w:t>表3-</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 xml:space="preserve">  主要地表水及声环境保护目标</w:t>
            </w:r>
          </w:p>
          <w:tbl>
            <w:tblPr>
              <w:tblStyle w:val="28"/>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73"/>
              <w:gridCol w:w="1280"/>
              <w:gridCol w:w="1841"/>
              <w:gridCol w:w="1559"/>
              <w:gridCol w:w="32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69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保护对象</w:t>
                  </w:r>
                </w:p>
              </w:tc>
              <w:tc>
                <w:tcPr>
                  <w:tcW w:w="100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功能区划</w:t>
                  </w:r>
                </w:p>
              </w:tc>
              <w:tc>
                <w:tcPr>
                  <w:tcW w:w="849" w:type="pct"/>
                  <w:tcBorders>
                    <w:bottom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相对方位距离</w:t>
                  </w:r>
                </w:p>
              </w:tc>
              <w:tc>
                <w:tcPr>
                  <w:tcW w:w="175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执行标准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地表水环境</w:t>
                  </w:r>
                </w:p>
              </w:tc>
              <w:tc>
                <w:tcPr>
                  <w:tcW w:w="69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白河</w:t>
                  </w:r>
                </w:p>
              </w:tc>
              <w:tc>
                <w:tcPr>
                  <w:tcW w:w="100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渔业用水区</w:t>
                  </w:r>
                </w:p>
              </w:tc>
              <w:tc>
                <w:tcPr>
                  <w:tcW w:w="849" w:type="pct"/>
                  <w:tcBorders>
                    <w:bottom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WE7.9km</w:t>
                  </w:r>
                </w:p>
              </w:tc>
              <w:tc>
                <w:tcPr>
                  <w:tcW w:w="175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《地表水环境质量标准》（GB3838-2002）Ⅲ类标准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声环境</w:t>
                  </w:r>
                </w:p>
              </w:tc>
              <w:tc>
                <w:tcPr>
                  <w:tcW w:w="69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祁东县城区</w:t>
                  </w:r>
                </w:p>
              </w:tc>
              <w:tc>
                <w:tcPr>
                  <w:tcW w:w="100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居住，约500万人</w:t>
                  </w:r>
                </w:p>
              </w:tc>
              <w:tc>
                <w:tcPr>
                  <w:tcW w:w="84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E5-200m</w:t>
                  </w:r>
                </w:p>
              </w:tc>
              <w:tc>
                <w:tcPr>
                  <w:tcW w:w="1758"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《声环境质量标准》（GB3096-2008）</w:t>
                  </w:r>
                  <w:r>
                    <w:rPr>
                      <w:rFonts w:hint="eastAsia"/>
                      <w:color w:val="000000" w:themeColor="text1"/>
                      <w14:textFill>
                        <w14:solidFill>
                          <w14:schemeClr w14:val="tx1"/>
                        </w14:solidFill>
                      </w14:textFill>
                    </w:rPr>
                    <w:t>2类标准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pct"/>
                  <w:vMerge w:val="continue"/>
                  <w:vAlign w:val="center"/>
                </w:tcPr>
                <w:p>
                  <w:pPr>
                    <w:pStyle w:val="79"/>
                    <w:rPr>
                      <w:color w:val="000000" w:themeColor="text1"/>
                      <w14:textFill>
                        <w14:solidFill>
                          <w14:schemeClr w14:val="tx1"/>
                        </w14:solidFill>
                      </w14:textFill>
                    </w:rPr>
                  </w:pPr>
                </w:p>
              </w:tc>
              <w:tc>
                <w:tcPr>
                  <w:tcW w:w="69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曙光村</w:t>
                  </w:r>
                </w:p>
              </w:tc>
              <w:tc>
                <w:tcPr>
                  <w:tcW w:w="100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居住，约100人</w:t>
                  </w:r>
                </w:p>
              </w:tc>
              <w:tc>
                <w:tcPr>
                  <w:tcW w:w="84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S20-2000m</w:t>
                  </w:r>
                </w:p>
              </w:tc>
              <w:tc>
                <w:tcPr>
                  <w:tcW w:w="1758" w:type="pct"/>
                  <w:vMerge w:val="continue"/>
                  <w:vAlign w:val="center"/>
                </w:tcPr>
                <w:p>
                  <w:pPr>
                    <w:pStyle w:val="79"/>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生态环境</w:t>
                  </w:r>
                </w:p>
              </w:tc>
              <w:tc>
                <w:tcPr>
                  <w:tcW w:w="69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项目</w:t>
                  </w:r>
                </w:p>
                <w:p>
                  <w:pPr>
                    <w:pStyle w:val="79"/>
                    <w:rPr>
                      <w:color w:val="000000" w:themeColor="text1"/>
                      <w14:textFill>
                        <w14:solidFill>
                          <w14:schemeClr w14:val="tx1"/>
                        </w14:solidFill>
                      </w14:textFill>
                    </w:rPr>
                  </w:pPr>
                  <w:r>
                    <w:rPr>
                      <w:color w:val="000000" w:themeColor="text1"/>
                      <w14:textFill>
                        <w14:solidFill>
                          <w14:schemeClr w14:val="tx1"/>
                        </w14:solidFill>
                      </w14:textFill>
                    </w:rPr>
                    <w:t>周边植被</w:t>
                  </w:r>
                </w:p>
              </w:tc>
              <w:tc>
                <w:tcPr>
                  <w:tcW w:w="1852"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樟木、杉树、马尾松等常见树</w:t>
                  </w:r>
                </w:p>
              </w:tc>
              <w:tc>
                <w:tcPr>
                  <w:tcW w:w="17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不得越过用地红线随意破坏周边植被</w:t>
                  </w:r>
                </w:p>
              </w:tc>
            </w:tr>
          </w:tbl>
          <w:p>
            <w:pPr>
              <w:adjustRightInd w:val="0"/>
              <w:snapToGrid w:val="0"/>
              <w:spacing w:line="360" w:lineRule="auto"/>
              <w:rPr>
                <w:rStyle w:val="77"/>
                <w:rFonts w:ascii="Times New Roman" w:hAnsi="Times New Roman"/>
                <w:color w:val="000000" w:themeColor="text1"/>
                <w:szCs w:val="28"/>
                <w14:textFill>
                  <w14:solidFill>
                    <w14:schemeClr w14:val="tx1"/>
                  </w14:solidFill>
                </w14:textFill>
              </w:rPr>
            </w:pPr>
          </w:p>
        </w:tc>
      </w:tr>
    </w:tbl>
    <w:p>
      <w:pPr>
        <w:rPr>
          <w:rFonts w:ascii="Times New Roman" w:hAnsi="Times New Roman"/>
          <w:b/>
          <w:color w:val="000000" w:themeColor="text1"/>
          <w:sz w:val="36"/>
          <w:szCs w:val="36"/>
          <w14:textFill>
            <w14:solidFill>
              <w14:schemeClr w14:val="tx1"/>
            </w14:solidFill>
          </w14:textFill>
        </w:rPr>
        <w:sectPr>
          <w:footerReference r:id="rId4" w:type="default"/>
          <w:pgSz w:w="11906" w:h="16838"/>
          <w:pgMar w:top="1440" w:right="1361" w:bottom="1440" w:left="1361" w:header="851" w:footer="992" w:gutter="0"/>
          <w:pgNumType w:start="1"/>
          <w:cols w:space="720" w:num="1"/>
          <w:docGrid w:type="lines" w:linePitch="312" w:charSpace="0"/>
        </w:sectPr>
      </w:pPr>
    </w:p>
    <w:p>
      <w:pPr>
        <w:pStyle w:val="2"/>
        <w:spacing w:before="0" w:after="0" w:line="360" w:lineRule="auto"/>
        <w:rPr>
          <w:rFonts w:ascii="Times New Roman" w:hAnsi="Times New Roman"/>
          <w:color w:val="000000" w:themeColor="text1"/>
          <w:sz w:val="28"/>
          <w:szCs w:val="28"/>
          <w14:textFill>
            <w14:solidFill>
              <w14:schemeClr w14:val="tx1"/>
            </w14:solidFill>
          </w14:textFill>
        </w:rPr>
      </w:pPr>
      <w:bookmarkStart w:id="20" w:name="_Toc29913613"/>
      <w:r>
        <w:rPr>
          <w:rFonts w:ascii="Times New Roman" w:hAnsi="Times New Roman"/>
          <w:color w:val="000000" w:themeColor="text1"/>
          <w:sz w:val="28"/>
          <w:szCs w:val="28"/>
          <w14:textFill>
            <w14:solidFill>
              <w14:schemeClr w14:val="tx1"/>
            </w14:solidFill>
          </w14:textFill>
        </w:rPr>
        <w:t>四、评价适用标准</w:t>
      </w:r>
      <w:bookmarkEnd w:id="20"/>
    </w:p>
    <w:tbl>
      <w:tblPr>
        <w:tblStyle w:val="28"/>
        <w:tblW w:w="940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703"/>
        <w:gridCol w:w="869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664" w:hRule="atLeast"/>
          <w:jc w:val="center"/>
        </w:trPr>
        <w:tc>
          <w:tcPr>
            <w:tcW w:w="703" w:type="dxa"/>
            <w:tcBorders>
              <w:bottom w:val="single" w:color="auto" w:sz="4" w:space="0"/>
              <w:right w:val="single" w:color="auto" w:sz="4" w:space="0"/>
            </w:tcBorders>
            <w:vAlign w:val="center"/>
          </w:tcPr>
          <w:p>
            <w:pPr>
              <w:spacing w:line="336" w:lineRule="auto"/>
              <w:ind w:left="105" w:right="105" w:rightChars="5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环境质量标准</w:t>
            </w:r>
          </w:p>
        </w:tc>
        <w:tc>
          <w:tcPr>
            <w:tcW w:w="8697" w:type="dxa"/>
            <w:tcBorders>
              <w:left w:val="single" w:color="auto" w:sz="4" w:space="0"/>
              <w:bottom w:val="single" w:color="auto" w:sz="4" w:space="0"/>
            </w:tcBorders>
          </w:tcPr>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1、环境空气</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项目所在地SO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、CO、O</w:t>
            </w:r>
            <w:r>
              <w:rPr>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、TSP</w:t>
            </w:r>
            <w:r>
              <w:rPr>
                <w:color w:val="000000" w:themeColor="text1"/>
                <w14:textFill>
                  <w14:solidFill>
                    <w14:schemeClr w14:val="tx1"/>
                  </w14:solidFill>
                </w14:textFill>
              </w:rPr>
              <w:t>执行《环境空气质量标准》（GB3095-2012）及其修改单中二级标准</w:t>
            </w:r>
            <w:r>
              <w:rPr>
                <w:rFonts w:hint="eastAsia"/>
                <w:color w:val="000000" w:themeColor="text1"/>
                <w14:textFill>
                  <w14:solidFill>
                    <w14:schemeClr w14:val="tx1"/>
                  </w14:solidFill>
                </w14:textFill>
              </w:rPr>
              <w:t>，</w:t>
            </w:r>
            <w:r>
              <w:rPr>
                <w:color w:val="000000" w:themeColor="text1"/>
                <w:szCs w:val="24"/>
                <w14:textFill>
                  <w14:solidFill>
                    <w14:schemeClr w14:val="tx1"/>
                  </w14:solidFill>
                </w14:textFill>
              </w:rPr>
              <w:t>非甲烷总烃</w:t>
            </w:r>
            <w:r>
              <w:rPr>
                <w:rFonts w:hint="eastAsia"/>
                <w:color w:val="000000" w:themeColor="text1"/>
                <w:szCs w:val="24"/>
                <w14:textFill>
                  <w14:solidFill>
                    <w14:schemeClr w14:val="tx1"/>
                  </w14:solidFill>
                </w14:textFill>
              </w:rPr>
              <w:t>执行</w:t>
            </w:r>
            <w:r>
              <w:rPr>
                <w:color w:val="000000" w:themeColor="text1"/>
                <w:szCs w:val="24"/>
                <w14:textFill>
                  <w14:solidFill>
                    <w14:schemeClr w14:val="tx1"/>
                  </w14:solidFill>
                </w14:textFill>
              </w:rPr>
              <w:t>《大气污染物综合排放标准详解》中标准</w:t>
            </w:r>
            <w:r>
              <w:rPr>
                <w:rFonts w:hint="eastAsia"/>
                <w:color w:val="000000" w:themeColor="text1"/>
                <w:szCs w:val="24"/>
                <w14:textFill>
                  <w14:solidFill>
                    <w14:schemeClr w14:val="tx1"/>
                  </w14:solidFill>
                </w14:textFill>
              </w:rPr>
              <w:t>限值</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具体限值详见下表。</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表4-1  环境空气质量标准（单位：</w:t>
            </w:r>
            <w:r>
              <w:rPr>
                <w:bCs/>
                <w:color w:val="000000" w:themeColor="text1"/>
                <w:kern w:val="0"/>
                <w:szCs w:val="21"/>
                <w14:textFill>
                  <w14:solidFill>
                    <w14:schemeClr w14:val="tx1"/>
                  </w14:solidFill>
                </w14:textFill>
              </w:rPr>
              <w:t>μg/m</w:t>
            </w:r>
            <w:r>
              <w:rPr>
                <w:bCs/>
                <w:color w:val="000000" w:themeColor="text1"/>
                <w:kern w:val="0"/>
                <w:szCs w:val="21"/>
                <w:vertAlign w:val="superscript"/>
                <w14:textFill>
                  <w14:solidFill>
                    <w14:schemeClr w14:val="tx1"/>
                  </w14:solidFill>
                </w14:textFill>
              </w:rPr>
              <w:t>3</w:t>
            </w:r>
            <w:r>
              <w:rPr>
                <w:color w:val="000000" w:themeColor="text1"/>
                <w14:textFill>
                  <w14:solidFill>
                    <w14:schemeClr w14:val="tx1"/>
                  </w14:solidFill>
                </w14:textFill>
              </w:rPr>
              <w:t>）</w:t>
            </w:r>
          </w:p>
          <w:tbl>
            <w:tblPr>
              <w:tblStyle w:val="28"/>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2330"/>
              <w:gridCol w:w="1021"/>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污染物名称</w:t>
                  </w:r>
                </w:p>
              </w:tc>
              <w:tc>
                <w:tcPr>
                  <w:tcW w:w="3351"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标准值</w:t>
                  </w:r>
                </w:p>
              </w:tc>
              <w:tc>
                <w:tcPr>
                  <w:tcW w:w="348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选用标准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3481"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环</w:t>
                  </w:r>
                  <w:r>
                    <w:rPr>
                      <w:color w:val="000000" w:themeColor="text1"/>
                      <w14:textFill>
                        <w14:solidFill>
                          <w14:schemeClr w14:val="tx1"/>
                        </w14:solidFill>
                      </w14:textFill>
                    </w:rPr>
                    <w:t>境空气质量标准》（GB3095-2012）及其修改单中的二级标准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continue"/>
                  <w:vAlign w:val="center"/>
                </w:tcPr>
                <w:p>
                  <w:pPr>
                    <w:pStyle w:val="79"/>
                    <w:rPr>
                      <w:color w:val="000000" w:themeColor="text1"/>
                      <w14:textFill>
                        <w14:solidFill>
                          <w14:schemeClr w14:val="tx1"/>
                        </w14:solidFill>
                      </w14:textFill>
                    </w:rPr>
                  </w:pP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1小时平均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500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102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continue"/>
                  <w:vAlign w:val="center"/>
                </w:tcPr>
                <w:p>
                  <w:pPr>
                    <w:pStyle w:val="79"/>
                    <w:rPr>
                      <w:color w:val="000000" w:themeColor="text1"/>
                      <w14:textFill>
                        <w14:solidFill>
                          <w14:schemeClr w14:val="tx1"/>
                        </w14:solidFill>
                      </w14:textFill>
                    </w:rPr>
                  </w:pP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1小时平均</w:t>
                  </w:r>
                </w:p>
              </w:tc>
              <w:tc>
                <w:tcPr>
                  <w:tcW w:w="102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CO</w:t>
                  </w: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4000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continue"/>
                  <w:vAlign w:val="center"/>
                </w:tcPr>
                <w:p>
                  <w:pPr>
                    <w:pStyle w:val="79"/>
                    <w:rPr>
                      <w:color w:val="000000" w:themeColor="text1"/>
                      <w14:textFill>
                        <w14:solidFill>
                          <w14:schemeClr w14:val="tx1"/>
                        </w14:solidFill>
                      </w14:textFill>
                    </w:rPr>
                  </w:pP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1小时平均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10000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3</w:t>
                  </w: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日最大8小时平均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160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continue"/>
                  <w:vAlign w:val="center"/>
                </w:tcPr>
                <w:p>
                  <w:pPr>
                    <w:pStyle w:val="79"/>
                    <w:rPr>
                      <w:color w:val="000000" w:themeColor="text1"/>
                      <w14:textFill>
                        <w14:solidFill>
                          <w14:schemeClr w14:val="tx1"/>
                        </w14:solidFill>
                      </w14:textFill>
                    </w:rPr>
                  </w:pP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1小时平均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continue"/>
                  <w:vAlign w:val="center"/>
                </w:tcPr>
                <w:p>
                  <w:pPr>
                    <w:pStyle w:val="79"/>
                    <w:rPr>
                      <w:color w:val="000000" w:themeColor="text1"/>
                      <w14:textFill>
                        <w14:solidFill>
                          <w14:schemeClr w14:val="tx1"/>
                        </w14:solidFill>
                      </w14:textFill>
                    </w:rPr>
                  </w:pP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35</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continue"/>
                  <w:vAlign w:val="center"/>
                </w:tcPr>
                <w:p>
                  <w:pPr>
                    <w:pStyle w:val="79"/>
                    <w:rPr>
                      <w:color w:val="000000" w:themeColor="text1"/>
                      <w14:textFill>
                        <w14:solidFill>
                          <w14:schemeClr w14:val="tx1"/>
                        </w14:solidFill>
                      </w14:textFill>
                    </w:rPr>
                  </w:pP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75</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总悬浮颗粒物（TSP）</w:t>
                  </w: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年平均</w:t>
                  </w:r>
                </w:p>
              </w:tc>
              <w:tc>
                <w:tcPr>
                  <w:tcW w:w="102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continue"/>
                  <w:vAlign w:val="center"/>
                </w:tcPr>
                <w:p>
                  <w:pPr>
                    <w:pStyle w:val="79"/>
                    <w:rPr>
                      <w:color w:val="000000" w:themeColor="text1"/>
                      <w14:textFill>
                        <w14:solidFill>
                          <w14:schemeClr w14:val="tx1"/>
                        </w14:solidFill>
                      </w14:textFill>
                    </w:rPr>
                  </w:pPr>
                </w:p>
              </w:tc>
              <w:tc>
                <w:tcPr>
                  <w:tcW w:w="233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24</w:t>
                  </w:r>
                  <w:r>
                    <w:rPr>
                      <w:color w:val="000000" w:themeColor="text1"/>
                      <w14:textFill>
                        <w14:solidFill>
                          <w14:schemeClr w14:val="tx1"/>
                        </w14:solidFill>
                      </w14:textFill>
                    </w:rPr>
                    <w:t>小时平均</w:t>
                  </w:r>
                </w:p>
              </w:tc>
              <w:tc>
                <w:tcPr>
                  <w:tcW w:w="102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233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一次值</w:t>
                  </w:r>
                </w:p>
              </w:tc>
              <w:tc>
                <w:tcPr>
                  <w:tcW w:w="102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2000</w:t>
                  </w:r>
                </w:p>
              </w:tc>
              <w:tc>
                <w:tcPr>
                  <w:tcW w:w="348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《大气污染物综合排放标准详解》</w:t>
                  </w:r>
                </w:p>
              </w:tc>
            </w:tr>
          </w:tbl>
          <w:p>
            <w:pPr>
              <w:spacing w:before="156" w:beforeLines="50"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2、地表水环境质量标准</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本项目外排废水在厂区内预处理后经市政污水管网引入祁东县渔陂污水处理厂进行处理，处理后的废水外排至白河，</w:t>
            </w:r>
            <w:r>
              <w:rPr>
                <w:rFonts w:hint="eastAsia"/>
                <w:bCs/>
                <w:color w:val="000000" w:themeColor="text1"/>
                <w:spacing w:val="6"/>
                <w14:textFill>
                  <w14:solidFill>
                    <w14:schemeClr w14:val="tx1"/>
                  </w14:solidFill>
                </w14:textFill>
              </w:rPr>
              <w:t>饮用渔业用水区，执行</w:t>
            </w:r>
            <w:r>
              <w:rPr>
                <w:color w:val="000000" w:themeColor="text1"/>
                <w14:textFill>
                  <w14:solidFill>
                    <w14:schemeClr w14:val="tx1"/>
                  </w14:solidFill>
                </w14:textFill>
              </w:rPr>
              <w:t>《地表水环境质量标准》（GB3838-2002）中</w:t>
            </w:r>
            <w:r>
              <w:rPr>
                <w:rFonts w:hint="eastAsia"/>
                <w:color w:val="000000" w:themeColor="text1"/>
                <w14:textFill>
                  <w14:solidFill>
                    <w14:schemeClr w14:val="tx1"/>
                  </w14:solidFill>
                </w14:textFill>
              </w:rPr>
              <w:t>Ⅲ</w:t>
            </w:r>
            <w:r>
              <w:rPr>
                <w:color w:val="000000" w:themeColor="text1"/>
                <w14:textFill>
                  <w14:solidFill>
                    <w14:schemeClr w14:val="tx1"/>
                  </w14:solidFill>
                </w14:textFill>
              </w:rPr>
              <w:t>类标准</w:t>
            </w:r>
            <w:r>
              <w:rPr>
                <w:rFonts w:hint="eastAsia"/>
                <w:color w:val="000000" w:themeColor="text1"/>
                <w14:textFill>
                  <w14:solidFill>
                    <w14:schemeClr w14:val="tx1"/>
                  </w14:solidFill>
                </w14:textFill>
              </w:rPr>
              <w:t>。</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表4-2  地表水环境质量标准（单位：mg/L，pH值除外）</w:t>
            </w:r>
          </w:p>
          <w:tbl>
            <w:tblPr>
              <w:tblStyle w:val="28"/>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0" w:type="dxa"/>
                <w:bottom w:w="28" w:type="dxa"/>
                <w:right w:w="0" w:type="dxa"/>
              </w:tblCellMar>
            </w:tblPr>
            <w:tblGrid>
              <w:gridCol w:w="3147"/>
              <w:gridCol w:w="1544"/>
              <w:gridCol w:w="1335"/>
              <w:gridCol w:w="1135"/>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97" w:hRule="atLeast"/>
                <w:jc w:val="center"/>
              </w:trPr>
              <w:tc>
                <w:tcPr>
                  <w:tcW w:w="3147" w:type="dxa"/>
                  <w:tcBorders>
                    <w:tl2br w:val="single" w:color="auto" w:sz="4" w:space="0"/>
                  </w:tcBorders>
                  <w:vAlign w:val="center"/>
                </w:tcPr>
                <w:p>
                  <w:pPr>
                    <w:pStyle w:val="79"/>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标准类别</w:t>
                  </w:r>
                </w:p>
              </w:tc>
              <w:tc>
                <w:tcPr>
                  <w:tcW w:w="154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pH</w:t>
                  </w:r>
                </w:p>
              </w:tc>
              <w:tc>
                <w:tcPr>
                  <w:tcW w:w="133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CODcr</w:t>
                  </w:r>
                </w:p>
              </w:tc>
              <w:tc>
                <w:tcPr>
                  <w:tcW w:w="113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131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97" w:hRule="atLeast"/>
                <w:jc w:val="center"/>
              </w:trPr>
              <w:tc>
                <w:tcPr>
                  <w:tcW w:w="31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GB3838-2002</w:t>
                  </w:r>
                  <w:r>
                    <w:rPr>
                      <w:rFonts w:hint="eastAsia"/>
                      <w:color w:val="000000" w:themeColor="text1"/>
                      <w14:textFill>
                        <w14:solidFill>
                          <w14:schemeClr w14:val="tx1"/>
                        </w14:solidFill>
                      </w14:textFill>
                    </w:rPr>
                    <w:t xml:space="preserve"> Ⅲ</w:t>
                  </w:r>
                  <w:r>
                    <w:rPr>
                      <w:color w:val="000000" w:themeColor="text1"/>
                      <w14:textFill>
                        <w14:solidFill>
                          <w14:schemeClr w14:val="tx1"/>
                        </w14:solidFill>
                      </w14:textFill>
                    </w:rPr>
                    <w:t>类</w:t>
                  </w:r>
                </w:p>
              </w:tc>
              <w:tc>
                <w:tcPr>
                  <w:tcW w:w="154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6～9</w:t>
                  </w:r>
                </w:p>
              </w:tc>
              <w:tc>
                <w:tcPr>
                  <w:tcW w:w="133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w:t>
                  </w:r>
                </w:p>
              </w:tc>
              <w:tc>
                <w:tcPr>
                  <w:tcW w:w="113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w:t>
                  </w:r>
                </w:p>
              </w:tc>
              <w:tc>
                <w:tcPr>
                  <w:tcW w:w="131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w:t>
                  </w:r>
                </w:p>
              </w:tc>
            </w:tr>
          </w:tbl>
          <w:p>
            <w:pPr>
              <w:pStyle w:val="54"/>
              <w:spacing w:before="156" w:beforeLines="50"/>
              <w:ind w:firstLine="0" w:firstLineChars="0"/>
              <w:rPr>
                <w:b/>
                <w:color w:val="000000" w:themeColor="text1"/>
                <w:szCs w:val="24"/>
                <w14:textFill>
                  <w14:solidFill>
                    <w14:schemeClr w14:val="tx1"/>
                  </w14:solidFill>
                </w14:textFill>
              </w:rPr>
            </w:pPr>
            <w:r>
              <w:rPr>
                <w:b/>
                <w:color w:val="000000" w:themeColor="text1"/>
                <w:szCs w:val="24"/>
                <w14:textFill>
                  <w14:solidFill>
                    <w14:schemeClr w14:val="tx1"/>
                  </w14:solidFill>
                </w14:textFill>
              </w:rPr>
              <w:t>3、声环境质量标准</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本项目所在地位于</w:t>
            </w:r>
            <w:r>
              <w:rPr>
                <w:color w:val="000000" w:themeColor="text1"/>
                <w:szCs w:val="22"/>
                <w14:textFill>
                  <w14:solidFill>
                    <w14:schemeClr w14:val="tx1"/>
                  </w14:solidFill>
                </w14:textFill>
              </w:rPr>
              <w:t>祁东县洪桥镇洪丰村G322线北侧</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属于2类声环境功能区，</w:t>
            </w:r>
            <w:r>
              <w:rPr>
                <w:color w:val="000000" w:themeColor="text1"/>
                <w14:textFill>
                  <w14:solidFill>
                    <w14:schemeClr w14:val="tx1"/>
                  </w14:solidFill>
                </w14:textFill>
              </w:rPr>
              <w:t>执行《声环境质量标准》（GB3096-2008）中的</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类标准</w:t>
            </w:r>
            <w:r>
              <w:rPr>
                <w:rFonts w:hint="eastAsia"/>
                <w:color w:val="000000" w:themeColor="text1"/>
                <w14:textFill>
                  <w14:solidFill>
                    <w14:schemeClr w14:val="tx1"/>
                  </w14:solidFill>
                </w14:textFill>
              </w:rPr>
              <w:t>，项目南侧靠G322国道35m范围内声环境执行</w:t>
            </w:r>
            <w:r>
              <w:rPr>
                <w:color w:val="000000" w:themeColor="text1"/>
                <w14:textFill>
                  <w14:solidFill>
                    <w14:schemeClr w14:val="tx1"/>
                  </w14:solidFill>
                </w14:textFill>
              </w:rPr>
              <w:t>《声环境质量标准》（GB3096-2008）中的</w:t>
            </w:r>
            <w:r>
              <w:rPr>
                <w:rFonts w:hint="eastAsia"/>
                <w:color w:val="000000" w:themeColor="text1"/>
                <w14:textFill>
                  <w14:solidFill>
                    <w14:schemeClr w14:val="tx1"/>
                  </w14:solidFill>
                </w14:textFill>
              </w:rPr>
              <w:t>4a</w:t>
            </w:r>
            <w:r>
              <w:rPr>
                <w:color w:val="000000" w:themeColor="text1"/>
                <w14:textFill>
                  <w14:solidFill>
                    <w14:schemeClr w14:val="tx1"/>
                  </w14:solidFill>
                </w14:textFill>
              </w:rPr>
              <w:t>类标准。</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表4-3  声环境质量标准（单位：dB(A)）</w:t>
            </w:r>
          </w:p>
          <w:tbl>
            <w:tblPr>
              <w:tblStyle w:val="28"/>
              <w:tblW w:w="8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709"/>
              <w:gridCol w:w="709"/>
              <w:gridCol w:w="3544"/>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49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功能区类别</w:t>
                  </w:r>
                </w:p>
              </w:tc>
              <w:tc>
                <w:tcPr>
                  <w:tcW w:w="70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昼间</w:t>
                  </w:r>
                </w:p>
              </w:tc>
              <w:tc>
                <w:tcPr>
                  <w:tcW w:w="70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夜间</w:t>
                  </w:r>
                </w:p>
              </w:tc>
              <w:tc>
                <w:tcPr>
                  <w:tcW w:w="354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w:t>
                  </w:r>
                </w:p>
              </w:tc>
              <w:tc>
                <w:tcPr>
                  <w:tcW w:w="201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49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w:t>
                  </w:r>
                </w:p>
              </w:tc>
              <w:tc>
                <w:tcPr>
                  <w:tcW w:w="7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3544"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《声环境质量标准》（GB3096-2008）</w:t>
                  </w:r>
                </w:p>
              </w:tc>
              <w:tc>
                <w:tcPr>
                  <w:tcW w:w="201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东</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北</w:t>
                  </w:r>
                  <w:r>
                    <w:rPr>
                      <w:rFonts w:hint="eastAsia"/>
                      <w:color w:val="000000" w:themeColor="text1"/>
                      <w14:textFill>
                        <w14:solidFill>
                          <w14:schemeClr w14:val="tx1"/>
                        </w14:solidFill>
                      </w14:textFill>
                    </w:rPr>
                    <w:t>三</w:t>
                  </w:r>
                  <w:r>
                    <w:rPr>
                      <w:color w:val="000000" w:themeColor="text1"/>
                      <w14:textFill>
                        <w14:solidFill>
                          <w14:schemeClr w14:val="tx1"/>
                        </w14:solidFill>
                      </w14:textFill>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49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4a</w:t>
                  </w:r>
                  <w:r>
                    <w:rPr>
                      <w:color w:val="000000" w:themeColor="text1"/>
                      <w14:textFill>
                        <w14:solidFill>
                          <w14:schemeClr w14:val="tx1"/>
                        </w14:solidFill>
                      </w14:textFill>
                    </w:rPr>
                    <w:t>类</w:t>
                  </w:r>
                </w:p>
              </w:tc>
              <w:tc>
                <w:tcPr>
                  <w:tcW w:w="7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7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3544" w:type="dxa"/>
                  <w:vMerge w:val="continue"/>
                  <w:vAlign w:val="center"/>
                </w:tcPr>
                <w:p>
                  <w:pPr>
                    <w:pStyle w:val="79"/>
                    <w:rPr>
                      <w:color w:val="000000" w:themeColor="text1"/>
                      <w14:textFill>
                        <w14:solidFill>
                          <w14:schemeClr w14:val="tx1"/>
                        </w14:solidFill>
                      </w14:textFill>
                    </w:rPr>
                  </w:pPr>
                </w:p>
              </w:tc>
              <w:tc>
                <w:tcPr>
                  <w:tcW w:w="201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南面</w:t>
                  </w:r>
                </w:p>
              </w:tc>
            </w:tr>
          </w:tbl>
          <w:p>
            <w:pPr>
              <w:snapToGrid w:val="0"/>
              <w:spacing w:line="360" w:lineRule="auto"/>
              <w:jc w:val="center"/>
              <w:rPr>
                <w:rFonts w:ascii="Times New Roman" w:hAnsi="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15" w:hRule="atLeast"/>
          <w:jc w:val="center"/>
        </w:trPr>
        <w:tc>
          <w:tcPr>
            <w:tcW w:w="703" w:type="dxa"/>
            <w:tcBorders>
              <w:top w:val="single" w:color="auto" w:sz="4" w:space="0"/>
              <w:bottom w:val="single" w:color="auto" w:sz="4" w:space="0"/>
              <w:right w:val="single" w:color="auto" w:sz="4" w:space="0"/>
            </w:tcBorders>
            <w:vAlign w:val="center"/>
          </w:tcPr>
          <w:p>
            <w:pPr>
              <w:spacing w:line="336" w:lineRule="auto"/>
              <w:ind w:left="105" w:leftChars="50" w:right="105" w:rightChars="5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污染物排放标准</w:t>
            </w:r>
          </w:p>
        </w:tc>
        <w:tc>
          <w:tcPr>
            <w:tcW w:w="8697" w:type="dxa"/>
            <w:tcBorders>
              <w:top w:val="single" w:color="auto" w:sz="4" w:space="0"/>
              <w:left w:val="single" w:color="auto" w:sz="4" w:space="0"/>
              <w:bottom w:val="single" w:color="auto" w:sz="4" w:space="0"/>
            </w:tcBorders>
          </w:tcPr>
          <w:p>
            <w:pPr>
              <w:spacing w:line="360" w:lineRule="auto"/>
              <w:rPr>
                <w:rFonts w:ascii="Times New Roman" w:hAnsi="Times New Roman"/>
                <w:b/>
                <w:color w:val="000000" w:themeColor="text1"/>
                <w:sz w:val="24"/>
                <w:lang w:val="zh-CN"/>
                <w14:textFill>
                  <w14:solidFill>
                    <w14:schemeClr w14:val="tx1"/>
                  </w14:solidFill>
                </w14:textFill>
              </w:rPr>
            </w:pPr>
            <w:r>
              <w:rPr>
                <w:rFonts w:ascii="Times New Roman" w:hAnsi="Times New Roman"/>
                <w:b/>
                <w:color w:val="000000" w:themeColor="text1"/>
                <w:sz w:val="24"/>
                <w14:textFill>
                  <w14:solidFill>
                    <w14:schemeClr w14:val="tx1"/>
                  </w14:solidFill>
                </w14:textFill>
              </w:rPr>
              <w:t>1、</w:t>
            </w:r>
            <w:r>
              <w:rPr>
                <w:rFonts w:ascii="Times New Roman" w:hAnsi="Times New Roman"/>
                <w:b/>
                <w:color w:val="000000" w:themeColor="text1"/>
                <w:sz w:val="24"/>
                <w:lang w:val="zh-CN"/>
                <w14:textFill>
                  <w14:solidFill>
                    <w14:schemeClr w14:val="tx1"/>
                  </w14:solidFill>
                </w14:textFill>
              </w:rPr>
              <w:t>废水</w:t>
            </w:r>
          </w:p>
          <w:p>
            <w:pPr>
              <w:pStyle w:val="54"/>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本项目营运期外排废水主要是生活污水及地面冲洗废水。生活污水经化粪池处理后、地面冲洗废水经隔油池处理后达</w:t>
            </w:r>
            <w:r>
              <w:rPr>
                <w:rFonts w:hint="eastAsia"/>
                <w:color w:val="000000" w:themeColor="text1"/>
                <w14:textFill>
                  <w14:solidFill>
                    <w14:schemeClr w14:val="tx1"/>
                  </w14:solidFill>
                </w14:textFill>
              </w:rPr>
              <w:t>《污水综合排放标准》（GB8978-1996）三级标准，再</w:t>
            </w:r>
            <w:r>
              <w:rPr>
                <w:rFonts w:hint="eastAsia"/>
                <w:color w:val="000000" w:themeColor="text1"/>
                <w:lang w:val="zh-CN"/>
                <w14:textFill>
                  <w14:solidFill>
                    <w14:schemeClr w14:val="tx1"/>
                  </w14:solidFill>
                </w14:textFill>
              </w:rPr>
              <w:t>经市政污水管网排入祁东县渔陂污水处理厂进行处理，达</w:t>
            </w:r>
            <w:r>
              <w:rPr>
                <w:color w:val="000000" w:themeColor="text1"/>
                <w14:textFill>
                  <w14:solidFill>
                    <w14:schemeClr w14:val="tx1"/>
                  </w14:solidFill>
                </w14:textFill>
              </w:rPr>
              <w:t>《城镇污水处理厂污染物排放标准》一级</w:t>
            </w:r>
            <w:r>
              <w:rPr>
                <w:rFonts w:hint="eastAsia"/>
                <w:color w:val="000000" w:themeColor="text1"/>
                <w14:textFill>
                  <w14:solidFill>
                    <w14:schemeClr w14:val="tx1"/>
                  </w14:solidFill>
                </w14:textFill>
              </w:rPr>
              <w:t>B</w:t>
            </w:r>
            <w:r>
              <w:rPr>
                <w:color w:val="000000" w:themeColor="text1"/>
                <w14:textFill>
                  <w14:solidFill>
                    <w14:schemeClr w14:val="tx1"/>
                  </w14:solidFill>
                </w14:textFill>
              </w:rPr>
              <w:t>标准</w:t>
            </w:r>
            <w:r>
              <w:rPr>
                <w:rFonts w:hint="eastAsia"/>
                <w:color w:val="000000" w:themeColor="text1"/>
                <w:lang w:val="zh-CN"/>
                <w14:textFill>
                  <w14:solidFill>
                    <w14:schemeClr w14:val="tx1"/>
                  </w14:solidFill>
                </w14:textFill>
              </w:rPr>
              <w:t>后外排至白河（祁东县渔陂污水处理厂进水水质标准为</w:t>
            </w:r>
            <w:r>
              <w:rPr>
                <w:rFonts w:hint="eastAsia"/>
                <w:color w:val="000000" w:themeColor="text1"/>
                <w14:textFill>
                  <w14:solidFill>
                    <w14:schemeClr w14:val="tx1"/>
                  </w14:solidFill>
                </w14:textFill>
              </w:rPr>
              <w:t>《污水综合排放标准》（GB8978-1996）三级标准</w:t>
            </w:r>
            <w:r>
              <w:rPr>
                <w:rFonts w:hint="eastAsia"/>
                <w:color w:val="000000" w:themeColor="text1"/>
                <w:lang w:val="zh-CN"/>
                <w14:textFill>
                  <w14:solidFill>
                    <w14:schemeClr w14:val="tx1"/>
                  </w14:solidFill>
                </w14:textFill>
              </w:rPr>
              <w:t>）。</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表4-4  污水排放标准</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2977"/>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40" w:type="pct"/>
                  <w:tcBorders>
                    <w:bottom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污染因子</w:t>
                  </w:r>
                </w:p>
              </w:tc>
              <w:tc>
                <w:tcPr>
                  <w:tcW w:w="1757" w:type="pct"/>
                  <w:tcBorders>
                    <w:bottom w:val="single" w:color="auto" w:sz="4" w:space="0"/>
                  </w:tcBorders>
                  <w:vAlign w:val="center"/>
                </w:tcPr>
                <w:p>
                  <w:pPr>
                    <w:pStyle w:val="79"/>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《污水综合排放标准》（GB8978-1996）三级标准</w:t>
                  </w:r>
                </w:p>
              </w:tc>
              <w:tc>
                <w:tcPr>
                  <w:tcW w:w="1804" w:type="pct"/>
                  <w:tcBorders>
                    <w:bottom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《城镇污水处理厂污染物排放标准》一级</w:t>
                  </w:r>
                  <w:r>
                    <w:rPr>
                      <w:rFonts w:hint="eastAsia"/>
                      <w:color w:val="000000" w:themeColor="text1"/>
                      <w14:textFill>
                        <w14:solidFill>
                          <w14:schemeClr w14:val="tx1"/>
                        </w14:solidFill>
                      </w14:textFill>
                    </w:rPr>
                    <w:t>B</w:t>
                  </w:r>
                  <w:r>
                    <w:rPr>
                      <w:color w:val="000000" w:themeColor="text1"/>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4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pH</w:t>
                  </w:r>
                </w:p>
              </w:tc>
              <w:tc>
                <w:tcPr>
                  <w:tcW w:w="17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6~9</w:t>
                  </w:r>
                </w:p>
              </w:tc>
              <w:tc>
                <w:tcPr>
                  <w:tcW w:w="180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4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COD</w:t>
                  </w:r>
                  <w:r>
                    <w:rPr>
                      <w:color w:val="000000" w:themeColor="text1"/>
                      <w:vertAlign w:val="subscript"/>
                      <w14:textFill>
                        <w14:solidFill>
                          <w14:schemeClr w14:val="tx1"/>
                        </w14:solidFill>
                      </w14:textFill>
                    </w:rPr>
                    <w:t>Cr</w:t>
                  </w:r>
                </w:p>
              </w:tc>
              <w:tc>
                <w:tcPr>
                  <w:tcW w:w="17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500</w:t>
                  </w:r>
                </w:p>
              </w:tc>
              <w:tc>
                <w:tcPr>
                  <w:tcW w:w="180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4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17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180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4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悬浮物（SS）</w:t>
                  </w:r>
                </w:p>
              </w:tc>
              <w:tc>
                <w:tcPr>
                  <w:tcW w:w="17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400</w:t>
                  </w:r>
                </w:p>
              </w:tc>
              <w:tc>
                <w:tcPr>
                  <w:tcW w:w="180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4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氨氮</w:t>
                  </w:r>
                </w:p>
              </w:tc>
              <w:tc>
                <w:tcPr>
                  <w:tcW w:w="17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0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4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石油类</w:t>
                  </w:r>
                </w:p>
              </w:tc>
              <w:tc>
                <w:tcPr>
                  <w:tcW w:w="175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180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bl>
          <w:p>
            <w:pPr>
              <w:spacing w:before="156" w:beforeLines="50" w:line="360" w:lineRule="auto"/>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2、废气</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运营期，油气（非甲烷总烃）排放执行《大气污染物综合排放标准》（GB16297-1996）表2无组织排放监控浓度限值；卸油油气、储油油气、加油油气执行《加油站大气污染物排放标准》（GB20952-2007）中的相关标准。</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加油站汽油油气回收系统执行《加油站大气污染物排放标准》（GB20952－2007）中的相关规定，加油站油气排放浓度小于等于25mg/L，高度大于等于4m；油气回收系统的气液比范围为1.0~1.2，油气回收管线液阻最大压力限值。</w:t>
            </w:r>
          </w:p>
          <w:p>
            <w:pPr>
              <w:pStyle w:val="88"/>
              <w:rPr>
                <w:color w:val="000000" w:themeColor="text1"/>
                <w14:textFill>
                  <w14:solidFill>
                    <w14:schemeClr w14:val="tx1"/>
                  </w14:solidFill>
                </w14:textFill>
              </w:rPr>
            </w:pPr>
          </w:p>
          <w:p>
            <w:pPr>
              <w:pStyle w:val="88"/>
              <w:rPr>
                <w:color w:val="000000" w:themeColor="text1"/>
                <w14:textFill>
                  <w14:solidFill>
                    <w14:schemeClr w14:val="tx1"/>
                  </w14:solidFill>
                </w14:textFill>
              </w:rPr>
            </w:pPr>
          </w:p>
          <w:p>
            <w:pPr>
              <w:pStyle w:val="88"/>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4-5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废气</w:t>
            </w:r>
            <w:r>
              <w:rPr>
                <w:color w:val="000000" w:themeColor="text1"/>
                <w14:textFill>
                  <w14:solidFill>
                    <w14:schemeClr w14:val="tx1"/>
                  </w14:solidFill>
                </w14:textFill>
              </w:rPr>
              <w:t>污染物排放标准</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3261"/>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类型</w:t>
                  </w:r>
                </w:p>
              </w:tc>
              <w:tc>
                <w:tcPr>
                  <w:tcW w:w="192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执行排放标准</w:t>
                  </w:r>
                </w:p>
              </w:tc>
              <w:tc>
                <w:tcPr>
                  <w:tcW w:w="213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污染因子及排放控制限值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处理装置油气</w:t>
                  </w:r>
                </w:p>
              </w:tc>
              <w:tc>
                <w:tcPr>
                  <w:tcW w:w="192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《加油站大气污染物排放标准》（GB20952－2007）</w:t>
                  </w:r>
                </w:p>
              </w:tc>
              <w:tc>
                <w:tcPr>
                  <w:tcW w:w="213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油气排放浓度≤25mg/L、排放口距地平面高度应不低于4m，排放浓度每年至少检查一次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192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《大气污染物综合排放标准》（GB16297-1996）无组织排放监控浓度限值</w:t>
                  </w:r>
                </w:p>
              </w:tc>
              <w:tc>
                <w:tcPr>
                  <w:tcW w:w="213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周界外浓度最高点浓度限值4.0mg/m</w:t>
                  </w:r>
                  <w:r>
                    <w:rPr>
                      <w:rFonts w:hint="eastAsia"/>
                      <w:color w:val="000000" w:themeColor="text1"/>
                      <w:vertAlign w:val="superscript"/>
                      <w14:textFill>
                        <w14:solidFill>
                          <w14:schemeClr w14:val="tx1"/>
                        </w14:solidFill>
                      </w14:textFill>
                    </w:rPr>
                    <w:t>3</w:t>
                  </w:r>
                </w:p>
              </w:tc>
            </w:tr>
          </w:tbl>
          <w:p>
            <w:pPr>
              <w:spacing w:before="156" w:beforeLines="50" w:line="360" w:lineRule="auto"/>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3、噪声</w:t>
            </w:r>
          </w:p>
          <w:p>
            <w:pPr>
              <w:spacing w:line="360" w:lineRule="auto"/>
              <w:ind w:firstLine="480" w:firstLineChars="200"/>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项目施工期场界噪声执行《建筑施工场界环境噪声排放标准》（GB12523-2011）标准；</w:t>
            </w:r>
            <w:r>
              <w:rPr>
                <w:rFonts w:hint="eastAsia" w:ascii="Times New Roman" w:hAnsi="Times New Roman"/>
                <w:color w:val="000000" w:themeColor="text1"/>
                <w:sz w:val="24"/>
                <w14:textFill>
                  <w14:solidFill>
                    <w14:schemeClr w14:val="tx1"/>
                  </w14:solidFill>
                </w14:textFill>
              </w:rPr>
              <w:t>营运期</w:t>
            </w:r>
            <w:r>
              <w:rPr>
                <w:rFonts w:ascii="Times New Roman" w:hAnsi="Times New Roman"/>
                <w:color w:val="000000" w:themeColor="text1"/>
                <w:sz w:val="24"/>
                <w14:textFill>
                  <w14:solidFill>
                    <w14:schemeClr w14:val="tx1"/>
                  </w14:solidFill>
                </w14:textFill>
              </w:rPr>
              <w:t>项目厂界</w:t>
            </w:r>
            <w:r>
              <w:rPr>
                <w:rFonts w:hint="eastAsia" w:ascii="Times New Roman" w:hAnsi="Times New Roman"/>
                <w:color w:val="000000" w:themeColor="text1"/>
                <w:sz w:val="24"/>
                <w14:textFill>
                  <w14:solidFill>
                    <w14:schemeClr w14:val="tx1"/>
                  </w14:solidFill>
                </w14:textFill>
              </w:rPr>
              <w:t>东、西、北三侧</w:t>
            </w:r>
            <w:r>
              <w:rPr>
                <w:rFonts w:ascii="Times New Roman" w:hAnsi="Times New Roman"/>
                <w:color w:val="000000" w:themeColor="text1"/>
                <w:kern w:val="24"/>
                <w:sz w:val="24"/>
                <w:szCs w:val="24"/>
                <w14:textFill>
                  <w14:solidFill>
                    <w14:schemeClr w14:val="tx1"/>
                  </w14:solidFill>
                </w14:textFill>
              </w:rPr>
              <w:t>噪声</w:t>
            </w:r>
            <w:r>
              <w:rPr>
                <w:rFonts w:ascii="Times New Roman" w:hAnsi="Times New Roman"/>
                <w:color w:val="000000" w:themeColor="text1"/>
                <w:sz w:val="24"/>
                <w:lang w:val="zh-CN"/>
                <w14:textFill>
                  <w14:solidFill>
                    <w14:schemeClr w14:val="tx1"/>
                  </w14:solidFill>
                </w14:textFill>
              </w:rPr>
              <w:t>执行《工业企业厂界环境噪声排放标准》</w:t>
            </w:r>
            <w:r>
              <w:rPr>
                <w:rFonts w:ascii="Times New Roman" w:hAnsi="Times New Roman"/>
                <w:color w:val="000000" w:themeColor="text1"/>
                <w:sz w:val="24"/>
                <w14:textFill>
                  <w14:solidFill>
                    <w14:schemeClr w14:val="tx1"/>
                  </w14:solidFill>
                </w14:textFill>
              </w:rPr>
              <w:t>（GB12348-2008）</w:t>
            </w:r>
            <w:r>
              <w:rPr>
                <w:rFonts w:ascii="Times New Roman" w:hAnsi="Times New Roman"/>
                <w:color w:val="000000" w:themeColor="text1"/>
                <w:sz w:val="24"/>
                <w:lang w:val="zh-CN"/>
                <w14:textFill>
                  <w14:solidFill>
                    <w14:schemeClr w14:val="tx1"/>
                  </w14:solidFill>
                </w14:textFill>
              </w:rPr>
              <w:t>中的</w:t>
            </w:r>
            <w:r>
              <w:rPr>
                <w:rFonts w:hint="eastAsia"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zh-CN"/>
                <w14:textFill>
                  <w14:solidFill>
                    <w14:schemeClr w14:val="tx1"/>
                  </w14:solidFill>
                </w14:textFill>
              </w:rPr>
              <w:t>类标准</w:t>
            </w:r>
            <w:r>
              <w:rPr>
                <w:rFonts w:hint="eastAsia" w:ascii="Times New Roman" w:hAnsi="Times New Roman"/>
                <w:color w:val="000000" w:themeColor="text1"/>
                <w:sz w:val="24"/>
                <w:lang w:val="zh-CN"/>
                <w14:textFill>
                  <w14:solidFill>
                    <w14:schemeClr w14:val="tx1"/>
                  </w14:solidFill>
                </w14:textFill>
              </w:rPr>
              <w:t>，南侧噪声执行</w:t>
            </w:r>
            <w:r>
              <w:rPr>
                <w:rFonts w:ascii="Times New Roman" w:hAnsi="Times New Roman"/>
                <w:color w:val="000000" w:themeColor="text1"/>
                <w:sz w:val="24"/>
                <w:lang w:val="zh-CN"/>
                <w14:textFill>
                  <w14:solidFill>
                    <w14:schemeClr w14:val="tx1"/>
                  </w14:solidFill>
                </w14:textFill>
              </w:rPr>
              <w:t>《工业企业厂界环境噪声排放标准》</w:t>
            </w:r>
            <w:r>
              <w:rPr>
                <w:rFonts w:ascii="Times New Roman" w:hAnsi="Times New Roman"/>
                <w:color w:val="000000" w:themeColor="text1"/>
                <w:sz w:val="24"/>
                <w14:textFill>
                  <w14:solidFill>
                    <w14:schemeClr w14:val="tx1"/>
                  </w14:solidFill>
                </w14:textFill>
              </w:rPr>
              <w:t>（GB12348-2008）</w:t>
            </w:r>
            <w:r>
              <w:rPr>
                <w:rFonts w:ascii="Times New Roman" w:hAnsi="Times New Roman"/>
                <w:color w:val="000000" w:themeColor="text1"/>
                <w:sz w:val="24"/>
                <w:lang w:val="zh-CN"/>
                <w14:textFill>
                  <w14:solidFill>
                    <w14:schemeClr w14:val="tx1"/>
                  </w14:solidFill>
                </w14:textFill>
              </w:rPr>
              <w:t>中的</w:t>
            </w:r>
            <w:r>
              <w:rPr>
                <w:rFonts w:hint="eastAsia" w:ascii="Times New Roman" w:hAnsi="Times New Roman"/>
                <w:color w:val="000000" w:themeColor="text1"/>
                <w:sz w:val="24"/>
                <w:lang w:val="zh-CN"/>
                <w14:textFill>
                  <w14:solidFill>
                    <w14:schemeClr w14:val="tx1"/>
                  </w14:solidFill>
                </w14:textFill>
              </w:rPr>
              <w:t>4</w:t>
            </w:r>
            <w:r>
              <w:rPr>
                <w:rFonts w:ascii="Times New Roman" w:hAnsi="Times New Roman"/>
                <w:color w:val="000000" w:themeColor="text1"/>
                <w:sz w:val="24"/>
                <w:lang w:val="zh-CN"/>
                <w14:textFill>
                  <w14:solidFill>
                    <w14:schemeClr w14:val="tx1"/>
                  </w14:solidFill>
                </w14:textFill>
              </w:rPr>
              <w:t>类标准。</w:t>
            </w:r>
            <w:r>
              <w:rPr>
                <w:rFonts w:ascii="Times New Roman" w:hAnsi="Times New Roman"/>
                <w:color w:val="000000" w:themeColor="text1"/>
                <w:sz w:val="24"/>
                <w14:textFill>
                  <w14:solidFill>
                    <w14:schemeClr w14:val="tx1"/>
                  </w14:solidFill>
                </w14:textFill>
              </w:rPr>
              <w:t>具体值见下表。</w:t>
            </w:r>
          </w:p>
          <w:p>
            <w:pPr>
              <w:pStyle w:val="88"/>
              <w:rPr>
                <w:color w:val="000000" w:themeColor="text1"/>
                <w14:textFill>
                  <w14:solidFill>
                    <w14:schemeClr w14:val="tx1"/>
                  </w14:solidFill>
                </w14:textFill>
              </w:rPr>
            </w:pPr>
            <w:r>
              <w:rPr>
                <w:color w:val="000000" w:themeColor="text1"/>
                <w:lang w:val="zh-CN"/>
                <w14:textFill>
                  <w14:solidFill>
                    <w14:schemeClr w14:val="tx1"/>
                  </w14:solidFill>
                </w14:textFill>
              </w:rPr>
              <w:t>表4-</w:t>
            </w:r>
            <w:r>
              <w:rPr>
                <w:rFonts w:hint="eastAsia"/>
                <w:color w:val="000000" w:themeColor="text1"/>
                <w:lang w:val="zh-CN"/>
                <w14:textFill>
                  <w14:solidFill>
                    <w14:schemeClr w14:val="tx1"/>
                  </w14:solidFill>
                </w14:textFill>
              </w:rPr>
              <w:t>7</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t>建筑施工场界环境噪声排放标准（单位：Leq[dB（A）]）</w:t>
            </w:r>
          </w:p>
          <w:tbl>
            <w:tblPr>
              <w:tblStyle w:val="28"/>
              <w:tblW w:w="8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4"/>
              <w:gridCol w:w="235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执行标准</w:t>
                  </w:r>
                </w:p>
              </w:tc>
              <w:tc>
                <w:tcPr>
                  <w:tcW w:w="235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昼间</w:t>
                  </w:r>
                </w:p>
              </w:tc>
              <w:tc>
                <w:tcPr>
                  <w:tcW w:w="259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建筑施工场界环境噪声排放标准</w:t>
                  </w:r>
                </w:p>
              </w:tc>
              <w:tc>
                <w:tcPr>
                  <w:tcW w:w="235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70</w:t>
                  </w:r>
                </w:p>
              </w:tc>
              <w:tc>
                <w:tcPr>
                  <w:tcW w:w="259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55</w:t>
                  </w:r>
                </w:p>
              </w:tc>
            </w:tr>
          </w:tbl>
          <w:p>
            <w:pPr>
              <w:pStyle w:val="88"/>
              <w:rPr>
                <w:color w:val="000000" w:themeColor="text1"/>
                <w14:textFill>
                  <w14:solidFill>
                    <w14:schemeClr w14:val="tx1"/>
                  </w14:solidFill>
                </w14:textFill>
              </w:rPr>
            </w:pPr>
            <w:r>
              <w:rPr>
                <w:color w:val="000000" w:themeColor="text1"/>
                <w14:textFill>
                  <w14:solidFill>
                    <w14:schemeClr w14:val="tx1"/>
                  </w14:solidFill>
                </w14:textFill>
              </w:rPr>
              <w:t>表4-</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 xml:space="preserve">  工业企业厂界环境噪声排放标准</w:t>
            </w:r>
          </w:p>
          <w:tbl>
            <w:tblPr>
              <w:tblStyle w:val="28"/>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7"/>
              <w:gridCol w:w="1892"/>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7" w:type="dxa"/>
                  <w:vMerge w:val="restar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厂界外声环境功能区类别</w:t>
                  </w:r>
                </w:p>
              </w:tc>
              <w:tc>
                <w:tcPr>
                  <w:tcW w:w="3764" w:type="dxa"/>
                  <w:gridSpan w:val="2"/>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7" w:type="dxa"/>
                  <w:vMerge w:val="continue"/>
                  <w:vAlign w:val="center"/>
                </w:tcPr>
                <w:p>
                  <w:pPr>
                    <w:jc w:val="center"/>
                    <w:rPr>
                      <w:rFonts w:ascii="Times New Roman" w:hAnsi="Times New Roman"/>
                      <w:color w:val="000000" w:themeColor="text1"/>
                      <w14:textFill>
                        <w14:solidFill>
                          <w14:schemeClr w14:val="tx1"/>
                        </w14:solidFill>
                      </w14:textFill>
                    </w:rPr>
                  </w:pPr>
                </w:p>
              </w:tc>
              <w:tc>
                <w:tcPr>
                  <w:tcW w:w="1892"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昼间dB(A)</w:t>
                  </w:r>
                </w:p>
              </w:tc>
              <w:tc>
                <w:tcPr>
                  <w:tcW w:w="1872"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7" w:type="dxa"/>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类</w:t>
                  </w:r>
                </w:p>
              </w:tc>
              <w:tc>
                <w:tcPr>
                  <w:tcW w:w="1892" w:type="dxa"/>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60</w:t>
                  </w:r>
                </w:p>
              </w:tc>
              <w:tc>
                <w:tcPr>
                  <w:tcW w:w="1872" w:type="dxa"/>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7" w:type="dxa"/>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4类</w:t>
                  </w:r>
                </w:p>
              </w:tc>
              <w:tc>
                <w:tcPr>
                  <w:tcW w:w="1892" w:type="dxa"/>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70</w:t>
                  </w:r>
                </w:p>
              </w:tc>
              <w:tc>
                <w:tcPr>
                  <w:tcW w:w="1872" w:type="dxa"/>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55</w:t>
                  </w:r>
                </w:p>
              </w:tc>
            </w:tr>
          </w:tbl>
          <w:p>
            <w:pPr>
              <w:spacing w:before="156" w:beforeLines="50" w:line="336" w:lineRule="auto"/>
              <w:ind w:right="105" w:rightChars="5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4、固体废物</w:t>
            </w:r>
          </w:p>
          <w:p>
            <w:pPr>
              <w:spacing w:line="336" w:lineRule="auto"/>
              <w:ind w:firstLine="48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危险废物执行《危险废物贮存污染控制标准》（GB18597-2001）及修改单相关要求；</w:t>
            </w:r>
            <w:r>
              <w:rPr>
                <w:rFonts w:ascii="Times New Roman" w:hAnsi="Times New Roman"/>
                <w:color w:val="000000" w:themeColor="text1"/>
                <w:sz w:val="24"/>
                <w14:textFill>
                  <w14:solidFill>
                    <w14:schemeClr w14:val="tx1"/>
                  </w14:solidFill>
                </w14:textFill>
              </w:rPr>
              <w:t>生活垃圾执行《生活垃圾填埋污染控制标准》（GB16889-2008）。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638" w:hRule="atLeast"/>
          <w:jc w:val="center"/>
        </w:trPr>
        <w:tc>
          <w:tcPr>
            <w:tcW w:w="703" w:type="dxa"/>
            <w:tcBorders>
              <w:top w:val="single" w:color="auto" w:sz="4" w:space="0"/>
              <w:right w:val="single" w:color="auto" w:sz="4" w:space="0"/>
            </w:tcBorders>
            <w:vAlign w:val="center"/>
          </w:tcPr>
          <w:p>
            <w:pPr>
              <w:spacing w:line="336" w:lineRule="auto"/>
              <w:ind w:left="105" w:right="105" w:rightChars="50"/>
              <w:jc w:val="center"/>
              <w:rPr>
                <w:rFonts w:ascii="Times New Roman" w:hAnsi="Times New Roman"/>
                <w:color w:val="000000" w:themeColor="text1"/>
                <w:sz w:val="24"/>
                <w:szCs w:val="21"/>
                <w14:textFill>
                  <w14:solidFill>
                    <w14:schemeClr w14:val="tx1"/>
                  </w14:solidFill>
                </w14:textFill>
              </w:rPr>
            </w:pPr>
            <w:r>
              <w:rPr>
                <w:rFonts w:ascii="Times New Roman" w:hAnsi="Times New Roman"/>
                <w:color w:val="000000" w:themeColor="text1"/>
                <w:sz w:val="24"/>
                <w:szCs w:val="21"/>
                <w14:textFill>
                  <w14:solidFill>
                    <w14:schemeClr w14:val="tx1"/>
                  </w14:solidFill>
                </w14:textFill>
              </w:rPr>
              <w:t>总量控制指标</w:t>
            </w:r>
          </w:p>
        </w:tc>
        <w:tc>
          <w:tcPr>
            <w:tcW w:w="8697" w:type="dxa"/>
            <w:tcBorders>
              <w:top w:val="single" w:color="auto" w:sz="4" w:space="0"/>
              <w:left w:val="single" w:color="auto" w:sz="4" w:space="0"/>
            </w:tcBorders>
            <w:vAlign w:val="center"/>
          </w:tcPr>
          <w:p>
            <w:pPr>
              <w:spacing w:line="360" w:lineRule="auto"/>
              <w:ind w:firstLine="480" w:firstLineChars="200"/>
              <w:textAlignment w:val="baseline"/>
              <w:rPr>
                <w:rFonts w:ascii="Times New Roman" w:hAnsi="Times New Roman"/>
                <w:color w:val="000000" w:themeColor="text1"/>
                <w:sz w:val="24"/>
                <w:szCs w:val="21"/>
                <w14:textFill>
                  <w14:solidFill>
                    <w14:schemeClr w14:val="tx1"/>
                  </w14:solidFill>
                </w14:textFill>
              </w:rPr>
            </w:pPr>
            <w:r>
              <w:rPr>
                <w:rFonts w:hint="eastAsia" w:ascii="Times New Roman" w:hAnsi="Times New Roman"/>
                <w:color w:val="000000" w:themeColor="text1"/>
                <w:sz w:val="24"/>
                <w:szCs w:val="21"/>
                <w14:textFill>
                  <w14:solidFill>
                    <w14:schemeClr w14:val="tx1"/>
                  </w14:solidFill>
                </w14:textFill>
              </w:rPr>
              <w:t>项目营运期产生的废水可在厂区内处理后经市政污水管网引至祁东县渔陂污水处理厂处理，达《城镇污水处理厂污染物排放标准》一级B标准后外排至白河，有COD</w:t>
            </w:r>
            <w:r>
              <w:rPr>
                <w:rFonts w:ascii="Times New Roman" w:hAnsi="Times New Roman"/>
                <w:color w:val="000000" w:themeColor="text1"/>
                <w:sz w:val="24"/>
                <w:szCs w:val="21"/>
                <w14:textFill>
                  <w14:solidFill>
                    <w14:schemeClr w14:val="tx1"/>
                  </w14:solidFill>
                </w14:textFill>
              </w:rPr>
              <w:t>及</w:t>
            </w:r>
            <w:r>
              <w:rPr>
                <w:rFonts w:hint="eastAsia" w:ascii="Times New Roman" w:hAnsi="Times New Roman"/>
                <w:color w:val="000000" w:themeColor="text1"/>
                <w:sz w:val="24"/>
                <w:szCs w:val="21"/>
                <w14:textFill>
                  <w14:solidFill>
                    <w14:schemeClr w14:val="tx1"/>
                  </w14:solidFill>
                </w14:textFill>
              </w:rPr>
              <w:t>NH</w:t>
            </w:r>
            <w:r>
              <w:rPr>
                <w:rFonts w:hint="eastAsia" w:ascii="Times New Roman" w:hAnsi="Times New Roman"/>
                <w:color w:val="000000" w:themeColor="text1"/>
                <w:sz w:val="24"/>
                <w:szCs w:val="21"/>
                <w:vertAlign w:val="subscript"/>
                <w14:textFill>
                  <w14:solidFill>
                    <w14:schemeClr w14:val="tx1"/>
                  </w14:solidFill>
                </w14:textFill>
              </w:rPr>
              <w:t>3</w:t>
            </w:r>
            <w:r>
              <w:rPr>
                <w:rFonts w:hint="eastAsia" w:ascii="Times New Roman" w:hAnsi="Times New Roman"/>
                <w:color w:val="000000" w:themeColor="text1"/>
                <w:sz w:val="24"/>
                <w:szCs w:val="21"/>
                <w14:textFill>
                  <w14:solidFill>
                    <w14:schemeClr w14:val="tx1"/>
                  </w14:solidFill>
                </w14:textFill>
              </w:rPr>
              <w:t>-N</w:t>
            </w:r>
            <w:r>
              <w:rPr>
                <w:rFonts w:ascii="Times New Roman" w:hAnsi="Times New Roman"/>
                <w:color w:val="000000" w:themeColor="text1"/>
                <w:sz w:val="24"/>
                <w:szCs w:val="21"/>
                <w14:textFill>
                  <w14:solidFill>
                    <w14:schemeClr w14:val="tx1"/>
                  </w14:solidFill>
                </w14:textFill>
              </w:rPr>
              <w:t>的产生及排放；项目营运期废气主要是</w:t>
            </w:r>
            <w:r>
              <w:rPr>
                <w:color w:val="000000" w:themeColor="text1"/>
                <w:sz w:val="24"/>
                <w:szCs w:val="24"/>
                <w14:textFill>
                  <w14:solidFill>
                    <w14:schemeClr w14:val="tx1"/>
                  </w14:solidFill>
                </w14:textFill>
              </w:rPr>
              <w:t>汽油储油、卸油、加油</w:t>
            </w:r>
            <w:r>
              <w:rPr>
                <w:rFonts w:hint="eastAsia"/>
                <w:color w:val="000000" w:themeColor="text1"/>
                <w:sz w:val="24"/>
                <w:szCs w:val="24"/>
                <w14:textFill>
                  <w14:solidFill>
                    <w14:schemeClr w14:val="tx1"/>
                  </w14:solidFill>
                </w14:textFill>
              </w:rPr>
              <w:t>过程中油品挥发产生的非甲烷总烃</w:t>
            </w:r>
            <w:r>
              <w:rPr>
                <w:rFonts w:hint="eastAsia" w:ascii="Times New Roman" w:hAnsi="Times New Roman"/>
                <w:color w:val="000000" w:themeColor="text1"/>
                <w:sz w:val="24"/>
                <w:szCs w:val="21"/>
                <w14:textFill>
                  <w14:solidFill>
                    <w14:schemeClr w14:val="tx1"/>
                  </w14:solidFill>
                </w14:textFill>
              </w:rPr>
              <w:t>，无</w:t>
            </w:r>
            <w:r>
              <w:rPr>
                <w:rFonts w:ascii="Times New Roman" w:hAnsi="Times New Roman"/>
                <w:color w:val="000000" w:themeColor="text1"/>
                <w:sz w:val="24"/>
                <w:szCs w:val="21"/>
                <w14:textFill>
                  <w14:solidFill>
                    <w14:schemeClr w14:val="tx1"/>
                  </w14:solidFill>
                </w14:textFill>
              </w:rPr>
              <w:t>SO</w:t>
            </w:r>
            <w:r>
              <w:rPr>
                <w:rFonts w:ascii="Times New Roman" w:hAnsi="Times New Roman"/>
                <w:color w:val="000000" w:themeColor="text1"/>
                <w:sz w:val="24"/>
                <w:szCs w:val="21"/>
                <w:vertAlign w:val="subscript"/>
                <w14:textFill>
                  <w14:solidFill>
                    <w14:schemeClr w14:val="tx1"/>
                  </w14:solidFill>
                </w14:textFill>
              </w:rPr>
              <w:t>2</w:t>
            </w:r>
            <w:r>
              <w:rPr>
                <w:rFonts w:ascii="Times New Roman" w:hAnsi="Times New Roman"/>
                <w:color w:val="000000" w:themeColor="text1"/>
                <w:sz w:val="24"/>
                <w:szCs w:val="21"/>
                <w14:textFill>
                  <w14:solidFill>
                    <w14:schemeClr w14:val="tx1"/>
                  </w14:solidFill>
                </w14:textFill>
              </w:rPr>
              <w:t>及NOx的产生及排放</w:t>
            </w:r>
            <w:r>
              <w:rPr>
                <w:rFonts w:hint="eastAsia" w:ascii="Times New Roman" w:hAnsi="Times New Roman"/>
                <w:color w:val="000000" w:themeColor="text1"/>
                <w:sz w:val="24"/>
                <w:szCs w:val="21"/>
                <w14:textFill>
                  <w14:solidFill>
                    <w14:schemeClr w14:val="tx1"/>
                  </w14:solidFill>
                </w14:textFill>
              </w:rPr>
              <w:t>。</w:t>
            </w:r>
          </w:p>
          <w:p>
            <w:pPr>
              <w:spacing w:line="360" w:lineRule="auto"/>
              <w:ind w:firstLine="480" w:firstLineChars="200"/>
              <w:textAlignment w:val="baseline"/>
              <w:rPr>
                <w:rFonts w:ascii="Times New Roman" w:hAnsi="Times New Roman"/>
                <w:color w:val="000000" w:themeColor="text1"/>
                <w:sz w:val="24"/>
                <w:szCs w:val="21"/>
                <w14:textFill>
                  <w14:solidFill>
                    <w14:schemeClr w14:val="tx1"/>
                  </w14:solidFill>
                </w14:textFill>
              </w:rPr>
            </w:pPr>
            <w:r>
              <w:rPr>
                <w:rFonts w:ascii="Times New Roman" w:hAnsi="Times New Roman"/>
                <w:color w:val="000000" w:themeColor="text1"/>
                <w:sz w:val="24"/>
                <w:szCs w:val="21"/>
                <w14:textFill>
                  <w14:solidFill>
                    <w14:schemeClr w14:val="tx1"/>
                  </w14:solidFill>
                </w14:textFill>
              </w:rPr>
              <w:t>本项目</w:t>
            </w:r>
            <w:r>
              <w:rPr>
                <w:rFonts w:hint="eastAsia" w:ascii="Times New Roman" w:hAnsi="Times New Roman"/>
                <w:color w:val="000000" w:themeColor="text1"/>
                <w:sz w:val="24"/>
                <w:szCs w:val="21"/>
                <w14:textFill>
                  <w14:solidFill>
                    <w14:schemeClr w14:val="tx1"/>
                  </w14:solidFill>
                </w14:textFill>
              </w:rPr>
              <w:t>COD、NH</w:t>
            </w:r>
            <w:r>
              <w:rPr>
                <w:rFonts w:hint="eastAsia" w:ascii="Times New Roman" w:hAnsi="Times New Roman"/>
                <w:color w:val="000000" w:themeColor="text1"/>
                <w:sz w:val="24"/>
                <w:szCs w:val="21"/>
                <w:vertAlign w:val="subscript"/>
                <w14:textFill>
                  <w14:solidFill>
                    <w14:schemeClr w14:val="tx1"/>
                  </w14:solidFill>
                </w14:textFill>
              </w:rPr>
              <w:t>3</w:t>
            </w:r>
            <w:r>
              <w:rPr>
                <w:rFonts w:hint="eastAsia" w:ascii="Times New Roman" w:hAnsi="Times New Roman"/>
                <w:color w:val="000000" w:themeColor="text1"/>
                <w:sz w:val="24"/>
                <w:szCs w:val="21"/>
                <w14:textFill>
                  <w14:solidFill>
                    <w14:schemeClr w14:val="tx1"/>
                  </w14:solidFill>
                </w14:textFill>
              </w:rPr>
              <w:t>-N排放量分别为0.009</w:t>
            </w:r>
            <w:r>
              <w:rPr>
                <w:rFonts w:ascii="Times New Roman" w:hAnsi="Times New Roman"/>
                <w:color w:val="000000" w:themeColor="text1"/>
                <w:sz w:val="24"/>
                <w:szCs w:val="21"/>
                <w14:textFill>
                  <w14:solidFill>
                    <w14:schemeClr w14:val="tx1"/>
                  </w14:solidFill>
                </w14:textFill>
              </w:rPr>
              <w:t>t/a</w:t>
            </w:r>
            <w:r>
              <w:rPr>
                <w:rFonts w:hint="eastAsia" w:ascii="Times New Roman" w:hAnsi="Times New Roman"/>
                <w:color w:val="000000" w:themeColor="text1"/>
                <w:sz w:val="24"/>
                <w:szCs w:val="21"/>
                <w14:textFill>
                  <w14:solidFill>
                    <w14:schemeClr w14:val="tx1"/>
                  </w14:solidFill>
                </w14:textFill>
              </w:rPr>
              <w:t>、</w:t>
            </w:r>
            <w:r>
              <w:rPr>
                <w:rFonts w:ascii="Times New Roman" w:hAnsi="Times New Roman"/>
                <w:color w:val="000000" w:themeColor="text1"/>
                <w:sz w:val="24"/>
                <w:szCs w:val="21"/>
                <w14:textFill>
                  <w14:solidFill>
                    <w14:schemeClr w14:val="tx1"/>
                  </w14:solidFill>
                </w14:textFill>
              </w:rPr>
              <w:t>0.0012t/a</w:t>
            </w:r>
            <w:r>
              <w:rPr>
                <w:rFonts w:hint="eastAsia" w:ascii="Times New Roman" w:hAnsi="Times New Roman"/>
                <w:color w:val="000000" w:themeColor="text1"/>
                <w:sz w:val="24"/>
                <w:szCs w:val="21"/>
                <w14:textFill>
                  <w14:solidFill>
                    <w14:schemeClr w14:val="tx1"/>
                  </w14:solidFill>
                </w14:textFill>
              </w:rPr>
              <w:t>，纳入祁东县渔陂污水处理厂，不另行申请</w:t>
            </w:r>
            <w:r>
              <w:rPr>
                <w:rFonts w:ascii="Times New Roman" w:hAnsi="Times New Roman"/>
                <w:color w:val="000000" w:themeColor="text1"/>
                <w:sz w:val="24"/>
                <w:szCs w:val="21"/>
                <w14:textFill>
                  <w14:solidFill>
                    <w14:schemeClr w14:val="tx1"/>
                  </w14:solidFill>
                </w14:textFill>
              </w:rPr>
              <w:t>。</w:t>
            </w:r>
          </w:p>
          <w:p>
            <w:pPr>
              <w:spacing w:line="360" w:lineRule="auto"/>
              <w:ind w:firstLine="480" w:firstLineChars="200"/>
              <w:textAlignment w:val="baseline"/>
              <w:rPr>
                <w:rFonts w:ascii="Times New Roman" w:hAnsi="Times New Roman"/>
                <w:color w:val="000000" w:themeColor="text1"/>
                <w:sz w:val="24"/>
                <w:szCs w:val="21"/>
                <w14:textFill>
                  <w14:solidFill>
                    <w14:schemeClr w14:val="tx1"/>
                  </w14:solidFill>
                </w14:textFill>
              </w:rPr>
            </w:pPr>
            <w:r>
              <w:rPr>
                <w:rFonts w:hint="eastAsia" w:ascii="Times New Roman" w:hAnsi="Times New Roman"/>
                <w:color w:val="000000" w:themeColor="text1"/>
                <w:sz w:val="24"/>
                <w:szCs w:val="21"/>
                <w14:textFill>
                  <w14:solidFill>
                    <w14:schemeClr w14:val="tx1"/>
                  </w14:solidFill>
                </w14:textFill>
              </w:rPr>
              <w:t>综上，本项目不需申请气型及水型总量指标。</w:t>
            </w:r>
          </w:p>
          <w:p>
            <w:pPr>
              <w:spacing w:line="360" w:lineRule="auto"/>
              <w:ind w:firstLine="480" w:firstLineChars="200"/>
              <w:textAlignment w:val="baseline"/>
              <w:rPr>
                <w:rFonts w:ascii="Times New Roman" w:hAnsi="Times New Roman"/>
                <w:color w:val="000000" w:themeColor="text1"/>
                <w:sz w:val="24"/>
                <w:szCs w:val="21"/>
                <w14:textFill>
                  <w14:solidFill>
                    <w14:schemeClr w14:val="tx1"/>
                  </w14:solidFill>
                </w14:textFill>
              </w:rPr>
            </w:pPr>
            <w:r>
              <w:rPr>
                <w:rFonts w:hint="eastAsia" w:ascii="Times New Roman" w:hAnsi="Times New Roman"/>
                <w:color w:val="000000" w:themeColor="text1"/>
                <w:sz w:val="24"/>
                <w:szCs w:val="21"/>
                <w14:textFill>
                  <w14:solidFill>
                    <w14:schemeClr w14:val="tx1"/>
                  </w14:solidFill>
                </w14:textFill>
              </w:rPr>
              <w:t>本项目运营期非甲烷总烃排放量为</w:t>
            </w:r>
            <w:r>
              <w:rPr>
                <w:rFonts w:hint="eastAsia" w:ascii="Times New Roman" w:hAnsi="Times New Roman"/>
                <w:color w:val="000000" w:themeColor="text1"/>
                <w:szCs w:val="21"/>
                <w:u w:val="single"/>
                <w14:textFill>
                  <w14:solidFill>
                    <w14:schemeClr w14:val="tx1"/>
                  </w14:solidFill>
                </w14:textFill>
              </w:rPr>
              <w:t>2.005t</w:t>
            </w:r>
            <w:r>
              <w:rPr>
                <w:rFonts w:ascii="Times New Roman" w:hAnsi="Times New Roman"/>
                <w:color w:val="000000" w:themeColor="text1"/>
                <w:sz w:val="24"/>
                <w:szCs w:val="21"/>
                <w:u w:val="single"/>
                <w14:textFill>
                  <w14:solidFill>
                    <w14:schemeClr w14:val="tx1"/>
                  </w14:solidFill>
                </w14:textFill>
              </w:rPr>
              <w:t>/a</w:t>
            </w:r>
            <w:r>
              <w:rPr>
                <w:rFonts w:hint="eastAsia" w:ascii="Times New Roman" w:hAnsi="Times New Roman"/>
                <w:color w:val="000000" w:themeColor="text1"/>
                <w:sz w:val="24"/>
                <w:szCs w:val="21"/>
                <w:u w:val="single"/>
                <w14:textFill>
                  <w14:solidFill>
                    <w14:schemeClr w14:val="tx1"/>
                  </w14:solidFill>
                </w14:textFill>
              </w:rPr>
              <w:t>。</w:t>
            </w:r>
          </w:p>
        </w:tc>
      </w:tr>
    </w:tbl>
    <w:p>
      <w:pPr>
        <w:pStyle w:val="2"/>
        <w:spacing w:before="0" w:after="0" w:line="360" w:lineRule="auto"/>
        <w:rPr>
          <w:rFonts w:ascii="Times New Roman" w:hAnsi="Times New Roman"/>
          <w:color w:val="000000" w:themeColor="text1"/>
          <w:sz w:val="28"/>
          <w:szCs w:val="28"/>
          <w14:textFill>
            <w14:solidFill>
              <w14:schemeClr w14:val="tx1"/>
            </w14:solidFill>
          </w14:textFill>
        </w:rPr>
      </w:pPr>
      <w:bookmarkStart w:id="21" w:name="_Toc29913614"/>
      <w:bookmarkStart w:id="22" w:name="_Toc287535128"/>
      <w:r>
        <w:rPr>
          <w:rFonts w:ascii="Times New Roman" w:hAnsi="Times New Roman"/>
          <w:color w:val="000000" w:themeColor="text1"/>
          <w:sz w:val="28"/>
          <w:szCs w:val="28"/>
          <w14:textFill>
            <w14:solidFill>
              <w14:schemeClr w14:val="tx1"/>
            </w14:solidFill>
          </w14:textFill>
        </w:rPr>
        <w:t>五、建设项目工程分析</w:t>
      </w:r>
      <w:bookmarkEnd w:id="21"/>
      <w:bookmarkEnd w:id="22"/>
    </w:p>
    <w:tbl>
      <w:tblPr>
        <w:tblStyle w:val="28"/>
        <w:tblW w:w="940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40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102" w:hRule="atLeast"/>
          <w:jc w:val="center"/>
        </w:trPr>
        <w:tc>
          <w:tcPr>
            <w:tcW w:w="9405" w:type="dxa"/>
          </w:tcPr>
          <w:p>
            <w:pPr>
              <w:adjustRightInd w:val="0"/>
              <w:snapToGrid w:val="0"/>
              <w:spacing w:line="360" w:lineRule="auto"/>
              <w:rPr>
                <w:rFonts w:ascii="Times New Roman" w:hAnsi="Times New Roman" w:eastAsia="黑体"/>
                <w:b/>
                <w:color w:val="000000" w:themeColor="text1"/>
                <w:sz w:val="28"/>
                <w:szCs w:val="28"/>
                <w14:textFill>
                  <w14:solidFill>
                    <w14:schemeClr w14:val="tx1"/>
                  </w14:solidFill>
                </w14:textFill>
              </w:rPr>
            </w:pPr>
            <w:bookmarkStart w:id="23" w:name="_Toc287535129"/>
            <w:r>
              <w:rPr>
                <w:rStyle w:val="77"/>
                <w:rFonts w:ascii="Times New Roman" w:hAnsi="Times New Roman"/>
                <w:color w:val="000000" w:themeColor="text1"/>
                <w:szCs w:val="28"/>
                <w14:textFill>
                  <w14:solidFill>
                    <w14:schemeClr w14:val="tx1"/>
                  </w14:solidFill>
                </w14:textFill>
              </w:rPr>
              <w:t>5.1项目工艺流程简述</w:t>
            </w:r>
            <w:bookmarkEnd w:id="23"/>
          </w:p>
          <w:p>
            <w:pPr>
              <w:adjustRightInd w:val="0"/>
              <w:snapToGrid w:val="0"/>
              <w:spacing w:line="360" w:lineRule="auto"/>
              <w:ind w:firstLine="48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1、施工期：</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项目拟对原有加油站进行拆除重建，项目施工期工艺流程及产污节点如下图所示。</w:t>
            </w:r>
          </w:p>
          <w:p>
            <w:pPr>
              <w:pStyle w:val="88"/>
              <w:rPr>
                <w:color w:val="000000" w:themeColor="text1"/>
                <w:highlight w:val="yellow"/>
                <w14:textFill>
                  <w14:solidFill>
                    <w14:schemeClr w14:val="tx1"/>
                  </w14:solidFill>
                </w14:textFill>
              </w:rPr>
            </w:pPr>
            <w:r>
              <w:rPr>
                <w:color w:val="000000" w:themeColor="text1"/>
                <w14:textFill>
                  <w14:solidFill>
                    <w14:schemeClr w14:val="tx1"/>
                  </w14:solidFill>
                </w14:textFill>
              </w:rPr>
              <w:drawing>
                <wp:inline distT="0" distB="0" distL="0" distR="0">
                  <wp:extent cx="5363210" cy="13049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63210" cy="1304925"/>
                          </a:xfrm>
                          <a:prstGeom prst="rect">
                            <a:avLst/>
                          </a:prstGeom>
                          <a:noFill/>
                        </pic:spPr>
                      </pic:pic>
                    </a:graphicData>
                  </a:graphic>
                </wp:inline>
              </w:drawing>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图5-1  施工期工艺流程图及产污节点图</w:t>
            </w:r>
          </w:p>
          <w:p>
            <w:pPr>
              <w:spacing w:line="360" w:lineRule="auto"/>
              <w:ind w:left="105" w:leftChars="50" w:right="105" w:rightChars="50" w:firstLine="354" w:firstLineChars="147"/>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2、营运期</w:t>
            </w:r>
          </w:p>
          <w:p>
            <w:pPr>
              <w:pStyle w:val="54"/>
              <w:ind w:firstLine="480"/>
              <w:rPr>
                <w:color w:val="000000" w:themeColor="text1"/>
                <w:szCs w:val="24"/>
                <w:lang w:val="zh-CN"/>
                <w14:textFill>
                  <w14:solidFill>
                    <w14:schemeClr w14:val="tx1"/>
                  </w14:solidFill>
                </w14:textFill>
              </w:rPr>
            </w:pPr>
            <w:r>
              <w:rPr>
                <w:color w:val="000000" w:themeColor="text1"/>
                <w:szCs w:val="24"/>
                <w:lang w:val="zh-CN"/>
                <w14:textFill>
                  <w14:solidFill>
                    <w14:schemeClr w14:val="tx1"/>
                  </w14:solidFill>
                </w14:textFill>
              </w:rPr>
              <w:t>营运期工艺流程及产污环节如图5-2所示</w:t>
            </w:r>
            <w:r>
              <w:rPr>
                <w:rFonts w:hint="eastAsia"/>
                <w:color w:val="000000" w:themeColor="text1"/>
                <w:szCs w:val="24"/>
                <w:lang w:val="zh-CN"/>
                <w14:textFill>
                  <w14:solidFill>
                    <w14:schemeClr w14:val="tx1"/>
                  </w14:solidFill>
                </w14:textFill>
              </w:rPr>
              <w:t>。</w:t>
            </w:r>
          </w:p>
          <w:p>
            <w:pPr>
              <w:pStyle w:val="88"/>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963160" cy="2458085"/>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63160" cy="2458085"/>
                          </a:xfrm>
                          <a:prstGeom prst="rect">
                            <a:avLst/>
                          </a:prstGeom>
                          <a:noFill/>
                        </pic:spPr>
                      </pic:pic>
                    </a:graphicData>
                  </a:graphic>
                </wp:inline>
              </w:drawing>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图5-2  项目营运期工艺流程及污染工序图</w:t>
            </w:r>
          </w:p>
          <w:p>
            <w:pPr>
              <w:pStyle w:val="54"/>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工艺流程说明：</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卸油：用油罐车负责运送至本加油站。该站采用油罐车经连通软管与油罐卸油孔连通卸油的方式卸油。装满汽油、柴油的油槽车到达加油站罐区后，在油罐附近停稳熄火，先接好静电接地装置，待油罐车熄火并静止15min后，将连通软管与油罐车的卸油口、储罐的进油口利用密闭快速接头连接好，经计量后准备接卸。卸油前，核对罐车与油罐中油品的品名、牌号是否一致，各项准备工作检查无误后，开始自流卸油。油品卸完后，拆卸油罐车连接端头，并将卸油管抬高使管内油料流入罐内并防止溅出，盖严罐口处的卸油帽，拆除静电接地装置，卸油完毕罐车静止15min后，发动油品罐车缓慢驶离罐区。</w:t>
            </w:r>
          </w:p>
          <w:p>
            <w:pPr>
              <w:pStyle w:val="54"/>
              <w:ind w:firstLine="480"/>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②</w:t>
            </w:r>
            <w:r>
              <w:rPr>
                <w:color w:val="000000" w:themeColor="text1"/>
                <w:lang w:val="zh-CN"/>
                <w14:textFill>
                  <w14:solidFill>
                    <w14:schemeClr w14:val="tx1"/>
                  </w14:solidFill>
                </w14:textFill>
              </w:rPr>
              <w:t>储油：对油罐车送来的油品在相应的油罐内进行储存，储存时间为2至3天，从而保证加油站不会出现销脱现象。</w:t>
            </w:r>
          </w:p>
          <w:p>
            <w:pPr>
              <w:pStyle w:val="54"/>
              <w:ind w:firstLine="480"/>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③</w:t>
            </w:r>
            <w:r>
              <w:rPr>
                <w:color w:val="000000" w:themeColor="text1"/>
                <w:lang w:val="zh-CN"/>
                <w14:textFill>
                  <w14:solidFill>
                    <w14:schemeClr w14:val="tx1"/>
                  </w14:solidFill>
                </w14:textFill>
              </w:rPr>
              <w:t>加油：加油采用加油工艺，将油品从储油罐吸出，经过加油机的计量器，再经加油枪加到汽车油箱中。</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（2）油气回收系统</w:t>
            </w:r>
          </w:p>
          <w:p>
            <w:pPr>
              <w:pStyle w:val="54"/>
              <w:ind w:firstLine="480"/>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①</w:t>
            </w:r>
            <w:r>
              <w:rPr>
                <w:color w:val="000000" w:themeColor="text1"/>
                <w:lang w:val="zh-CN"/>
                <w14:textFill>
                  <w14:solidFill>
                    <w14:schemeClr w14:val="tx1"/>
                  </w14:solidFill>
                </w14:textFill>
              </w:rPr>
              <w:t>卸油油气回收：车用汽油由汽车槽车运送至加油站密闭卸油点，垫好三角本，挂上警示牌，夹紧静电接地夹，静止</w:t>
            </w:r>
            <w:r>
              <w:rPr>
                <w:color w:val="000000" w:themeColor="text1"/>
                <w14:textFill>
                  <w14:solidFill>
                    <w14:schemeClr w14:val="tx1"/>
                  </w14:solidFill>
                </w14:textFill>
              </w:rPr>
              <w:t>10-15分钟，将槽车出料口与卸油点快速接头连接好，同时将油罐气相口与槽车气相口连接，利用位差将车用汽油输送至相应的储罐储存；卸油过程中产生的油气，通过油气回收管回到槽车中，然后送油库集中利用</w:t>
            </w:r>
            <w:r>
              <w:rPr>
                <w:color w:val="000000" w:themeColor="text1"/>
                <w:lang w:val="zh-CN"/>
                <w14:textFill>
                  <w14:solidFill>
                    <w14:schemeClr w14:val="tx1"/>
                  </w14:solidFill>
                </w14:textFill>
              </w:rPr>
              <w:t>。</w:t>
            </w:r>
          </w:p>
          <w:p>
            <w:pPr>
              <w:pStyle w:val="54"/>
              <w:ind w:firstLine="480"/>
              <w:rPr>
                <w:color w:val="000000" w:themeColor="text1"/>
                <w:lang w:val="zh-CN"/>
                <w14:textFill>
                  <w14:solidFill>
                    <w14:schemeClr w14:val="tx1"/>
                  </w14:solidFill>
                </w14:textFill>
              </w:rPr>
            </w:pPr>
            <w:r>
              <w:rPr>
                <w:color w:val="000000" w:themeColor="text1"/>
                <w:lang w:val="zh-CN"/>
                <w14:textFill>
                  <w14:solidFill>
                    <w14:schemeClr w14:val="tx1"/>
                  </w14:solidFill>
                </w14:textFill>
              </w:rPr>
              <w:t>车用柴油由汽车槽车运送至加油站密闭卸油点，垫好三角木，挂上警示牌，夹紧静电接地夹，静止</w:t>
            </w:r>
            <w:r>
              <w:rPr>
                <w:color w:val="000000" w:themeColor="text1"/>
                <w14:textFill>
                  <w14:solidFill>
                    <w14:schemeClr w14:val="tx1"/>
                  </w14:solidFill>
                </w14:textFill>
              </w:rPr>
              <w:t>10-15分钟，将槽车出油口与埋地罐卸油口快速接头连接好，利用位差将车用柴油输送至相应的储罐储存（常压）。</w:t>
            </w:r>
            <w:r>
              <w:rPr>
                <w:color w:val="000000" w:themeColor="text1"/>
                <w:lang w:val="zh-CN"/>
                <w14:textFill>
                  <w14:solidFill>
                    <w14:schemeClr w14:val="tx1"/>
                  </w14:solidFill>
                </w14:textFill>
              </w:rPr>
              <w:t>卸油油气回收工艺如下：</w:t>
            </w:r>
          </w:p>
          <w:p>
            <w:pPr>
              <w:pStyle w:val="88"/>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805045" cy="1873250"/>
                  <wp:effectExtent l="0" t="0" r="14605" b="1270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0" cstate="print"/>
                          <a:srcRect t="22887" r="-146"/>
                          <a:stretch>
                            <a:fillRect/>
                          </a:stretch>
                        </pic:blipFill>
                        <pic:spPr>
                          <a:xfrm>
                            <a:off x="0" y="0"/>
                            <a:ext cx="4805045" cy="1873250"/>
                          </a:xfrm>
                          <a:prstGeom prst="rect">
                            <a:avLst/>
                          </a:prstGeom>
                          <a:noFill/>
                          <a:ln>
                            <a:noFill/>
                          </a:ln>
                        </pic:spPr>
                      </pic:pic>
                    </a:graphicData>
                  </a:graphic>
                </wp:inline>
              </w:drawing>
            </w:r>
          </w:p>
          <w:p>
            <w:pPr>
              <w:pStyle w:val="88"/>
              <w:rPr>
                <w:color w:val="000000" w:themeColor="text1"/>
                <w14:textFill>
                  <w14:solidFill>
                    <w14:schemeClr w14:val="tx1"/>
                  </w14:solidFill>
                </w14:textFill>
              </w:rPr>
            </w:pPr>
            <w:r>
              <w:rPr>
                <w:color w:val="000000" w:themeColor="text1"/>
                <w14:textFill>
                  <w14:solidFill>
                    <w14:schemeClr w14:val="tx1"/>
                  </w14:solidFill>
                </w14:textFill>
              </w:rPr>
              <w:t>图5-3  一次油气回收系统基本原理图</w:t>
            </w:r>
          </w:p>
          <w:p>
            <w:pPr>
              <w:pStyle w:val="54"/>
              <w:ind w:firstLine="480"/>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②</w:t>
            </w:r>
            <w:r>
              <w:rPr>
                <w:color w:val="000000" w:themeColor="text1"/>
                <w:lang w:val="zh-CN"/>
                <w14:textFill>
                  <w14:solidFill>
                    <w14:schemeClr w14:val="tx1"/>
                  </w14:solidFill>
                </w14:textFill>
              </w:rPr>
              <w:t>加油油气回收：加油时，油罐中的油经潜油泵。加油管道输送至加油机中，由加油枪将油注入汽车油箱等受油容器。加注车用汽油时，利用加油枪自带的装置，将汽车油箱中的</w:t>
            </w:r>
            <w:r>
              <w:rPr>
                <w:color w:val="000000" w:themeColor="text1"/>
                <w14:textFill>
                  <w14:solidFill>
                    <w14:schemeClr w14:val="tx1"/>
                  </w14:solidFill>
                </w14:textFill>
              </w:rPr>
              <w:t>油气经加油枪、真空泵、油气回收管道回收到92</w:t>
            </w:r>
            <w:r>
              <w:rPr>
                <w:color w:val="000000" w:themeColor="text1"/>
                <w:vertAlign w:val="superscript"/>
                <w14:textFill>
                  <w14:solidFill>
                    <w14:schemeClr w14:val="tx1"/>
                  </w14:solidFill>
                </w14:textFill>
              </w:rPr>
              <w:t>#</w:t>
            </w:r>
            <w:r>
              <w:rPr>
                <w:color w:val="000000" w:themeColor="text1"/>
                <w14:textFill>
                  <w14:solidFill>
                    <w14:schemeClr w14:val="tx1"/>
                  </w14:solidFill>
                </w14:textFill>
              </w:rPr>
              <w:t>汽油罐内</w:t>
            </w:r>
            <w:r>
              <w:rPr>
                <w:color w:val="000000" w:themeColor="text1"/>
                <w:lang w:val="zh-CN"/>
                <w14:textFill>
                  <w14:solidFill>
                    <w14:schemeClr w14:val="tx1"/>
                  </w14:solidFill>
                </w14:textFill>
              </w:rPr>
              <w:t>。</w:t>
            </w:r>
          </w:p>
          <w:p>
            <w:pPr>
              <w:pStyle w:val="88"/>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441950" cy="2787650"/>
                  <wp:effectExtent l="0" t="0" r="6350" b="12700"/>
                  <wp:docPr id="3" name="图片 5" descr="4_3G9YGC(GK~V)VWUE11O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4_3G9YGC(GK~V)VWUE11OAP"/>
                          <pic:cNvPicPr>
                            <a:picLocks noChangeAspect="1"/>
                          </pic:cNvPicPr>
                        </pic:nvPicPr>
                        <pic:blipFill>
                          <a:blip r:embed="rId11" cstate="print"/>
                          <a:srcRect t="17049" r="401"/>
                          <a:stretch>
                            <a:fillRect/>
                          </a:stretch>
                        </pic:blipFill>
                        <pic:spPr>
                          <a:xfrm>
                            <a:off x="0" y="0"/>
                            <a:ext cx="5441950" cy="2787650"/>
                          </a:xfrm>
                          <a:prstGeom prst="rect">
                            <a:avLst/>
                          </a:prstGeom>
                          <a:noFill/>
                          <a:ln>
                            <a:noFill/>
                          </a:ln>
                        </pic:spPr>
                      </pic:pic>
                    </a:graphicData>
                  </a:graphic>
                </wp:inline>
              </w:drawing>
            </w:r>
          </w:p>
          <w:p>
            <w:pPr>
              <w:pStyle w:val="88"/>
              <w:rPr>
                <w:color w:val="000000" w:themeColor="text1"/>
                <w14:textFill>
                  <w14:solidFill>
                    <w14:schemeClr w14:val="tx1"/>
                  </w14:solidFill>
                </w14:textFill>
              </w:rPr>
            </w:pPr>
            <w:r>
              <w:rPr>
                <w:color w:val="000000" w:themeColor="text1"/>
                <w14:textFill>
                  <w14:solidFill>
                    <w14:schemeClr w14:val="tx1"/>
                  </w14:solidFill>
                </w14:textFill>
              </w:rPr>
              <w:t>图5-4  加油油气回收系统基本原理图</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（3）储油方式</w:t>
            </w:r>
          </w:p>
          <w:p>
            <w:pPr>
              <w:pStyle w:val="54"/>
              <w:ind w:firstLine="480"/>
              <w:rPr>
                <w:color w:val="000000" w:themeColor="text1"/>
                <w:szCs w:val="24"/>
                <w:lang w:val="zh-CN"/>
                <w14:textFill>
                  <w14:solidFill>
                    <w14:schemeClr w14:val="tx1"/>
                  </w14:solidFill>
                </w14:textFill>
              </w:rPr>
            </w:pPr>
            <w:r>
              <w:rPr>
                <w:color w:val="000000" w:themeColor="text1"/>
                <w:szCs w:val="24"/>
                <w:lang w:val="zh-CN"/>
                <w14:textFill>
                  <w14:solidFill>
                    <w14:schemeClr w14:val="tx1"/>
                  </w14:solidFill>
                </w14:textFill>
              </w:rPr>
              <w:t>项目采用内钢外玻璃纤维增强塑料双层储罐，油罐埋地设置，既有利于减少了加油站的占地面积，缩小油罐与其他建构物的防护距离，同时也可以减少油品的蒸发损失，减少大气污染物的排放。项目地下油罐带有高液位报警功能的液位计，以及时反映罐内的液位高度和防止液位越过安全高度。</w:t>
            </w:r>
          </w:p>
          <w:p>
            <w:pPr>
              <w:adjustRightInd w:val="0"/>
              <w:snapToGrid w:val="0"/>
              <w:spacing w:line="360" w:lineRule="auto"/>
              <w:rPr>
                <w:rStyle w:val="77"/>
                <w:rFonts w:ascii="Times New Roman" w:hAnsi="Times New Roman"/>
                <w:color w:val="000000" w:themeColor="text1"/>
                <w:szCs w:val="28"/>
                <w14:textFill>
                  <w14:solidFill>
                    <w14:schemeClr w14:val="tx1"/>
                  </w14:solidFill>
                </w14:textFill>
              </w:rPr>
            </w:pPr>
            <w:r>
              <w:rPr>
                <w:rStyle w:val="77"/>
                <w:rFonts w:ascii="Times New Roman" w:hAnsi="Times New Roman"/>
                <w:color w:val="000000" w:themeColor="text1"/>
                <w:szCs w:val="28"/>
                <w14:textFill>
                  <w14:solidFill>
                    <w14:schemeClr w14:val="tx1"/>
                  </w14:solidFill>
                </w14:textFill>
              </w:rPr>
              <w:t>5.2主要污染工序污染源强</w:t>
            </w:r>
          </w:p>
          <w:p>
            <w:pPr>
              <w:adjustRightInd w:val="0"/>
              <w:snapToGrid w:val="0"/>
              <w:spacing w:line="360" w:lineRule="auto"/>
              <w:rPr>
                <w:rFonts w:ascii="Times New Roman" w:hAnsi="Times New Roman"/>
                <w:b/>
                <w:color w:val="000000" w:themeColor="text1"/>
                <w:sz w:val="28"/>
                <w:szCs w:val="28"/>
                <w14:textFill>
                  <w14:solidFill>
                    <w14:schemeClr w14:val="tx1"/>
                  </w14:solidFill>
                </w14:textFill>
              </w:rPr>
            </w:pPr>
            <w:bookmarkStart w:id="24" w:name="_Toc287535131"/>
            <w:bookmarkStart w:id="25" w:name="_Toc287535132"/>
            <w:r>
              <w:rPr>
                <w:rFonts w:ascii="Times New Roman" w:hAnsi="Times New Roman"/>
                <w:b/>
                <w:color w:val="000000" w:themeColor="text1"/>
                <w:sz w:val="28"/>
                <w:szCs w:val="28"/>
                <w14:textFill>
                  <w14:solidFill>
                    <w14:schemeClr w14:val="tx1"/>
                  </w14:solidFill>
                </w14:textFill>
              </w:rPr>
              <w:t>一、施工期污染工序</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施工期的主要产生的污染物为废水、废气、噪声、施工固废。</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1、废水</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施工人员生活污水：施工现场不设施工营地，施工人员就近租用民房，施工期间生活废水为少量的如厕、洗手废水。项目施工人员约20人，施工人员生活用水按45L/人·d计，施工期生活用水为1.6m³/d，排放系数80%，本项目的生活污水产生量0.72m</w:t>
            </w:r>
            <w:r>
              <w:rPr>
                <w:color w:val="000000" w:themeColor="text1"/>
                <w:szCs w:val="24"/>
                <w:vertAlign w:val="superscript"/>
                <w14:textFill>
                  <w14:solidFill>
                    <w14:schemeClr w14:val="tx1"/>
                  </w14:solidFill>
                </w14:textFill>
              </w:rPr>
              <w:t>3</w:t>
            </w:r>
            <w:r>
              <w:rPr>
                <w:color w:val="000000" w:themeColor="text1"/>
                <w:szCs w:val="24"/>
                <w14:textFill>
                  <w14:solidFill>
                    <w14:schemeClr w14:val="tx1"/>
                  </w14:solidFill>
                </w14:textFill>
              </w:rPr>
              <w:t>/d。</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施工废水：主要为机械设备冲洗废水，主要污染因子为SS、石油类，浓度一般分别为300～2000mg/L、15～30mg/L。另外，雨季作业的地面径流水，含有一定量的泥土和高浓度的悬浮物。</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2、废气</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项目施工过程中的废气污染源主要为施工扬尘、施工车辆及施工机械排放的尾气。</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施工扬尘：主要为基础开挖、渣土和基建材料的运输过程中产生的扬尘。这些扬尘的产生与房屋结构、地面干燥程度、风速大小等因素有关，地面越干燥，风速越大，产生扬尘越大。据有关资料统计，建筑施工扬尘影响范围为其下风向150m之间，被影响地区的TSP浓度平均值约491ug/m</w:t>
            </w:r>
            <w:r>
              <w:rPr>
                <w:color w:val="000000" w:themeColor="text1"/>
                <w:szCs w:val="24"/>
                <w:vertAlign w:val="superscript"/>
                <w14:textFill>
                  <w14:solidFill>
                    <w14:schemeClr w14:val="tx1"/>
                  </w14:solidFill>
                </w14:textFill>
              </w:rPr>
              <w:t>3</w:t>
            </w:r>
            <w:r>
              <w:rPr>
                <w:color w:val="000000" w:themeColor="text1"/>
                <w:szCs w:val="24"/>
                <w14:textFill>
                  <w14:solidFill>
                    <w14:schemeClr w14:val="tx1"/>
                  </w14:solidFill>
                </w14:textFill>
              </w:rPr>
              <w:t>。</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尾气：施工机械和运输车辆在作业过程会排放少量尾气，尾气中主要污染物有CO、NO</w:t>
            </w:r>
            <w:r>
              <w:rPr>
                <w:color w:val="000000" w:themeColor="text1"/>
                <w:szCs w:val="24"/>
                <w:vertAlign w:val="subscript"/>
                <w14:textFill>
                  <w14:solidFill>
                    <w14:schemeClr w14:val="tx1"/>
                  </w14:solidFill>
                </w14:textFill>
              </w:rPr>
              <w:t>2</w:t>
            </w:r>
            <w:r>
              <w:rPr>
                <w:color w:val="000000" w:themeColor="text1"/>
                <w:szCs w:val="24"/>
                <w14:textFill>
                  <w14:solidFill>
                    <w14:schemeClr w14:val="tx1"/>
                  </w14:solidFill>
                </w14:textFill>
              </w:rPr>
              <w:t>、THC等。本项目施工规模不大，施工机械和运输车辆排放的尾气较少。</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3、噪声</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项目施工期噪声主要是施工机械设备噪声及车辆运输交通噪声，噪声具有阶段性、临时性和不固定性。根据相关资料，项目各施工阶段的主要噪声源及其声级见表5-1。</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表5-1  各施工阶段的主要噪声源及其声级</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68"/>
              <w:gridCol w:w="1854"/>
              <w:gridCol w:w="1962"/>
              <w:gridCol w:w="41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63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01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施工阶段</w:t>
                  </w:r>
                </w:p>
              </w:tc>
              <w:tc>
                <w:tcPr>
                  <w:tcW w:w="106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设备</w:t>
                  </w:r>
                </w:p>
              </w:tc>
              <w:tc>
                <w:tcPr>
                  <w:tcW w:w="228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单机最大噪声值</w:t>
                  </w:r>
                  <w:r>
                    <w:rPr>
                      <w:color w:val="000000" w:themeColor="text1"/>
                      <w14:textFill>
                        <w14:solidFill>
                          <w14:schemeClr w14:val="tx1"/>
                        </w14:solidFill>
                      </w14:textFill>
                    </w:rPr>
                    <w:cr/>
                  </w:r>
                  <w:r>
                    <w:rPr>
                      <w:color w:val="000000" w:themeColor="text1"/>
                      <w14:textFill>
                        <w14:solidFill>
                          <w14:schemeClr w14:val="tx1"/>
                        </w14:solidFill>
                      </w14:textFill>
                    </w:rPr>
                    <w:t>B（A）（距声源5m处）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63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1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土方</w:t>
                  </w:r>
                </w:p>
              </w:tc>
              <w:tc>
                <w:tcPr>
                  <w:tcW w:w="106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装载机</w:t>
                  </w:r>
                </w:p>
              </w:tc>
              <w:tc>
                <w:tcPr>
                  <w:tcW w:w="228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63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w:t>
                  </w:r>
                </w:p>
              </w:tc>
              <w:tc>
                <w:tcPr>
                  <w:tcW w:w="101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土方</w:t>
                  </w:r>
                </w:p>
              </w:tc>
              <w:tc>
                <w:tcPr>
                  <w:tcW w:w="106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挖掘机</w:t>
                  </w:r>
                </w:p>
              </w:tc>
              <w:tc>
                <w:tcPr>
                  <w:tcW w:w="228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63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101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土方</w:t>
                  </w:r>
                </w:p>
              </w:tc>
              <w:tc>
                <w:tcPr>
                  <w:tcW w:w="106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载车</w:t>
                  </w:r>
                </w:p>
              </w:tc>
              <w:tc>
                <w:tcPr>
                  <w:tcW w:w="228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63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w:t>
                  </w:r>
                </w:p>
              </w:tc>
              <w:tc>
                <w:tcPr>
                  <w:tcW w:w="101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结构</w:t>
                  </w:r>
                </w:p>
              </w:tc>
              <w:tc>
                <w:tcPr>
                  <w:tcW w:w="106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振捣机</w:t>
                  </w:r>
                </w:p>
              </w:tc>
              <w:tc>
                <w:tcPr>
                  <w:tcW w:w="228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63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01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结构</w:t>
                  </w:r>
                </w:p>
              </w:tc>
              <w:tc>
                <w:tcPr>
                  <w:tcW w:w="106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电焊机</w:t>
                  </w:r>
                </w:p>
              </w:tc>
              <w:tc>
                <w:tcPr>
                  <w:tcW w:w="228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63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101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装修</w:t>
                  </w:r>
                </w:p>
              </w:tc>
              <w:tc>
                <w:tcPr>
                  <w:tcW w:w="106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电锯</w:t>
                  </w:r>
                </w:p>
              </w:tc>
              <w:tc>
                <w:tcPr>
                  <w:tcW w:w="228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90</w:t>
                  </w:r>
                </w:p>
              </w:tc>
            </w:tr>
          </w:tbl>
          <w:p>
            <w:pPr>
              <w:pStyle w:val="54"/>
              <w:spacing w:before="156" w:beforeLines="50"/>
              <w:ind w:firstLine="480"/>
              <w:rPr>
                <w:color w:val="000000" w:themeColor="text1"/>
                <w14:textFill>
                  <w14:solidFill>
                    <w14:schemeClr w14:val="tx1"/>
                  </w14:solidFill>
                </w14:textFill>
              </w:rPr>
            </w:pPr>
            <w:r>
              <w:rPr>
                <w:color w:val="000000" w:themeColor="text1"/>
                <w14:textFill>
                  <w14:solidFill>
                    <w14:schemeClr w14:val="tx1"/>
                  </w14:solidFill>
                </w14:textFill>
              </w:rPr>
              <w:t>4、固体废物</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项目拟建地较平整，土石方基本平衡，施工期固体废物主要为建筑垃圾。</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建筑垃圾主要来源于拟建站房施工过程，包括砂石、石块、碎砖瓦、废木料、废金属、废钢筋等杂物。根据《中国城市建筑垃圾产量计算及预测方法》（长安大学学报，2008年9月），建筑施工时建筑垃圾产生量约为550t/万平方米建筑面积，拟建项目总建筑面积669.3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，则建筑垃圾产生量为36.81t</w:t>
            </w:r>
            <w:r>
              <w:rPr>
                <w:rFonts w:hint="eastAsia"/>
                <w:color w:val="000000" w:themeColor="text1"/>
                <w14:textFill>
                  <w14:solidFill>
                    <w14:schemeClr w14:val="tx1"/>
                  </w14:solidFill>
                </w14:textFill>
              </w:rPr>
              <w:t>，由城市环卫部门清淤年处理</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高峰时施工人员约20人。工地生活垃圾按0.5kg/d人计，产生量为0.01t/d。生活垃圾由环卫部门清运处理。</w:t>
            </w:r>
          </w:p>
          <w:p>
            <w:pPr>
              <w:adjustRightInd w:val="0"/>
              <w:snapToGrid w:val="0"/>
              <w:spacing w:line="360" w:lineRule="auto"/>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二、营运期主要污染工序</w:t>
            </w:r>
          </w:p>
          <w:bookmarkEnd w:id="24"/>
          <w:bookmarkEnd w:id="25"/>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本项目在经营活动中，将有废气、废水、噪声和固废等污染物产生。</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1、大气污染源分析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项目运营后，加油站废气主要为油罐大小呼吸、油罐车卸油、加油作业等过程挥发的油气（非甲烷总烃）、柴油发电机运行时产生的废气及进出加油站的车辆排放的尾气，项目内不设食堂，无食堂油烟废气。</w:t>
            </w:r>
          </w:p>
          <w:p>
            <w:pPr>
              <w:pStyle w:val="54"/>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（1）</w:t>
            </w:r>
            <w:r>
              <w:rPr>
                <w:rFonts w:hint="eastAsia"/>
                <w:color w:val="000000" w:themeColor="text1"/>
                <w:u w:val="single"/>
                <w14:textFill>
                  <w14:solidFill>
                    <w14:schemeClr w14:val="tx1"/>
                  </w14:solidFill>
                </w14:textFill>
              </w:rPr>
              <w:t>油气</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本项目年销售预计汽油3000吨、柴油1000吨。根据《散装液态石油产品损耗标准》（GB11085-89）及相关文献资料中有关柴油、汽油损耗率系数，经物料平衡计算可知，本项目油品损耗量总量为2.005t/a。</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①卸油过程</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项目采用自流密闭卸油方式卸油。油料因位差自流进入埋地油罐内，罐内油气便因正压排出油罐进入油槽车内。根据《散装液态石油产品损耗标准》（GB11085-89），卸油过程中汽、柴油会分别产生0.23%、0.05%的油气，按照年销售汽油3000吨、柴油1000吨计算，得出项目卸油过程中汽油油气产生量为6.9t/a，柴油油气产生量为0.5t/a。类比同类采用自流密闭卸油方式卸油系统的加油站，其地下油罐排放的油气约90%～95%可被回收至油罐车内，此次油气回收率取95%，则汽油油气排放量为0.345t/a，柴油油气排放量为0.025t/a。</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②储油过程</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油罐在没有收发油作业的情况下，随着外界气温、压力在一天内的升降周期变化，罐内气体空间温度、油品蒸发速度、油气浓度和蒸汽压力也随之变化。这种排出油蒸气和吸入空气的过程造成的油气损失，叫小呼吸损失。本项目拟采用双层防渗漏地埋式储油罐，油罐密闭性好，顶部和周围有一定厚度的覆土，更够确保储油罐罐室内温度比较稳定，受大气环境稳定影响较小，可减少油罐小呼吸蒸发损耗，延缓油品变质。根据《散装液态石油产品损耗标准》（GB11085-89），卸油过程会产生0.01%的油气排放，按照年销售汽油3000吨、柴油1000吨计算，得出项目储存过程中汽油油气排放量为0.3t/a，柴油油气排放量为0.1t/a。</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③加油过程</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汽车加油过程中因加油箱都是敞开式，加油流速较快，油气排放量较大。据《散装液态石油产品损耗标准》（GB11085-89），若没有二次油气回收系统，加油过程中汽、柴油会产生0.29%、0.08%的油气排放。按照年销售汽油3000吨、柴油1000吨计算，得出项目加油过程中汽油油气产生量为8.7t/a，柴油油气产生量为0.8t/a。</w:t>
            </w:r>
          </w:p>
          <w:p>
            <w:pPr>
              <w:pStyle w:val="54"/>
              <w:ind w:firstLine="48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本项目汽油加油机设置分散式油气回收系统进行油气回收。汽车加油时产生的气体通过加油机被回收，再通过内部的管路进入专业的油罐里面。在气液比在A/L=0.8：1~1.4：1时，其油气回收效率可以达到90%以上，此二次油气回收率取95%，则汽油油气排放量为0.435t/a，柴油油气排放量为0.8t/a。</w:t>
            </w:r>
          </w:p>
          <w:p>
            <w:pPr>
              <w:pStyle w:val="54"/>
              <w:ind w:firstLine="480"/>
              <w:rPr>
                <w:color w:val="000000" w:themeColor="text1"/>
                <w:u w:val="single"/>
                <w14:textFill>
                  <w14:solidFill>
                    <w14:schemeClr w14:val="tx1"/>
                  </w14:solidFill>
                </w14:textFill>
              </w:rPr>
            </w:pPr>
            <w:r>
              <w:rPr>
                <w:rFonts w:hint="eastAsia" w:ascii="宋体" w:cs="宋体"/>
                <w:color w:val="000000" w:themeColor="text1"/>
                <w:kern w:val="0"/>
                <w:szCs w:val="24"/>
                <w:u w:val="single"/>
                <w14:textFill>
                  <w14:solidFill>
                    <w14:schemeClr w14:val="tx1"/>
                  </w14:solidFill>
                </w14:textFill>
              </w:rPr>
              <w:t>本项目油气损耗量情况</w:t>
            </w:r>
            <w:r>
              <w:rPr>
                <w:color w:val="000000" w:themeColor="text1"/>
                <w:u w:val="single"/>
                <w14:textFill>
                  <w14:solidFill>
                    <w14:schemeClr w14:val="tx1"/>
                  </w14:solidFill>
                </w14:textFill>
              </w:rPr>
              <w:t>如表5-1所示。</w:t>
            </w:r>
          </w:p>
          <w:p>
            <w:pPr>
              <w:pStyle w:val="88"/>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表5-1  </w:t>
            </w:r>
            <w:r>
              <w:rPr>
                <w:rFonts w:hint="eastAsia"/>
                <w:color w:val="000000" w:themeColor="text1"/>
                <w:u w:val="single"/>
                <w14:textFill>
                  <w14:solidFill>
                    <w14:schemeClr w14:val="tx1"/>
                  </w14:solidFill>
                </w14:textFill>
              </w:rPr>
              <w:t>加油站油气损耗量一览表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134"/>
              <w:gridCol w:w="1276"/>
              <w:gridCol w:w="1275"/>
              <w:gridCol w:w="1134"/>
              <w:gridCol w:w="1418"/>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项目</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年消耗量</w:t>
                  </w:r>
                </w:p>
              </w:tc>
              <w:tc>
                <w:tcPr>
                  <w:tcW w:w="1276"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损耗率</w:t>
                  </w:r>
                </w:p>
              </w:tc>
              <w:tc>
                <w:tcPr>
                  <w:tcW w:w="127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油气挥发量</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回收系统</w:t>
                  </w:r>
                </w:p>
              </w:tc>
              <w:tc>
                <w:tcPr>
                  <w:tcW w:w="141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回收效率</w:t>
                  </w:r>
                </w:p>
              </w:tc>
              <w:tc>
                <w:tcPr>
                  <w:tcW w:w="2202"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油气年排放量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74" w:type="dxa"/>
                  <w:gridSpan w:val="7"/>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卸油油气损耗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汽油</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3000</w:t>
                  </w:r>
                </w:p>
              </w:tc>
              <w:tc>
                <w:tcPr>
                  <w:tcW w:w="1276"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0.23%</w:t>
                  </w:r>
                  <w:r>
                    <w:rPr>
                      <w:rFonts w:hint="eastAsia"/>
                      <w:color w:val="000000" w:themeColor="text1"/>
                      <w:u w:val="single"/>
                      <w:vertAlign w:val="superscript"/>
                      <w14:textFill>
                        <w14:solidFill>
                          <w14:schemeClr w14:val="tx1"/>
                        </w14:solidFill>
                      </w14:textFill>
                    </w:rPr>
                    <w:t>①</w:t>
                  </w:r>
                </w:p>
              </w:tc>
              <w:tc>
                <w:tcPr>
                  <w:tcW w:w="1275"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6.9t/a</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一次</w:t>
                  </w:r>
                </w:p>
              </w:tc>
              <w:tc>
                <w:tcPr>
                  <w:tcW w:w="141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95%</w:t>
                  </w:r>
                  <w:r>
                    <w:rPr>
                      <w:rFonts w:hint="eastAsia"/>
                      <w:color w:val="000000" w:themeColor="text1"/>
                      <w:u w:val="single"/>
                      <w:vertAlign w:val="superscript"/>
                      <w14:textFill>
                        <w14:solidFill>
                          <w14:schemeClr w14:val="tx1"/>
                        </w14:solidFill>
                      </w14:textFill>
                    </w:rPr>
                    <w:t>②</w:t>
                  </w:r>
                </w:p>
              </w:tc>
              <w:tc>
                <w:tcPr>
                  <w:tcW w:w="2202"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0.345t/a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柴油</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1000</w:t>
                  </w:r>
                </w:p>
              </w:tc>
              <w:tc>
                <w:tcPr>
                  <w:tcW w:w="127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0.05%</w:t>
                  </w:r>
                  <w:r>
                    <w:rPr>
                      <w:rFonts w:hint="eastAsia"/>
                      <w:color w:val="000000" w:themeColor="text1"/>
                      <w:u w:val="single"/>
                      <w:vertAlign w:val="superscript"/>
                      <w14:textFill>
                        <w14:solidFill>
                          <w14:schemeClr w14:val="tx1"/>
                        </w14:solidFill>
                      </w14:textFill>
                    </w:rPr>
                    <w:t>①</w:t>
                  </w:r>
                </w:p>
              </w:tc>
              <w:tc>
                <w:tcPr>
                  <w:tcW w:w="1275"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0.5t/a</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一次</w:t>
                  </w:r>
                </w:p>
              </w:tc>
              <w:tc>
                <w:tcPr>
                  <w:tcW w:w="141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95%</w:t>
                  </w:r>
                  <w:r>
                    <w:rPr>
                      <w:rFonts w:hint="eastAsia"/>
                      <w:color w:val="000000" w:themeColor="text1"/>
                      <w:u w:val="single"/>
                      <w:vertAlign w:val="superscript"/>
                      <w14:textFill>
                        <w14:solidFill>
                          <w14:schemeClr w14:val="tx1"/>
                        </w14:solidFill>
                      </w14:textFill>
                    </w:rPr>
                    <w:t>②</w:t>
                  </w:r>
                </w:p>
              </w:tc>
              <w:tc>
                <w:tcPr>
                  <w:tcW w:w="2202"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0.025t/a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74" w:type="dxa"/>
                  <w:gridSpan w:val="7"/>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贮存油气损耗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汽油</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3000</w:t>
                  </w:r>
                </w:p>
              </w:tc>
              <w:tc>
                <w:tcPr>
                  <w:tcW w:w="127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0.01%</w:t>
                  </w:r>
                  <w:r>
                    <w:rPr>
                      <w:rFonts w:hint="eastAsia"/>
                      <w:color w:val="000000" w:themeColor="text1"/>
                      <w:u w:val="single"/>
                      <w:vertAlign w:val="superscript"/>
                      <w14:textFill>
                        <w14:solidFill>
                          <w14:schemeClr w14:val="tx1"/>
                        </w14:solidFill>
                      </w14:textFill>
                    </w:rPr>
                    <w:t>①</w:t>
                  </w:r>
                </w:p>
              </w:tc>
              <w:tc>
                <w:tcPr>
                  <w:tcW w:w="127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0.3t/a</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无</w:t>
                  </w:r>
                </w:p>
              </w:tc>
              <w:tc>
                <w:tcPr>
                  <w:tcW w:w="141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p>
              </w:tc>
              <w:tc>
                <w:tcPr>
                  <w:tcW w:w="2202"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柴油</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1000</w:t>
                  </w:r>
                </w:p>
              </w:tc>
              <w:tc>
                <w:tcPr>
                  <w:tcW w:w="127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0.01%</w:t>
                  </w:r>
                  <w:r>
                    <w:rPr>
                      <w:rFonts w:hint="eastAsia"/>
                      <w:color w:val="000000" w:themeColor="text1"/>
                      <w:u w:val="single"/>
                      <w:vertAlign w:val="superscript"/>
                      <w14:textFill>
                        <w14:solidFill>
                          <w14:schemeClr w14:val="tx1"/>
                        </w14:solidFill>
                      </w14:textFill>
                    </w:rPr>
                    <w:t>①</w:t>
                  </w:r>
                </w:p>
              </w:tc>
              <w:tc>
                <w:tcPr>
                  <w:tcW w:w="127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0.1t/a</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无</w:t>
                  </w:r>
                </w:p>
              </w:tc>
              <w:tc>
                <w:tcPr>
                  <w:tcW w:w="141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p>
              </w:tc>
              <w:tc>
                <w:tcPr>
                  <w:tcW w:w="2202"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74" w:type="dxa"/>
                  <w:gridSpan w:val="7"/>
                  <w:vAlign w:val="center"/>
                </w:tcPr>
                <w:p>
                  <w:pPr>
                    <w:pStyle w:val="79"/>
                    <w:rPr>
                      <w:color w:val="000000" w:themeColor="text1"/>
                      <w:u w:val="single"/>
                      <w14:textFill>
                        <w14:solidFill>
                          <w14:schemeClr w14:val="tx1"/>
                        </w14:solidFill>
                      </w14:textFill>
                    </w:rPr>
                  </w:pPr>
                  <w:r>
                    <w:rPr>
                      <w:rFonts w:hint="eastAsia" w:ascii="宋体" w:cs="宋体"/>
                      <w:color w:val="000000" w:themeColor="text1"/>
                      <w:kern w:val="0"/>
                      <w:szCs w:val="21"/>
                      <w:u w:val="single"/>
                      <w14:textFill>
                        <w14:solidFill>
                          <w14:schemeClr w14:val="tx1"/>
                        </w14:solidFill>
                      </w14:textFill>
                    </w:rPr>
                    <w:t>加油油气损耗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汽油</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3000</w:t>
                  </w:r>
                </w:p>
              </w:tc>
              <w:tc>
                <w:tcPr>
                  <w:tcW w:w="127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0.29%</w:t>
                  </w:r>
                  <w:r>
                    <w:rPr>
                      <w:rFonts w:hint="eastAsia"/>
                      <w:color w:val="000000" w:themeColor="text1"/>
                      <w:u w:val="single"/>
                      <w:vertAlign w:val="superscript"/>
                      <w14:textFill>
                        <w14:solidFill>
                          <w14:schemeClr w14:val="tx1"/>
                        </w14:solidFill>
                      </w14:textFill>
                    </w:rPr>
                    <w:t>①</w:t>
                  </w:r>
                </w:p>
              </w:tc>
              <w:tc>
                <w:tcPr>
                  <w:tcW w:w="127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8.7t/a</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二次</w:t>
                  </w:r>
                </w:p>
              </w:tc>
              <w:tc>
                <w:tcPr>
                  <w:tcW w:w="141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95%</w:t>
                  </w:r>
                  <w:r>
                    <w:rPr>
                      <w:rFonts w:hint="eastAsia"/>
                      <w:color w:val="000000" w:themeColor="text1"/>
                      <w:u w:val="single"/>
                      <w:vertAlign w:val="superscript"/>
                      <w14:textFill>
                        <w14:solidFill>
                          <w14:schemeClr w14:val="tx1"/>
                        </w14:solidFill>
                      </w14:textFill>
                    </w:rPr>
                    <w:t>②</w:t>
                  </w:r>
                </w:p>
              </w:tc>
              <w:tc>
                <w:tcPr>
                  <w:tcW w:w="2202"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0.435t/a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柴油</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1000</w:t>
                  </w:r>
                </w:p>
              </w:tc>
              <w:tc>
                <w:tcPr>
                  <w:tcW w:w="1276"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0.08%</w:t>
                  </w:r>
                  <w:r>
                    <w:rPr>
                      <w:rFonts w:hint="eastAsia"/>
                      <w:color w:val="000000" w:themeColor="text1"/>
                      <w:u w:val="single"/>
                      <w:vertAlign w:val="superscript"/>
                      <w14:textFill>
                        <w14:solidFill>
                          <w14:schemeClr w14:val="tx1"/>
                        </w14:solidFill>
                      </w14:textFill>
                    </w:rPr>
                    <w:t>①</w:t>
                  </w:r>
                </w:p>
              </w:tc>
              <w:tc>
                <w:tcPr>
                  <w:tcW w:w="127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0.8t/a</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无</w:t>
                  </w:r>
                </w:p>
              </w:tc>
              <w:tc>
                <w:tcPr>
                  <w:tcW w:w="141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p>
              </w:tc>
              <w:tc>
                <w:tcPr>
                  <w:tcW w:w="2202"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Merge w:val="restar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合计</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p>
              </w:tc>
              <w:tc>
                <w:tcPr>
                  <w:tcW w:w="1276"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p>
              </w:tc>
              <w:tc>
                <w:tcPr>
                  <w:tcW w:w="127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17.3t/a</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p>
              </w:tc>
              <w:tc>
                <w:tcPr>
                  <w:tcW w:w="141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p>
              </w:tc>
              <w:tc>
                <w:tcPr>
                  <w:tcW w:w="2202"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2.005t/a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Merge w:val="continue"/>
                  <w:vAlign w:val="center"/>
                </w:tcPr>
                <w:p>
                  <w:pPr>
                    <w:pStyle w:val="79"/>
                    <w:rPr>
                      <w:color w:val="000000" w:themeColor="text1"/>
                      <w:u w:val="single"/>
                      <w14:textFill>
                        <w14:solidFill>
                          <w14:schemeClr w14:val="tx1"/>
                        </w14:solidFill>
                      </w14:textFill>
                    </w:rPr>
                  </w:pPr>
                </w:p>
              </w:tc>
              <w:tc>
                <w:tcPr>
                  <w:tcW w:w="8439" w:type="dxa"/>
                  <w:gridSpan w:val="6"/>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汽油油气排放量：0.345+0.3+0.435=1.08t/a；</w:t>
                  </w:r>
                </w:p>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柴油油气排放量：0.025+0.1+0.8=0.925t/a。</w:t>
                  </w:r>
                </w:p>
              </w:tc>
            </w:tr>
          </w:tbl>
          <w:p>
            <w:pPr>
              <w:pStyle w:val="54"/>
              <w:spacing w:before="156" w:beforeLines="50"/>
              <w:ind w:firstLine="480"/>
              <w:rPr>
                <w:color w:val="000000" w:themeColor="text1"/>
                <w14:textFill>
                  <w14:solidFill>
                    <w14:schemeClr w14:val="tx1"/>
                  </w14:solidFill>
                </w14:textFill>
              </w:rPr>
            </w:pPr>
            <w:r>
              <w:rPr>
                <w:color w:val="000000" w:themeColor="text1"/>
                <w14:textFill>
                  <w14:solidFill>
                    <w14:schemeClr w14:val="tx1"/>
                  </w14:solidFill>
                </w14:textFill>
              </w:rPr>
              <w:t>（2）汽车尾气</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运营期在项目区内行驶的汽车将产生一定浓度的汽车尾气。汽车尾气中主要成份为CO、NO</w:t>
            </w:r>
            <w:r>
              <w:rPr>
                <w:rFonts w:hint="eastAsia"/>
                <w:color w:val="000000" w:themeColor="text1"/>
                <w:vertAlign w:val="subscript"/>
                <w14:textFill>
                  <w14:solidFill>
                    <w14:schemeClr w14:val="tx1"/>
                  </w14:solidFill>
                </w14:textFill>
              </w:rPr>
              <w:t>X</w:t>
            </w:r>
            <w:r>
              <w:rPr>
                <w:rFonts w:hint="eastAsia"/>
                <w:color w:val="000000" w:themeColor="text1"/>
                <w14:textFill>
                  <w14:solidFill>
                    <w14:schemeClr w14:val="tx1"/>
                  </w14:solidFill>
                </w14:textFill>
              </w:rPr>
              <w:t>和总碳氢化合物（THC），其中CO是汽油燃烧的产物，THC是汽油不完全燃烧的产物，NOx是汽油爆裂时，进入空气中氮与氧化合而成的产物，它们的浓度与汽车行驶条件有很大关系，尤其在怠速和慢速行驶时，汽车尾气中污染物含量最高。在怠速状态下，CO是主要的污染物。废气排放与车型、车况和车辆等有关，同时因汽车行驶状况而有较大差别，难以定量计算。</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（3）备用柴油发电机</w:t>
            </w:r>
            <w:r>
              <w:rPr>
                <w:rFonts w:hint="eastAsia"/>
                <w:color w:val="000000" w:themeColor="text1"/>
                <w14:textFill>
                  <w14:solidFill>
                    <w14:schemeClr w14:val="tx1"/>
                  </w14:solidFill>
                </w14:textFill>
              </w:rPr>
              <w:t>尾气</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项目配备1台柴油发电机用作项目运营期间的应急备用电源，主要是用于临时停电的应急供电。在发电机的运行过程中由于柴油的燃烧将会产生一定量的废气，该类废气中的主要污染物为SO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X</w:t>
            </w:r>
            <w:r>
              <w:rPr>
                <w:color w:val="000000" w:themeColor="text1"/>
                <w14:textFill>
                  <w14:solidFill>
                    <w14:schemeClr w14:val="tx1"/>
                  </w14:solidFill>
                </w14:textFill>
              </w:rPr>
              <w:t>和烟尘。发电机只是作为项目应急电源，产生废气收集后通过发电机配套排气筒</w:t>
            </w:r>
            <w:r>
              <w:rPr>
                <w:rFonts w:hint="eastAsia"/>
                <w:color w:val="000000" w:themeColor="text1"/>
                <w14:textFill>
                  <w14:solidFill>
                    <w14:schemeClr w14:val="tx1"/>
                  </w14:solidFill>
                </w14:textFill>
              </w:rPr>
              <w:t>引出发电机房</w:t>
            </w:r>
            <w:r>
              <w:rPr>
                <w:color w:val="000000" w:themeColor="text1"/>
                <w14:textFill>
                  <w14:solidFill>
                    <w14:schemeClr w14:val="tx1"/>
                  </w14:solidFill>
                </w14:textFill>
              </w:rPr>
              <w:t>外排，对大气环境影响较小。</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2、水污染源分析</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项目不设洗车环节，无洗车用水。加油站员工</w:t>
            </w:r>
            <w:r>
              <w:rPr>
                <w:rFonts w:hint="eastAsia"/>
                <w:color w:val="000000" w:themeColor="text1"/>
                <w14:textFill>
                  <w14:solidFill>
                    <w14:schemeClr w14:val="tx1"/>
                  </w14:solidFill>
                </w14:textFill>
              </w:rPr>
              <w:t>均不在项目内食宿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项目内设置</w:t>
            </w:r>
            <w:r>
              <w:rPr>
                <w:color w:val="000000" w:themeColor="text1"/>
                <w14:textFill>
                  <w14:solidFill>
                    <w14:schemeClr w14:val="tx1"/>
                  </w14:solidFill>
                </w14:textFill>
              </w:rPr>
              <w:t>公共厕所</w:t>
            </w:r>
            <w:r>
              <w:rPr>
                <w:rFonts w:hint="eastAsia"/>
                <w:color w:val="000000" w:themeColor="text1"/>
                <w14:textFill>
                  <w14:solidFill>
                    <w14:schemeClr w14:val="tx1"/>
                  </w14:solidFill>
                </w14:textFill>
              </w:rPr>
              <w:t>，供站区内员工及来往顾客使用</w:t>
            </w:r>
            <w:r>
              <w:rPr>
                <w:color w:val="000000" w:themeColor="text1"/>
                <w14:textFill>
                  <w14:solidFill>
                    <w14:schemeClr w14:val="tx1"/>
                  </w14:solidFill>
                </w14:textFill>
              </w:rPr>
              <w:t>。加油站在加油区设置有罩棚，并在加油区周边设有环形导水沟，可防止雨水被油污染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且加油区占地小，因此初期雨水可直接外排雨水管网，故不考虑初期雨水被油类污染而产生的废水。</w:t>
            </w:r>
            <w:r>
              <w:rPr>
                <w:rFonts w:hint="eastAsia"/>
                <w:color w:val="000000" w:themeColor="text1"/>
                <w14:textFill>
                  <w14:solidFill>
                    <w14:schemeClr w14:val="tx1"/>
                  </w14:solidFill>
                </w14:textFill>
              </w:rPr>
              <w:t>加油站</w:t>
            </w:r>
            <w:r>
              <w:rPr>
                <w:color w:val="000000" w:themeColor="text1"/>
                <w14:textFill>
                  <w14:solidFill>
                    <w14:schemeClr w14:val="tx1"/>
                  </w14:solidFill>
                </w14:textFill>
              </w:rPr>
              <w:t>油罐均分类储存产品油，无需倒罐，因此无需清洗储油罐，无洗罐废水产生。</w:t>
            </w:r>
            <w:r>
              <w:rPr>
                <w:rFonts w:hint="eastAsia"/>
                <w:color w:val="000000" w:themeColor="text1"/>
                <w14:textFill>
                  <w14:solidFill>
                    <w14:schemeClr w14:val="tx1"/>
                  </w14:solidFill>
                </w14:textFill>
              </w:rPr>
              <w:t>故本项目营运期仅地面冲洗废水及生活污水产生。</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（1）地面冲洗废水</w:t>
            </w:r>
          </w:p>
          <w:p>
            <w:pPr>
              <w:pStyle w:val="54"/>
              <w:ind w:firstLine="48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项目前来加油的乡镇农用车及工程车较多，项目场地需定期对加油站站区地面进行冲洗，需冲洗面积约</w:t>
            </w:r>
            <w:r>
              <w:rPr>
                <w:rFonts w:hAnsi="宋体"/>
                <w:color w:val="000000" w:themeColor="text1"/>
                <w14:textFill>
                  <w14:solidFill>
                    <w14:schemeClr w14:val="tx1"/>
                  </w14:solidFill>
                </w14:textFill>
              </w:rPr>
              <w:t>550</w:t>
            </w:r>
            <w:r>
              <w:rPr>
                <w:rFonts w:hint="eastAsia" w:hAnsi="宋体"/>
                <w:color w:val="000000" w:themeColor="text1"/>
                <w14:textFill>
                  <w14:solidFill>
                    <w14:schemeClr w14:val="tx1"/>
                  </w14:solidFill>
                </w14:textFill>
              </w:rPr>
              <w:t>m</w:t>
            </w:r>
            <w:r>
              <w:rPr>
                <w:rFonts w:hint="eastAsia" w:hAnsi="宋体"/>
                <w:color w:val="000000" w:themeColor="text1"/>
                <w:vertAlign w:val="superscript"/>
                <w14:textFill>
                  <w14:solidFill>
                    <w14:schemeClr w14:val="tx1"/>
                  </w14:solidFill>
                </w14:textFill>
              </w:rPr>
              <w:t>2</w:t>
            </w:r>
            <w:r>
              <w:rPr>
                <w:rFonts w:hint="eastAsia" w:hAnsi="宋体"/>
                <w:color w:val="000000" w:themeColor="text1"/>
                <w14:textFill>
                  <w14:solidFill>
                    <w14:schemeClr w14:val="tx1"/>
                  </w14:solidFill>
                </w14:textFill>
              </w:rPr>
              <w:t>，年冲洗48次（每月冲洗四次），清洗用水量以2L/m</w:t>
            </w:r>
            <w:r>
              <w:rPr>
                <w:rFonts w:hint="eastAsia" w:hAnsi="宋体"/>
                <w:color w:val="000000" w:themeColor="text1"/>
                <w:vertAlign w:val="superscript"/>
                <w14:textFill>
                  <w14:solidFill>
                    <w14:schemeClr w14:val="tx1"/>
                  </w14:solidFill>
                </w14:textFill>
              </w:rPr>
              <w:t>2</w:t>
            </w:r>
            <w:r>
              <w:rPr>
                <w:rFonts w:hint="eastAsia" w:hAnsi="宋体"/>
                <w:color w:val="000000" w:themeColor="text1"/>
                <w14:textFill>
                  <w14:solidFill>
                    <w14:schemeClr w14:val="tx1"/>
                  </w14:solidFill>
                </w14:textFill>
              </w:rPr>
              <w:t>·次计，地面冲洗用水量为52.8m</w:t>
            </w:r>
            <w:r>
              <w:rPr>
                <w:rFonts w:hint="eastAsia" w:hAnsi="宋体"/>
                <w:color w:val="000000" w:themeColor="text1"/>
                <w:vertAlign w:val="superscript"/>
                <w14:textFill>
                  <w14:solidFill>
                    <w14:schemeClr w14:val="tx1"/>
                  </w14:solidFill>
                </w14:textFill>
              </w:rPr>
              <w:t>3</w:t>
            </w:r>
            <w:r>
              <w:rPr>
                <w:rFonts w:hint="eastAsia" w:hAnsi="宋体"/>
                <w:color w:val="000000" w:themeColor="text1"/>
                <w14:textFill>
                  <w14:solidFill>
                    <w14:schemeClr w14:val="tx1"/>
                  </w14:solidFill>
                </w14:textFill>
              </w:rPr>
              <w:t>/a，废水产生量按用水量的90%计，则废水产生量为47.52m</w:t>
            </w:r>
            <w:r>
              <w:rPr>
                <w:rFonts w:hint="eastAsia" w:hAnsi="宋体"/>
                <w:color w:val="000000" w:themeColor="text1"/>
                <w:vertAlign w:val="superscript"/>
                <w14:textFill>
                  <w14:solidFill>
                    <w14:schemeClr w14:val="tx1"/>
                  </w14:solidFill>
                </w14:textFill>
              </w:rPr>
              <w:t>3</w:t>
            </w:r>
            <w:r>
              <w:rPr>
                <w:rFonts w:hint="eastAsia" w:hAnsi="宋体"/>
                <w:color w:val="000000" w:themeColor="text1"/>
                <w14:textFill>
                  <w14:solidFill>
                    <w14:schemeClr w14:val="tx1"/>
                  </w14:solidFill>
                </w14:textFill>
              </w:rPr>
              <w:t>/a。</w:t>
            </w:r>
            <w:r>
              <w:rPr>
                <w:color w:val="000000" w:themeColor="text1"/>
                <w:szCs w:val="16"/>
                <w14:textFill>
                  <w14:solidFill>
                    <w14:schemeClr w14:val="tx1"/>
                  </w14:solidFill>
                </w14:textFill>
              </w:rPr>
              <w:t>废水中主要污染物及浓度为SS</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2</w:t>
            </w:r>
            <w:r>
              <w:rPr>
                <w:rFonts w:hint="eastAsia"/>
                <w:color w:val="000000" w:themeColor="text1"/>
                <w:szCs w:val="16"/>
                <w14:textFill>
                  <w14:solidFill>
                    <w14:schemeClr w14:val="tx1"/>
                  </w14:solidFill>
                </w14:textFill>
              </w:rPr>
              <w:t>0</w:t>
            </w:r>
            <w:r>
              <w:rPr>
                <w:color w:val="000000" w:themeColor="text1"/>
                <w:szCs w:val="16"/>
                <w14:textFill>
                  <w14:solidFill>
                    <w14:schemeClr w14:val="tx1"/>
                  </w14:solidFill>
                </w14:textFill>
              </w:rPr>
              <w:t>0mg/L、</w:t>
            </w:r>
            <w:r>
              <w:rPr>
                <w:rFonts w:hint="eastAsia"/>
                <w:color w:val="000000" w:themeColor="text1"/>
                <w:szCs w:val="16"/>
                <w14:textFill>
                  <w14:solidFill>
                    <w14:schemeClr w14:val="tx1"/>
                  </w14:solidFill>
                </w14:textFill>
              </w:rPr>
              <w:t>石油类：2</w:t>
            </w:r>
            <w:r>
              <w:rPr>
                <w:color w:val="000000" w:themeColor="text1"/>
                <w:szCs w:val="16"/>
                <w14:textFill>
                  <w14:solidFill>
                    <w14:schemeClr w14:val="tx1"/>
                  </w14:solidFill>
                </w14:textFill>
              </w:rPr>
              <w:t>0mg/L</w:t>
            </w:r>
            <w:r>
              <w:rPr>
                <w:rFonts w:hint="eastAsia"/>
                <w:color w:val="000000" w:themeColor="text1"/>
                <w:szCs w:val="16"/>
                <w14:textFill>
                  <w14:solidFill>
                    <w14:schemeClr w14:val="tx1"/>
                  </w14:solidFill>
                </w14:textFill>
              </w:rPr>
              <w:t>。地面冲洗废水经站区内隔油池收集处理后经市政污水管网引入祁东县渔陂污水处理厂进行处理，达标后外排至白河。</w:t>
            </w:r>
          </w:p>
          <w:p>
            <w:pPr>
              <w:pStyle w:val="54"/>
              <w:ind w:firstLine="480"/>
              <w:rPr>
                <w:color w:val="000000" w:themeColor="text1"/>
                <w14:textFill>
                  <w14:solidFill>
                    <w14:schemeClr w14:val="tx1"/>
                  </w14:solidFill>
                </w14:textFill>
              </w:rPr>
            </w:pPr>
            <w:bookmarkStart w:id="26" w:name="OLE_LINK11"/>
            <w:r>
              <w:rPr>
                <w:rFonts w:hint="eastAsia"/>
                <w:color w:val="000000" w:themeColor="text1"/>
                <w14:textFill>
                  <w14:solidFill>
                    <w14:schemeClr w14:val="tx1"/>
                  </w14:solidFill>
                </w14:textFill>
              </w:rPr>
              <w:t>（2）生活污水</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项目员工8人，均不在厂区食宿。根据《湖南省用水定额》（DB43/T 388-2014），员工生活用水量以45L/人·d计，则项目员工生活用水量为</w:t>
            </w:r>
            <w:r>
              <w:rPr>
                <w:rFonts w:hint="eastAsia"/>
                <w:color w:val="000000" w:themeColor="text1"/>
                <w14:textFill>
                  <w14:solidFill>
                    <w14:schemeClr w14:val="tx1"/>
                  </w14:solidFill>
                </w14:textFill>
              </w:rPr>
              <w:t>131.4</w:t>
            </w:r>
            <w:r>
              <w:rPr>
                <w:color w:val="000000" w:themeColor="text1"/>
                <w14:textFill>
                  <w14:solidFill>
                    <w14:schemeClr w14:val="tx1"/>
                  </w14:solidFill>
                </w14:textFill>
              </w:rPr>
              <w:t>t/a。项目加油来往顾客用水人数按50人次/d计，顾客用水量取3L/人次，则用水量为</w:t>
            </w:r>
            <w:r>
              <w:rPr>
                <w:rFonts w:hint="eastAsia"/>
                <w:color w:val="000000" w:themeColor="text1"/>
                <w14:textFill>
                  <w14:solidFill>
                    <w14:schemeClr w14:val="tx1"/>
                  </w14:solidFill>
                </w14:textFill>
              </w:rPr>
              <w:t>54.75</w:t>
            </w:r>
            <w:r>
              <w:rPr>
                <w:rFonts w:hint="eastAsia" w:hAnsi="宋体"/>
                <w:color w:val="000000" w:themeColor="text1"/>
                <w14:textFill>
                  <w14:solidFill>
                    <w14:schemeClr w14:val="tx1"/>
                  </w14:solidFill>
                </w14:textFill>
              </w:rPr>
              <w:t>m</w:t>
            </w:r>
            <w:r>
              <w:rPr>
                <w:rFonts w:hint="eastAsia" w:hAnsi="宋体"/>
                <w:color w:val="000000" w:themeColor="text1"/>
                <w:vertAlign w:val="superscript"/>
                <w14:textFill>
                  <w14:solidFill>
                    <w14:schemeClr w14:val="tx1"/>
                  </w14:solidFill>
                </w14:textFill>
              </w:rPr>
              <w:t>3</w:t>
            </w:r>
            <w:r>
              <w:rPr>
                <w:color w:val="000000" w:themeColor="text1"/>
                <w14:textFill>
                  <w14:solidFill>
                    <w14:schemeClr w14:val="tx1"/>
                  </w14:solidFill>
                </w14:textFill>
              </w:rPr>
              <w:t>/a。根据《生活源产排污系数及使用说明》（2010年修订），生活污水以用水量的80%计，则生活污水产生量约为</w:t>
            </w:r>
            <w:r>
              <w:rPr>
                <w:rFonts w:hint="eastAsia"/>
                <w:color w:val="000000" w:themeColor="text1"/>
                <w14:textFill>
                  <w14:solidFill>
                    <w14:schemeClr w14:val="tx1"/>
                  </w14:solidFill>
                </w14:textFill>
              </w:rPr>
              <w:t>148.92</w:t>
            </w:r>
            <w:r>
              <w:rPr>
                <w:rFonts w:hint="eastAsia" w:hAnsi="宋体"/>
                <w:color w:val="000000" w:themeColor="text1"/>
                <w14:textFill>
                  <w14:solidFill>
                    <w14:schemeClr w14:val="tx1"/>
                  </w14:solidFill>
                </w14:textFill>
              </w:rPr>
              <w:t>m</w:t>
            </w:r>
            <w:r>
              <w:rPr>
                <w:rFonts w:hint="eastAsia" w:hAnsi="宋体"/>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bookmarkEnd w:id="26"/>
            <w:r>
              <w:rPr>
                <w:color w:val="000000" w:themeColor="text1"/>
                <w:szCs w:val="16"/>
                <w14:textFill>
                  <w14:solidFill>
                    <w14:schemeClr w14:val="tx1"/>
                  </w14:solidFill>
                </w14:textFill>
              </w:rPr>
              <w:t>废水中主要污染物及浓度为SS</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240mg/L、CODcr</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300mg/L、BOD</w:t>
            </w:r>
            <w:r>
              <w:rPr>
                <w:color w:val="000000" w:themeColor="text1"/>
                <w:szCs w:val="16"/>
                <w:vertAlign w:val="subscript"/>
                <w14:textFill>
                  <w14:solidFill>
                    <w14:schemeClr w14:val="tx1"/>
                  </w14:solidFill>
                </w14:textFill>
              </w:rPr>
              <w:t>5</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200mg/L、NH</w:t>
            </w:r>
            <w:r>
              <w:rPr>
                <w:color w:val="000000" w:themeColor="text1"/>
                <w:szCs w:val="16"/>
                <w:vertAlign w:val="subscript"/>
                <w14:textFill>
                  <w14:solidFill>
                    <w14:schemeClr w14:val="tx1"/>
                  </w14:solidFill>
                </w14:textFill>
              </w:rPr>
              <w:t>3</w:t>
            </w:r>
            <w:r>
              <w:rPr>
                <w:color w:val="000000" w:themeColor="text1"/>
                <w:szCs w:val="16"/>
                <w14:textFill>
                  <w14:solidFill>
                    <w14:schemeClr w14:val="tx1"/>
                  </w14:solidFill>
                </w14:textFill>
              </w:rPr>
              <w:t>-N</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30mg/L</w:t>
            </w:r>
            <w:r>
              <w:rPr>
                <w:rFonts w:hint="eastAsia"/>
                <w:color w:val="000000" w:themeColor="text1"/>
                <w:szCs w:val="16"/>
                <w14:textFill>
                  <w14:solidFill>
                    <w14:schemeClr w14:val="tx1"/>
                  </w14:solidFill>
                </w14:textFill>
              </w:rPr>
              <w:t>。生活污水经站区内化粪池收集处理后经市政污水管网引入祁东县渔陂污水处理厂进行处理，达标后外排至白河。</w:t>
            </w:r>
          </w:p>
          <w:p>
            <w:pPr>
              <w:pStyle w:val="26"/>
              <w:ind w:firstLine="320"/>
              <w:rPr>
                <w:rFonts w:ascii="Times New Roman" w:hAnsi="Times New Roman"/>
                <w:color w:val="000000" w:themeColor="text1"/>
                <w:kern w:val="2"/>
                <w:sz w:val="24"/>
                <w14:textFill>
                  <w14:solidFill>
                    <w14:schemeClr w14:val="tx1"/>
                  </w14:solidFill>
                </w14:textFill>
              </w:rPr>
            </w:pPr>
            <w:r>
              <w:rPr>
                <w:rFonts w:hint="eastAsia" w:ascii="Times New Roman" w:hAnsi="Times New Roman"/>
                <w:color w:val="000000" w:themeColor="text1"/>
                <w:kern w:val="2"/>
                <w:sz w:val="24"/>
                <w14:textFill>
                  <w14:solidFill>
                    <w14:schemeClr w14:val="tx1"/>
                  </w14:solidFill>
                </w14:textFill>
              </w:rPr>
              <w:t>各废水污染物的产生情况见表5-3。</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表5-3  项目废水污染物产生情况一览表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958"/>
              <w:gridCol w:w="1247"/>
              <w:gridCol w:w="1032"/>
              <w:gridCol w:w="1153"/>
              <w:gridCol w:w="961"/>
              <w:gridCol w:w="1091"/>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废水量</w:t>
                  </w:r>
                </w:p>
              </w:tc>
              <w:tc>
                <w:tcPr>
                  <w:tcW w:w="95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污染物名称</w:t>
                  </w:r>
                </w:p>
              </w:tc>
              <w:tc>
                <w:tcPr>
                  <w:tcW w:w="124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产生浓度（mg/L）</w:t>
                  </w:r>
                </w:p>
              </w:tc>
              <w:tc>
                <w:tcPr>
                  <w:tcW w:w="103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产生量（t/a）</w:t>
                  </w:r>
                </w:p>
              </w:tc>
              <w:tc>
                <w:tcPr>
                  <w:tcW w:w="115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站区内处理后排放浓度（mg/L）</w:t>
                  </w:r>
                </w:p>
              </w:tc>
              <w:tc>
                <w:tcPr>
                  <w:tcW w:w="96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排放量（t/a）</w:t>
                  </w:r>
                </w:p>
              </w:tc>
              <w:tc>
                <w:tcPr>
                  <w:tcW w:w="109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渔陂污水处理产该处理后排放浓度（mg/L）</w:t>
                  </w:r>
                </w:p>
              </w:tc>
              <w:tc>
                <w:tcPr>
                  <w:tcW w:w="86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生活污水（Q=148.92m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p>
              </w:tc>
              <w:tc>
                <w:tcPr>
                  <w:tcW w:w="95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CODcr</w:t>
                  </w:r>
                </w:p>
              </w:tc>
              <w:tc>
                <w:tcPr>
                  <w:tcW w:w="12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0.04</w:t>
                  </w:r>
                  <w:r>
                    <w:rPr>
                      <w:rFonts w:hint="eastAsia"/>
                      <w:color w:val="000000" w:themeColor="text1"/>
                      <w14:textFill>
                        <w14:solidFill>
                          <w14:schemeClr w14:val="tx1"/>
                        </w14:solidFill>
                      </w14:textFill>
                    </w:rPr>
                    <w:t>5</w:t>
                  </w:r>
                </w:p>
              </w:tc>
              <w:tc>
                <w:tcPr>
                  <w:tcW w:w="115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250</w:t>
                  </w:r>
                </w:p>
              </w:tc>
              <w:tc>
                <w:tcPr>
                  <w:tcW w:w="96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0.0372</w:t>
                  </w:r>
                </w:p>
              </w:tc>
              <w:tc>
                <w:tcPr>
                  <w:tcW w:w="109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60</w:t>
                  </w:r>
                </w:p>
              </w:tc>
              <w:tc>
                <w:tcPr>
                  <w:tcW w:w="86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w:t>
                  </w:r>
                  <w:r>
                    <w:rPr>
                      <w:rFonts w:hint="eastAsia"/>
                      <w:color w:val="000000" w:themeColor="text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Merge w:val="continue"/>
                  <w:vAlign w:val="center"/>
                </w:tcPr>
                <w:p>
                  <w:pPr>
                    <w:pStyle w:val="79"/>
                    <w:rPr>
                      <w:color w:val="000000" w:themeColor="text1"/>
                      <w14:textFill>
                        <w14:solidFill>
                          <w14:schemeClr w14:val="tx1"/>
                        </w14:solidFill>
                      </w14:textFill>
                    </w:rPr>
                  </w:pPr>
                </w:p>
              </w:tc>
              <w:tc>
                <w:tcPr>
                  <w:tcW w:w="95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12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200</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w:t>
                  </w:r>
                  <w:r>
                    <w:rPr>
                      <w:rFonts w:hint="eastAsia"/>
                      <w:color w:val="000000" w:themeColor="text1"/>
                      <w14:textFill>
                        <w14:solidFill>
                          <w14:schemeClr w14:val="tx1"/>
                        </w14:solidFill>
                      </w14:textFill>
                    </w:rPr>
                    <w:t>30</w:t>
                  </w:r>
                </w:p>
              </w:tc>
              <w:tc>
                <w:tcPr>
                  <w:tcW w:w="115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180</w:t>
                  </w:r>
                </w:p>
              </w:tc>
              <w:tc>
                <w:tcPr>
                  <w:tcW w:w="96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0.02</w:t>
                  </w:r>
                  <w:r>
                    <w:rPr>
                      <w:rFonts w:hint="eastAsia"/>
                      <w:color w:val="000000" w:themeColor="text1"/>
                      <w14:textFill>
                        <w14:solidFill>
                          <w14:schemeClr w14:val="tx1"/>
                        </w14:solidFill>
                      </w14:textFill>
                    </w:rPr>
                    <w:t>77</w:t>
                  </w:r>
                </w:p>
              </w:tc>
              <w:tc>
                <w:tcPr>
                  <w:tcW w:w="109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w:t>
                  </w:r>
                </w:p>
              </w:tc>
              <w:tc>
                <w:tcPr>
                  <w:tcW w:w="86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Merge w:val="continue"/>
                  <w:vAlign w:val="center"/>
                </w:tcPr>
                <w:p>
                  <w:pPr>
                    <w:pStyle w:val="79"/>
                    <w:rPr>
                      <w:color w:val="000000" w:themeColor="text1"/>
                      <w14:textFill>
                        <w14:solidFill>
                          <w14:schemeClr w14:val="tx1"/>
                        </w14:solidFill>
                      </w14:textFill>
                    </w:rPr>
                  </w:pPr>
                </w:p>
              </w:tc>
              <w:tc>
                <w:tcPr>
                  <w:tcW w:w="95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p>
              </w:tc>
              <w:tc>
                <w:tcPr>
                  <w:tcW w:w="12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30</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0.0045</w:t>
                  </w:r>
                </w:p>
              </w:tc>
              <w:tc>
                <w:tcPr>
                  <w:tcW w:w="115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28</w:t>
                  </w:r>
                </w:p>
              </w:tc>
              <w:tc>
                <w:tcPr>
                  <w:tcW w:w="96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0.0042</w:t>
                  </w:r>
                </w:p>
              </w:tc>
              <w:tc>
                <w:tcPr>
                  <w:tcW w:w="109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w:t>
                  </w:r>
                </w:p>
              </w:tc>
              <w:tc>
                <w:tcPr>
                  <w:tcW w:w="86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Merge w:val="continue"/>
                  <w:vAlign w:val="center"/>
                </w:tcPr>
                <w:p>
                  <w:pPr>
                    <w:pStyle w:val="79"/>
                    <w:rPr>
                      <w:color w:val="000000" w:themeColor="text1"/>
                      <w14:textFill>
                        <w14:solidFill>
                          <w14:schemeClr w14:val="tx1"/>
                        </w14:solidFill>
                      </w14:textFill>
                    </w:rPr>
                  </w:pPr>
                </w:p>
              </w:tc>
              <w:tc>
                <w:tcPr>
                  <w:tcW w:w="95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SS</w:t>
                  </w:r>
                </w:p>
              </w:tc>
              <w:tc>
                <w:tcPr>
                  <w:tcW w:w="12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240</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0.03</w:t>
                  </w:r>
                  <w:r>
                    <w:rPr>
                      <w:rFonts w:hint="eastAsia"/>
                      <w:color w:val="000000" w:themeColor="text1"/>
                      <w14:textFill>
                        <w14:solidFill>
                          <w14:schemeClr w14:val="tx1"/>
                        </w14:solidFill>
                      </w14:textFill>
                    </w:rPr>
                    <w:t>6</w:t>
                  </w:r>
                </w:p>
              </w:tc>
              <w:tc>
                <w:tcPr>
                  <w:tcW w:w="115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180</w:t>
                  </w:r>
                </w:p>
              </w:tc>
              <w:tc>
                <w:tcPr>
                  <w:tcW w:w="96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0.02</w:t>
                  </w:r>
                  <w:r>
                    <w:rPr>
                      <w:rFonts w:hint="eastAsia"/>
                      <w:color w:val="000000" w:themeColor="text1"/>
                      <w14:textFill>
                        <w14:solidFill>
                          <w14:schemeClr w14:val="tx1"/>
                        </w14:solidFill>
                      </w14:textFill>
                    </w:rPr>
                    <w:t>7</w:t>
                  </w:r>
                </w:p>
              </w:tc>
              <w:tc>
                <w:tcPr>
                  <w:tcW w:w="109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w:t>
                  </w:r>
                </w:p>
              </w:tc>
              <w:tc>
                <w:tcPr>
                  <w:tcW w:w="86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地面冲洗废水（Q=</w:t>
                  </w:r>
                  <w:r>
                    <w:rPr>
                      <w:rFonts w:hint="eastAsia" w:hAnsi="宋体"/>
                      <w:color w:val="000000" w:themeColor="text1"/>
                      <w14:textFill>
                        <w14:solidFill>
                          <w14:schemeClr w14:val="tx1"/>
                        </w14:solidFill>
                      </w14:textFill>
                    </w:rPr>
                    <w:t>47.52</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p>
              </w:tc>
              <w:tc>
                <w:tcPr>
                  <w:tcW w:w="95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SS</w:t>
                  </w:r>
                </w:p>
              </w:tc>
              <w:tc>
                <w:tcPr>
                  <w:tcW w:w="124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0.0095</w:t>
                  </w:r>
                </w:p>
              </w:tc>
              <w:tc>
                <w:tcPr>
                  <w:tcW w:w="115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160</w:t>
                  </w:r>
                </w:p>
              </w:tc>
              <w:tc>
                <w:tcPr>
                  <w:tcW w:w="96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0.0076</w:t>
                  </w:r>
                </w:p>
              </w:tc>
              <w:tc>
                <w:tcPr>
                  <w:tcW w:w="109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w:t>
                  </w:r>
                </w:p>
              </w:tc>
              <w:tc>
                <w:tcPr>
                  <w:tcW w:w="86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Merge w:val="continue"/>
                  <w:vAlign w:val="center"/>
                </w:tcPr>
                <w:p>
                  <w:pPr>
                    <w:pStyle w:val="79"/>
                    <w:rPr>
                      <w:color w:val="000000" w:themeColor="text1"/>
                      <w14:textFill>
                        <w14:solidFill>
                          <w14:schemeClr w14:val="tx1"/>
                        </w14:solidFill>
                      </w14:textFill>
                    </w:rPr>
                  </w:pPr>
                </w:p>
              </w:tc>
              <w:tc>
                <w:tcPr>
                  <w:tcW w:w="95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石油类</w:t>
                  </w:r>
                </w:p>
              </w:tc>
              <w:tc>
                <w:tcPr>
                  <w:tcW w:w="124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0.0010</w:t>
                  </w:r>
                </w:p>
              </w:tc>
              <w:tc>
                <w:tcPr>
                  <w:tcW w:w="115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w:t>
                  </w:r>
                </w:p>
              </w:tc>
              <w:tc>
                <w:tcPr>
                  <w:tcW w:w="96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0.0007</w:t>
                  </w:r>
                </w:p>
              </w:tc>
              <w:tc>
                <w:tcPr>
                  <w:tcW w:w="109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86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0.0001</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项目水平衡图如下：</w:t>
            </w:r>
          </w:p>
          <w:p>
            <w:pPr>
              <w:pStyle w:val="88"/>
              <w:rPr>
                <w:color w:val="000000" w:themeColor="text1"/>
                <w14:textFill>
                  <w14:solidFill>
                    <w14:schemeClr w14:val="tx1"/>
                  </w14:solidFill>
                </w14:textFill>
              </w:rPr>
            </w:pPr>
            <w:r>
              <w:rPr>
                <w:color w:val="000000" w:themeColor="text1"/>
                <w14:textFill>
                  <w14:solidFill>
                    <w14:schemeClr w14:val="tx1"/>
                  </w14:solidFill>
                </w14:textFill>
              </w:rPr>
              <w:object>
                <v:shape id="_x0000_i1025" o:spt="75" type="#_x0000_t75" style="height:164.05pt;width:407.7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p>
          <w:p>
            <w:pPr>
              <w:pStyle w:val="88"/>
              <w:rPr>
                <w:color w:val="000000" w:themeColor="text1"/>
                <w14:textFill>
                  <w14:solidFill>
                    <w14:schemeClr w14:val="tx1"/>
                  </w14:solidFill>
                </w14:textFill>
              </w:rPr>
            </w:pPr>
            <w:r>
              <w:rPr>
                <w:color w:val="000000" w:themeColor="text1"/>
                <w14:textFill>
                  <w14:solidFill>
                    <w14:schemeClr w14:val="tx1"/>
                  </w14:solidFill>
                </w14:textFill>
              </w:rPr>
              <w:t>图5-5</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水平衡图（m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3、噪声污染源分析</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本项目的噪声源主要为加油泵等设备运行时产生的设备噪声以及加油车辆在进出加油站时产生的交通噪声。汽车在加油站内发动机处于关闭状态，所以噪声不大，根据</w:t>
            </w:r>
            <w:r>
              <w:rPr>
                <w:rFonts w:hint="eastAsia"/>
                <w:color w:val="000000" w:themeColor="text1"/>
                <w14:textFill>
                  <w14:solidFill>
                    <w14:schemeClr w14:val="tx1"/>
                  </w14:solidFill>
                </w14:textFill>
              </w:rPr>
              <w:t>类比同类型加油站</w:t>
            </w:r>
            <w:r>
              <w:rPr>
                <w:color w:val="000000" w:themeColor="text1"/>
                <w14:textFill>
                  <w14:solidFill>
                    <w14:schemeClr w14:val="tx1"/>
                  </w14:solidFill>
                </w14:textFill>
              </w:rPr>
              <w:t>，噪声值为60～65dB（A）；备用发电机运行噪声80～85dB（A）。项目将发电机等高噪设备置于室内，经垫片减震、墙体阻隔、距离衰减等处理后外排。项目噪声排放达标，对周围环境产生影响较小。</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4、固体废物</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根据工艺分析及现场调查，本站生产过程中产生的固体废弃物主要有职工人员和过往</w:t>
            </w:r>
            <w:r>
              <w:rPr>
                <w:rFonts w:hint="eastAsia"/>
                <w:color w:val="000000" w:themeColor="text1"/>
                <w14:textFill>
                  <w14:solidFill>
                    <w14:schemeClr w14:val="tx1"/>
                  </w14:solidFill>
                </w14:textFill>
              </w:rPr>
              <w:t>顾客</w:t>
            </w:r>
            <w:r>
              <w:rPr>
                <w:color w:val="000000" w:themeColor="text1"/>
                <w14:textFill>
                  <w14:solidFill>
                    <w14:schemeClr w14:val="tx1"/>
                  </w14:solidFill>
                </w14:textFill>
              </w:rPr>
              <w:t>产生的生活垃圾、油罐油泥</w:t>
            </w:r>
            <w:r>
              <w:rPr>
                <w:rFonts w:hint="eastAsia"/>
                <w:color w:val="000000" w:themeColor="text1"/>
                <w14:textFill>
                  <w14:solidFill>
                    <w14:schemeClr w14:val="tx1"/>
                  </w14:solidFill>
                </w14:textFill>
              </w:rPr>
              <w:t>、隔油池沉渣，项目内不进行设备维修，无含油抹布及手套的产生</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（1）生活垃圾</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职工生活垃圾：本项目有职工8人，生活垃圾人均产</w:t>
            </w:r>
            <w:r>
              <w:rPr>
                <w:rFonts w:hint="eastAsia"/>
                <w:color w:val="000000" w:themeColor="text1"/>
                <w14:textFill>
                  <w14:solidFill>
                    <w14:schemeClr w14:val="tx1"/>
                  </w14:solidFill>
                </w14:textFill>
              </w:rPr>
              <w:t>生</w:t>
            </w:r>
            <w:r>
              <w:rPr>
                <w:color w:val="000000" w:themeColor="text1"/>
                <w14:textFill>
                  <w14:solidFill>
                    <w14:schemeClr w14:val="tx1"/>
                  </w14:solidFill>
                </w14:textFill>
              </w:rPr>
              <w:t>量以0.5kg/人，生活垃圾产生量为4.0kg/d</w:t>
            </w:r>
            <w:r>
              <w:rPr>
                <w:rFonts w:hint="eastAsia"/>
                <w:color w:val="000000" w:themeColor="text1"/>
                <w14:textFill>
                  <w14:solidFill>
                    <w14:schemeClr w14:val="tx1"/>
                  </w14:solidFill>
                </w14:textFill>
              </w:rPr>
              <w:t>（1.46t/a）</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顾客生活垃圾：加油站日均顾客50人/d，生活垃圾产生系数以0.1kg/人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d计，则产生的垃圾量为5kg/d</w:t>
            </w:r>
            <w:r>
              <w:rPr>
                <w:rFonts w:hint="eastAsia"/>
                <w:color w:val="000000" w:themeColor="text1"/>
                <w14:textFill>
                  <w14:solidFill>
                    <w14:schemeClr w14:val="tx1"/>
                  </w14:solidFill>
                </w14:textFill>
              </w:rPr>
              <w:t>（1.825t/a）</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则项目生活垃圾总产生量为9.0kg/d（</w:t>
            </w:r>
            <w:r>
              <w:rPr>
                <w:rFonts w:hint="eastAsia"/>
                <w:color w:val="000000" w:themeColor="text1"/>
                <w14:textFill>
                  <w14:solidFill>
                    <w14:schemeClr w14:val="tx1"/>
                  </w14:solidFill>
                </w14:textFill>
              </w:rPr>
              <w:t>3.285</w:t>
            </w:r>
            <w:r>
              <w:rPr>
                <w:color w:val="000000" w:themeColor="text1"/>
                <w14:textFill>
                  <w14:solidFill>
                    <w14:schemeClr w14:val="tx1"/>
                  </w14:solidFill>
                </w14:textFill>
              </w:rPr>
              <w:t>t/a）。</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（2）油罐</w:t>
            </w:r>
            <w:r>
              <w:rPr>
                <w:rFonts w:hint="eastAsia"/>
                <w:color w:val="000000" w:themeColor="text1"/>
                <w14:textFill>
                  <w14:solidFill>
                    <w14:schemeClr w14:val="tx1"/>
                  </w14:solidFill>
                </w14:textFill>
              </w:rPr>
              <w:t>油泥</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加油站</w:t>
            </w:r>
            <w:r>
              <w:rPr>
                <w:rFonts w:hint="eastAsia"/>
                <w:color w:val="000000" w:themeColor="text1"/>
                <w14:textFill>
                  <w14:solidFill>
                    <w14:schemeClr w14:val="tx1"/>
                  </w14:solidFill>
                </w14:textFill>
              </w:rPr>
              <w:t>油罐</w:t>
            </w:r>
            <w:r>
              <w:rPr>
                <w:color w:val="000000" w:themeColor="text1"/>
                <w14:textFill>
                  <w14:solidFill>
                    <w14:schemeClr w14:val="tx1"/>
                  </w14:solidFill>
                </w14:textFill>
              </w:rPr>
              <w:t>在装油时间较长</w:t>
            </w:r>
            <w:r>
              <w:rPr>
                <w:rFonts w:hint="eastAsia"/>
                <w:color w:val="000000" w:themeColor="text1"/>
                <w14:textFill>
                  <w14:solidFill>
                    <w14:schemeClr w14:val="tx1"/>
                  </w14:solidFill>
                </w14:textFill>
              </w:rPr>
              <w:t>后需定期对油罐内油泥进行清理</w:t>
            </w:r>
            <w:r>
              <w:rPr>
                <w:color w:val="000000" w:themeColor="text1"/>
                <w14:textFill>
                  <w14:solidFill>
                    <w14:schemeClr w14:val="tx1"/>
                  </w14:solidFill>
                </w14:textFill>
              </w:rPr>
              <w:t>。油罐区清洗油罐采用干洗法（干洗法程序：排除罐内存油；通风排除罐内油气；人员进罐清扫油污、水及其它沉淀物；用锯末干洗；清除锯末，用铜制工具除去局部锈蚀；用拖布彻底擦净）。加油站要委托有资质专业</w:t>
            </w:r>
            <w:r>
              <w:rPr>
                <w:rFonts w:hint="eastAsia"/>
                <w:color w:val="000000" w:themeColor="text1"/>
                <w14:textFill>
                  <w14:solidFill>
                    <w14:schemeClr w14:val="tx1"/>
                  </w14:solidFill>
                </w14:textFill>
              </w:rPr>
              <w:t>油罐</w:t>
            </w:r>
            <w:r>
              <w:rPr>
                <w:color w:val="000000" w:themeColor="text1"/>
                <w14:textFill>
                  <w14:solidFill>
                    <w14:schemeClr w14:val="tx1"/>
                  </w14:solidFill>
                </w14:textFill>
              </w:rPr>
              <w:t>清洗公司对</w:t>
            </w:r>
            <w:r>
              <w:rPr>
                <w:rFonts w:hint="eastAsia"/>
                <w:color w:val="000000" w:themeColor="text1"/>
                <w14:textFill>
                  <w14:solidFill>
                    <w14:schemeClr w14:val="tx1"/>
                  </w14:solidFill>
                </w14:textFill>
              </w:rPr>
              <w:t>油罐</w:t>
            </w:r>
            <w:r>
              <w:rPr>
                <w:color w:val="000000" w:themeColor="text1"/>
                <w14:textFill>
                  <w14:solidFill>
                    <w14:schemeClr w14:val="tx1"/>
                  </w14:solidFill>
                </w14:textFill>
              </w:rPr>
              <w:t>进行</w:t>
            </w:r>
            <w:r>
              <w:rPr>
                <w:rFonts w:hint="eastAsia"/>
                <w:color w:val="000000" w:themeColor="text1"/>
                <w14:textFill>
                  <w14:solidFill>
                    <w14:schemeClr w14:val="tx1"/>
                  </w14:solidFill>
                </w14:textFill>
              </w:rPr>
              <w:t>清理</w:t>
            </w:r>
            <w:r>
              <w:rPr>
                <w:color w:val="000000" w:themeColor="text1"/>
                <w14:textFill>
                  <w14:solidFill>
                    <w14:schemeClr w14:val="tx1"/>
                  </w14:solidFill>
                </w14:textFill>
              </w:rPr>
              <w:t>，</w:t>
            </w:r>
            <w:r>
              <w:rPr>
                <w:color w:val="000000" w:themeColor="text1"/>
                <w:u w:val="single"/>
                <w14:textFill>
                  <w14:solidFill>
                    <w14:schemeClr w14:val="tx1"/>
                  </w14:solidFill>
                </w14:textFill>
              </w:rPr>
              <w:t>储油罐3-5年</w:t>
            </w:r>
            <w:r>
              <w:rPr>
                <w:rFonts w:hint="eastAsia"/>
                <w:color w:val="000000" w:themeColor="text1"/>
                <w:u w:val="single"/>
                <w14:textFill>
                  <w14:solidFill>
                    <w14:schemeClr w14:val="tx1"/>
                  </w14:solidFill>
                </w14:textFill>
              </w:rPr>
              <w:t>清理</w:t>
            </w:r>
            <w:r>
              <w:rPr>
                <w:color w:val="000000" w:themeColor="text1"/>
                <w:u w:val="single"/>
                <w14:textFill>
                  <w14:solidFill>
                    <w14:schemeClr w14:val="tx1"/>
                  </w14:solidFill>
                </w14:textFill>
              </w:rPr>
              <w:t>1次，每</w:t>
            </w:r>
            <w:r>
              <w:rPr>
                <w:rFonts w:hint="eastAsia"/>
                <w:color w:val="000000" w:themeColor="text1"/>
                <w:u w:val="single"/>
                <w14:textFill>
                  <w14:solidFill>
                    <w14:schemeClr w14:val="tx1"/>
                  </w14:solidFill>
                </w14:textFill>
              </w:rPr>
              <w:t>个油罐每</w:t>
            </w:r>
            <w:r>
              <w:rPr>
                <w:color w:val="000000" w:themeColor="text1"/>
                <w:u w:val="single"/>
                <w14:textFill>
                  <w14:solidFill>
                    <w14:schemeClr w14:val="tx1"/>
                  </w14:solidFill>
                </w14:textFill>
              </w:rPr>
              <w:t>次</w:t>
            </w:r>
            <w:r>
              <w:rPr>
                <w:rFonts w:hint="eastAsia"/>
                <w:color w:val="000000" w:themeColor="text1"/>
                <w:u w:val="single"/>
                <w14:textFill>
                  <w14:solidFill>
                    <w14:schemeClr w14:val="tx1"/>
                  </w14:solidFill>
                </w14:textFill>
              </w:rPr>
              <w:t>清理油泥</w:t>
            </w:r>
            <w:r>
              <w:rPr>
                <w:color w:val="000000" w:themeColor="text1"/>
                <w:u w:val="single"/>
                <w14:textFill>
                  <w14:solidFill>
                    <w14:schemeClr w14:val="tx1"/>
                  </w14:solidFill>
                </w14:textFill>
              </w:rPr>
              <w:t>产生量约15kg，则4个储油罐产生油渣60kg/次。</w:t>
            </w:r>
            <w:r>
              <w:rPr>
                <w:color w:val="000000" w:themeColor="text1"/>
                <w14:textFill>
                  <w14:solidFill>
                    <w14:schemeClr w14:val="tx1"/>
                  </w14:solidFill>
                </w14:textFill>
              </w:rPr>
              <w:t>根据的《国家危险废物名录》（2016版），属于危险废物（</w:t>
            </w:r>
            <w:r>
              <w:rPr>
                <w:rFonts w:hint="eastAsia"/>
                <w:color w:val="000000" w:themeColor="text1"/>
                <w14:textFill>
                  <w14:solidFill>
                    <w14:schemeClr w14:val="tx1"/>
                  </w14:solidFill>
                </w14:textFill>
              </w:rPr>
              <w:t>危废类别HW08，危废代码</w:t>
            </w:r>
            <w:r>
              <w:rPr>
                <w:color w:val="000000" w:themeColor="text1"/>
                <w14:textFill>
                  <w14:solidFill>
                    <w14:schemeClr w14:val="tx1"/>
                  </w14:solidFill>
                </w14:textFill>
              </w:rPr>
              <w:t>900-221-08</w:t>
            </w:r>
            <w:r>
              <w:rPr>
                <w:rFonts w:hint="eastAsia"/>
                <w:color w:val="000000" w:themeColor="text1"/>
                <w14:textFill>
                  <w14:solidFill>
                    <w14:schemeClr w14:val="tx1"/>
                  </w14:solidFill>
                </w14:textFill>
              </w:rPr>
              <w:t>，废燃料油及燃料油储存过程中产生的油泥</w:t>
            </w:r>
            <w:r>
              <w:rPr>
                <w:color w:val="000000" w:themeColor="text1"/>
                <w14:textFill>
                  <w14:solidFill>
                    <w14:schemeClr w14:val="tx1"/>
                  </w14:solidFill>
                </w14:textFill>
              </w:rPr>
              <w:t>），由</w:t>
            </w:r>
            <w:r>
              <w:rPr>
                <w:rFonts w:hint="eastAsia"/>
                <w:color w:val="000000" w:themeColor="text1"/>
                <w14:textFill>
                  <w14:solidFill>
                    <w14:schemeClr w14:val="tx1"/>
                  </w14:solidFill>
                </w14:textFill>
              </w:rPr>
              <w:t>清罐公司带走处置</w:t>
            </w:r>
            <w:r>
              <w:rPr>
                <w:color w:val="000000" w:themeColor="text1"/>
                <w14:textFill>
                  <w14:solidFill>
                    <w14:schemeClr w14:val="tx1"/>
                  </w14:solidFill>
                </w14:textFill>
              </w:rPr>
              <w:t>，不在站内暂存。</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）隔油池</w:t>
            </w:r>
            <w:r>
              <w:rPr>
                <w:rFonts w:hint="eastAsia"/>
                <w:color w:val="000000" w:themeColor="text1"/>
                <w14:textFill>
                  <w14:solidFill>
                    <w14:schemeClr w14:val="tx1"/>
                  </w14:solidFill>
                </w14:textFill>
              </w:rPr>
              <w:t>污泥</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项目场地含油废水设隔油池除油，</w:t>
            </w:r>
            <w:r>
              <w:rPr>
                <w:color w:val="000000" w:themeColor="text1"/>
                <w:u w:val="single"/>
                <w14:textFill>
                  <w14:solidFill>
                    <w14:schemeClr w14:val="tx1"/>
                  </w14:solidFill>
                </w14:textFill>
              </w:rPr>
              <w:t>清理频次同储油罐清理频次</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隔油池</w:t>
            </w:r>
            <w:r>
              <w:rPr>
                <w:rFonts w:hint="eastAsia"/>
                <w:color w:val="000000" w:themeColor="text1"/>
                <w:u w:val="single"/>
                <w14:textFill>
                  <w14:solidFill>
                    <w14:schemeClr w14:val="tx1"/>
                  </w14:solidFill>
                </w14:textFill>
              </w:rPr>
              <w:t>污泥</w:t>
            </w:r>
            <w:r>
              <w:rPr>
                <w:color w:val="000000" w:themeColor="text1"/>
                <w:u w:val="single"/>
                <w14:textFill>
                  <w14:solidFill>
                    <w14:schemeClr w14:val="tx1"/>
                  </w14:solidFill>
                </w14:textFill>
              </w:rPr>
              <w:t>产生量约为</w:t>
            </w:r>
            <w:r>
              <w:rPr>
                <w:rFonts w:hint="eastAsia"/>
                <w:color w:val="000000" w:themeColor="text1"/>
                <w:u w:val="single"/>
                <w14:textFill>
                  <w14:solidFill>
                    <w14:schemeClr w14:val="tx1"/>
                  </w14:solidFill>
                </w14:textFill>
              </w:rPr>
              <w:t>50kg/次</w:t>
            </w:r>
            <w:r>
              <w:rPr>
                <w:color w:val="000000" w:themeColor="text1"/>
                <w:u w:val="single"/>
                <w14:textFill>
                  <w14:solidFill>
                    <w14:schemeClr w14:val="tx1"/>
                  </w14:solidFill>
                </w14:textFill>
              </w:rPr>
              <w:t>，</w:t>
            </w:r>
            <w:r>
              <w:rPr>
                <w:color w:val="000000" w:themeColor="text1"/>
                <w14:textFill>
                  <w14:solidFill>
                    <w14:schemeClr w14:val="tx1"/>
                  </w14:solidFill>
                </w14:textFill>
              </w:rPr>
              <w:t>根据《国家危险废物名录》（2016版），</w:t>
            </w:r>
            <w:r>
              <w:rPr>
                <w:rFonts w:hint="eastAsia"/>
                <w:color w:val="000000" w:themeColor="text1"/>
                <w14:textFill>
                  <w14:solidFill>
                    <w14:schemeClr w14:val="tx1"/>
                  </w14:solidFill>
                </w14:textFill>
              </w:rPr>
              <w:t>该部分固废</w:t>
            </w:r>
            <w:r>
              <w:rPr>
                <w:color w:val="000000" w:themeColor="text1"/>
                <w14:textFill>
                  <w14:solidFill>
                    <w14:schemeClr w14:val="tx1"/>
                  </w14:solidFill>
                </w14:textFill>
              </w:rPr>
              <w:t>属于危险废物（</w:t>
            </w:r>
            <w:r>
              <w:rPr>
                <w:rFonts w:hint="eastAsia"/>
                <w:color w:val="000000" w:themeColor="text1"/>
                <w14:textFill>
                  <w14:solidFill>
                    <w14:schemeClr w14:val="tx1"/>
                  </w14:solidFill>
                </w14:textFill>
              </w:rPr>
              <w:t>危废类别HW08，危废代码</w:t>
            </w:r>
            <w:r>
              <w:rPr>
                <w:color w:val="000000" w:themeColor="text1"/>
                <w14:textFill>
                  <w14:solidFill>
                    <w14:schemeClr w14:val="tx1"/>
                  </w14:solidFill>
                </w14:textFill>
              </w:rPr>
              <w:t>900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08</w:t>
            </w:r>
            <w:r>
              <w:rPr>
                <w:rFonts w:hint="eastAsia"/>
                <w:color w:val="000000" w:themeColor="text1"/>
                <w14:textFill>
                  <w14:solidFill>
                    <w14:schemeClr w14:val="tx1"/>
                  </w14:solidFill>
                </w14:textFill>
              </w:rPr>
              <w:t>，油/水分离设施产生的废油、油泥及废水处理产生的浮渣和污泥（不包括废水生化处理污泥）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清理产生的污泥交由清罐公司处理，不在站区内暂存</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项目营运期固体废物产生及处置情况详见下表：</w:t>
            </w:r>
          </w:p>
          <w:p>
            <w:pPr>
              <w:pStyle w:val="88"/>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表5-</w:t>
            </w:r>
            <w:r>
              <w:rPr>
                <w:rFonts w:hint="eastAsia"/>
                <w:snapToGrid w:val="0"/>
                <w:color w:val="000000" w:themeColor="text1"/>
                <w14:textFill>
                  <w14:solidFill>
                    <w14:schemeClr w14:val="tx1"/>
                  </w14:solidFill>
                </w14:textFill>
              </w:rPr>
              <w:t>4</w:t>
            </w:r>
            <w:r>
              <w:rPr>
                <w:snapToGrid w:val="0"/>
                <w:color w:val="000000" w:themeColor="text1"/>
                <w14:textFill>
                  <w14:solidFill>
                    <w14:schemeClr w14:val="tx1"/>
                  </w14:solidFill>
                </w14:textFill>
              </w:rPr>
              <w:t xml:space="preserve">  项目固废汇总一览表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628"/>
              <w:gridCol w:w="1134"/>
              <w:gridCol w:w="1628"/>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Align w:val="center"/>
                </w:tcPr>
                <w:p>
                  <w:pPr>
                    <w:pStyle w:val="79"/>
                    <w:rPr>
                      <w:color w:val="000000" w:themeColor="text1"/>
                      <w14:textFill>
                        <w14:solidFill>
                          <w14:schemeClr w14:val="tx1"/>
                        </w14:solidFill>
                      </w14:textFill>
                    </w:rPr>
                  </w:pPr>
                  <w:bookmarkStart w:id="27" w:name="_Hlk523389572"/>
                  <w:r>
                    <w:rPr>
                      <w:color w:val="000000" w:themeColor="text1"/>
                      <w14:textFill>
                        <w14:solidFill>
                          <w14:schemeClr w14:val="tx1"/>
                        </w14:solidFill>
                      </w14:textFill>
                    </w:rPr>
                    <w:t>名称</w:t>
                  </w:r>
                </w:p>
              </w:tc>
              <w:tc>
                <w:tcPr>
                  <w:tcW w:w="162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来源</w:t>
                  </w:r>
                </w:p>
              </w:tc>
              <w:tc>
                <w:tcPr>
                  <w:tcW w:w="113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产生量</w:t>
                  </w:r>
                </w:p>
              </w:tc>
              <w:tc>
                <w:tcPr>
                  <w:tcW w:w="162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种类</w:t>
                  </w:r>
                </w:p>
              </w:tc>
              <w:tc>
                <w:tcPr>
                  <w:tcW w:w="334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生活垃圾</w:t>
                  </w:r>
                </w:p>
              </w:tc>
              <w:tc>
                <w:tcPr>
                  <w:tcW w:w="162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职工</w:t>
                  </w:r>
                  <w:r>
                    <w:rPr>
                      <w:rFonts w:hint="eastAsia"/>
                      <w:color w:val="000000" w:themeColor="text1"/>
                      <w14:textFill>
                        <w14:solidFill>
                          <w14:schemeClr w14:val="tx1"/>
                        </w14:solidFill>
                      </w14:textFill>
                    </w:rPr>
                    <w:t>、顾客</w:t>
                  </w:r>
                  <w:r>
                    <w:rPr>
                      <w:color w:val="000000" w:themeColor="text1"/>
                      <w14:textFill>
                        <w14:solidFill>
                          <w14:schemeClr w14:val="tx1"/>
                        </w14:solidFill>
                      </w14:textFill>
                    </w:rPr>
                    <w:t>生活</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3.285t</w:t>
                  </w:r>
                  <w:r>
                    <w:rPr>
                      <w:color w:val="000000" w:themeColor="text1"/>
                      <w14:textFill>
                        <w14:solidFill>
                          <w14:schemeClr w14:val="tx1"/>
                        </w14:solidFill>
                      </w14:textFill>
                    </w:rPr>
                    <w:t>/a</w:t>
                  </w:r>
                </w:p>
              </w:tc>
              <w:tc>
                <w:tcPr>
                  <w:tcW w:w="162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一般固废</w:t>
                  </w:r>
                </w:p>
              </w:tc>
              <w:tc>
                <w:tcPr>
                  <w:tcW w:w="334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站区内设生活垃圾收集桶，收集后交由城市环卫部门清运处理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清罐油泥</w:t>
                  </w:r>
                </w:p>
              </w:tc>
              <w:tc>
                <w:tcPr>
                  <w:tcW w:w="162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油罐清理</w:t>
                  </w:r>
                </w:p>
              </w:tc>
              <w:tc>
                <w:tcPr>
                  <w:tcW w:w="113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60kg/次</w:t>
                  </w:r>
                </w:p>
              </w:tc>
              <w:tc>
                <w:tcPr>
                  <w:tcW w:w="162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危险废物</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900-221-08</w:t>
                  </w:r>
                  <w:r>
                    <w:rPr>
                      <w:rFonts w:hint="eastAsia"/>
                      <w:color w:val="000000" w:themeColor="text1"/>
                      <w14:textFill>
                        <w14:solidFill>
                          <w14:schemeClr w14:val="tx1"/>
                        </w14:solidFill>
                      </w14:textFill>
                    </w:rPr>
                    <w:t>）</w:t>
                  </w:r>
                </w:p>
              </w:tc>
              <w:tc>
                <w:tcPr>
                  <w:tcW w:w="3341"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由清罐公司带走交由有资质单位处理，不在厂区内暂存，站区内不设危险废物暂存间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隔油</w:t>
                  </w:r>
                  <w:r>
                    <w:rPr>
                      <w:rFonts w:hint="eastAsia"/>
                      <w:color w:val="000000" w:themeColor="text1"/>
                      <w14:textFill>
                        <w14:solidFill>
                          <w14:schemeClr w14:val="tx1"/>
                        </w14:solidFill>
                      </w14:textFill>
                    </w:rPr>
                    <w:t>池污泥</w:t>
                  </w:r>
                </w:p>
              </w:tc>
              <w:tc>
                <w:tcPr>
                  <w:tcW w:w="162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地面冲洗废水处理</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50kg/次</w:t>
                  </w:r>
                </w:p>
              </w:tc>
              <w:tc>
                <w:tcPr>
                  <w:tcW w:w="162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危险废物</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900-210-08</w:t>
                  </w:r>
                  <w:r>
                    <w:rPr>
                      <w:rFonts w:hint="eastAsia"/>
                      <w:color w:val="000000" w:themeColor="text1"/>
                      <w14:textFill>
                        <w14:solidFill>
                          <w14:schemeClr w14:val="tx1"/>
                        </w14:solidFill>
                      </w14:textFill>
                    </w:rPr>
                    <w:t>）</w:t>
                  </w:r>
                </w:p>
              </w:tc>
              <w:tc>
                <w:tcPr>
                  <w:tcW w:w="3341" w:type="dxa"/>
                  <w:vMerge w:val="continue"/>
                  <w:vAlign w:val="center"/>
                </w:tcPr>
                <w:p>
                  <w:pPr>
                    <w:pStyle w:val="79"/>
                    <w:rPr>
                      <w:color w:val="000000" w:themeColor="text1"/>
                      <w14:textFill>
                        <w14:solidFill>
                          <w14:schemeClr w14:val="tx1"/>
                        </w14:solidFill>
                      </w14:textFill>
                    </w:rPr>
                  </w:pPr>
                </w:p>
              </w:tc>
            </w:tr>
            <w:bookmarkEnd w:id="27"/>
          </w:tbl>
          <w:p>
            <w:pPr>
              <w:pStyle w:val="54"/>
              <w:spacing w:before="156" w:beforeLines="50"/>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污染物排放“三本账”分析</w:t>
            </w:r>
          </w:p>
          <w:p>
            <w:pPr>
              <w:pStyle w:val="88"/>
              <w:rPr>
                <w:color w:val="000000" w:themeColor="text1"/>
                <w:u w:val="single"/>
                <w14:textFill>
                  <w14:solidFill>
                    <w14:schemeClr w14:val="tx1"/>
                  </w14:solidFill>
                </w14:textFill>
              </w:rPr>
            </w:pPr>
            <w:r>
              <w:rPr>
                <w:color w:val="000000" w:themeColor="text1"/>
                <w14:textFill>
                  <w14:solidFill>
                    <w14:schemeClr w14:val="tx1"/>
                  </w14:solidFill>
                </w14:textFill>
              </w:rPr>
              <w:t>表5-</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“三本账”统计表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838"/>
              <w:gridCol w:w="1424"/>
              <w:gridCol w:w="1287"/>
              <w:gridCol w:w="1291"/>
              <w:gridCol w:w="117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24" w:type="pct"/>
                  <w:gridSpan w:val="3"/>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污染物名称</w:t>
                  </w:r>
                </w:p>
              </w:tc>
              <w:tc>
                <w:tcPr>
                  <w:tcW w:w="2776" w:type="pct"/>
                  <w:gridSpan w:val="4"/>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污染物排放量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24" w:type="pct"/>
                  <w:gridSpan w:val="3"/>
                  <w:vMerge w:val="continue"/>
                  <w:vAlign w:val="center"/>
                </w:tcPr>
                <w:p>
                  <w:pPr>
                    <w:pStyle w:val="79"/>
                    <w:rPr>
                      <w:color w:val="000000" w:themeColor="text1"/>
                      <w14:textFill>
                        <w14:solidFill>
                          <w14:schemeClr w14:val="tx1"/>
                        </w14:solidFill>
                      </w14:textFill>
                    </w:rPr>
                  </w:pPr>
                </w:p>
              </w:tc>
              <w:tc>
                <w:tcPr>
                  <w:tcW w:w="70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改</w:t>
                  </w:r>
                  <w:r>
                    <w:rPr>
                      <w:color w:val="000000" w:themeColor="text1"/>
                      <w14:textFill>
                        <w14:solidFill>
                          <w14:schemeClr w14:val="tx1"/>
                        </w14:solidFill>
                      </w14:textFill>
                    </w:rPr>
                    <w:t>建前</w:t>
                  </w:r>
                </w:p>
              </w:tc>
              <w:tc>
                <w:tcPr>
                  <w:tcW w:w="70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本</w:t>
                  </w:r>
                  <w:r>
                    <w:rPr>
                      <w:rFonts w:hint="eastAsia"/>
                      <w:color w:val="000000" w:themeColor="text1"/>
                      <w14:textFill>
                        <w14:solidFill>
                          <w14:schemeClr w14:val="tx1"/>
                        </w14:solidFill>
                      </w14:textFill>
                    </w:rPr>
                    <w:t>改</w:t>
                  </w:r>
                  <w:r>
                    <w:rPr>
                      <w:color w:val="000000" w:themeColor="text1"/>
                      <w14:textFill>
                        <w14:solidFill>
                          <w14:schemeClr w14:val="tx1"/>
                        </w14:solidFill>
                      </w14:textFill>
                    </w:rPr>
                    <w:t>建项目</w:t>
                  </w:r>
                </w:p>
              </w:tc>
              <w:tc>
                <w:tcPr>
                  <w:tcW w:w="642"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改</w:t>
                  </w:r>
                  <w:r>
                    <w:rPr>
                      <w:color w:val="000000" w:themeColor="text1"/>
                      <w14:textFill>
                        <w14:solidFill>
                          <w14:schemeClr w14:val="tx1"/>
                        </w14:solidFill>
                      </w14:textFill>
                    </w:rPr>
                    <w:t>建后</w:t>
                  </w:r>
                </w:p>
              </w:tc>
              <w:tc>
                <w:tcPr>
                  <w:tcW w:w="73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排放增减量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废气污染物</w:t>
                  </w:r>
                </w:p>
              </w:tc>
              <w:tc>
                <w:tcPr>
                  <w:tcW w:w="1001"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营运期</w:t>
                  </w:r>
                </w:p>
              </w:tc>
              <w:tc>
                <w:tcPr>
                  <w:tcW w:w="77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非甲烷总烃</w:t>
                  </w:r>
                </w:p>
              </w:tc>
              <w:tc>
                <w:tcPr>
                  <w:tcW w:w="701"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2.021t/a</w:t>
                  </w:r>
                </w:p>
              </w:tc>
              <w:tc>
                <w:tcPr>
                  <w:tcW w:w="703" w:type="pct"/>
                  <w:vAlign w:val="center"/>
                </w:tcPr>
                <w:p>
                  <w:pPr>
                    <w:pStyle w:val="79"/>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2.005t/a</w:t>
                  </w:r>
                </w:p>
              </w:tc>
              <w:tc>
                <w:tcPr>
                  <w:tcW w:w="642" w:type="pct"/>
                  <w:vAlign w:val="center"/>
                </w:tcPr>
                <w:p>
                  <w:pPr>
                    <w:pStyle w:val="79"/>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2.005t/a</w:t>
                  </w:r>
                </w:p>
              </w:tc>
              <w:tc>
                <w:tcPr>
                  <w:tcW w:w="730"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-0.016t/a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47"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废水</w:t>
                  </w:r>
                </w:p>
              </w:tc>
              <w:tc>
                <w:tcPr>
                  <w:tcW w:w="1001"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生活污水</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（废水总排口，达（GB8978-1996）三级标准）</w:t>
                  </w:r>
                </w:p>
              </w:tc>
              <w:tc>
                <w:tcPr>
                  <w:tcW w:w="77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废水量</w:t>
                  </w:r>
                </w:p>
              </w:tc>
              <w:tc>
                <w:tcPr>
                  <w:tcW w:w="70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148.92</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p>
              </w:tc>
              <w:tc>
                <w:tcPr>
                  <w:tcW w:w="70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148.92</w:t>
                  </w:r>
                  <w:r>
                    <w:rPr>
                      <w:color w:val="000000" w:themeColor="text1"/>
                      <w14:textFill>
                        <w14:solidFill>
                          <w14:schemeClr w14:val="tx1"/>
                        </w14:solidFill>
                      </w14:textFill>
                    </w:rPr>
                    <w:t xml:space="preserve"> 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p>
              </w:tc>
              <w:tc>
                <w:tcPr>
                  <w:tcW w:w="642"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148.92</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p>
              </w:tc>
              <w:tc>
                <w:tcPr>
                  <w:tcW w:w="73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vMerge w:val="continue"/>
                  <w:vAlign w:val="center"/>
                </w:tcPr>
                <w:p>
                  <w:pPr>
                    <w:pStyle w:val="79"/>
                    <w:rPr>
                      <w:color w:val="000000" w:themeColor="text1"/>
                      <w14:textFill>
                        <w14:solidFill>
                          <w14:schemeClr w14:val="tx1"/>
                        </w14:solidFill>
                      </w14:textFill>
                    </w:rPr>
                  </w:pPr>
                </w:p>
              </w:tc>
              <w:tc>
                <w:tcPr>
                  <w:tcW w:w="1001" w:type="pct"/>
                  <w:vMerge w:val="continue"/>
                  <w:vAlign w:val="center"/>
                </w:tcPr>
                <w:p>
                  <w:pPr>
                    <w:pStyle w:val="79"/>
                    <w:rPr>
                      <w:color w:val="000000" w:themeColor="text1"/>
                      <w14:textFill>
                        <w14:solidFill>
                          <w14:schemeClr w14:val="tx1"/>
                        </w14:solidFill>
                      </w14:textFill>
                    </w:rPr>
                  </w:pPr>
                </w:p>
              </w:tc>
              <w:tc>
                <w:tcPr>
                  <w:tcW w:w="77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COD</w:t>
                  </w:r>
                </w:p>
              </w:tc>
              <w:tc>
                <w:tcPr>
                  <w:tcW w:w="701"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0.0372</w:t>
                  </w:r>
                  <w:r>
                    <w:rPr>
                      <w:rFonts w:hint="eastAsia"/>
                      <w:color w:val="000000" w:themeColor="text1"/>
                      <w14:textFill>
                        <w14:solidFill>
                          <w14:schemeClr w14:val="tx1"/>
                        </w14:solidFill>
                      </w14:textFill>
                    </w:rPr>
                    <w:t>t/a</w:t>
                  </w:r>
                </w:p>
              </w:tc>
              <w:tc>
                <w:tcPr>
                  <w:tcW w:w="70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0.0372</w:t>
                  </w:r>
                  <w:r>
                    <w:rPr>
                      <w:rFonts w:hint="eastAsia"/>
                      <w:color w:val="000000" w:themeColor="text1"/>
                      <w14:textFill>
                        <w14:solidFill>
                          <w14:schemeClr w14:val="tx1"/>
                        </w14:solidFill>
                      </w14:textFill>
                    </w:rPr>
                    <w:t>t/a</w:t>
                  </w:r>
                </w:p>
              </w:tc>
              <w:tc>
                <w:tcPr>
                  <w:tcW w:w="642"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0.0372</w:t>
                  </w:r>
                  <w:r>
                    <w:rPr>
                      <w:rFonts w:hint="eastAsia"/>
                      <w:color w:val="000000" w:themeColor="text1"/>
                      <w14:textFill>
                        <w14:solidFill>
                          <w14:schemeClr w14:val="tx1"/>
                        </w14:solidFill>
                      </w14:textFill>
                    </w:rPr>
                    <w:t>t/a</w:t>
                  </w:r>
                </w:p>
              </w:tc>
              <w:tc>
                <w:tcPr>
                  <w:tcW w:w="73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vMerge w:val="continue"/>
                  <w:vAlign w:val="center"/>
                </w:tcPr>
                <w:p>
                  <w:pPr>
                    <w:pStyle w:val="79"/>
                    <w:rPr>
                      <w:color w:val="000000" w:themeColor="text1"/>
                      <w14:textFill>
                        <w14:solidFill>
                          <w14:schemeClr w14:val="tx1"/>
                        </w14:solidFill>
                      </w14:textFill>
                    </w:rPr>
                  </w:pPr>
                </w:p>
              </w:tc>
              <w:tc>
                <w:tcPr>
                  <w:tcW w:w="1001" w:type="pct"/>
                  <w:vMerge w:val="continue"/>
                  <w:vAlign w:val="center"/>
                </w:tcPr>
                <w:p>
                  <w:pPr>
                    <w:pStyle w:val="79"/>
                    <w:rPr>
                      <w:color w:val="000000" w:themeColor="text1"/>
                      <w14:textFill>
                        <w14:solidFill>
                          <w14:schemeClr w14:val="tx1"/>
                        </w14:solidFill>
                      </w14:textFill>
                    </w:rPr>
                  </w:pPr>
                </w:p>
              </w:tc>
              <w:tc>
                <w:tcPr>
                  <w:tcW w:w="77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p>
              </w:tc>
              <w:tc>
                <w:tcPr>
                  <w:tcW w:w="701"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0.02</w:t>
                  </w:r>
                  <w:r>
                    <w:rPr>
                      <w:rFonts w:hint="eastAsia"/>
                      <w:color w:val="000000" w:themeColor="text1"/>
                      <w14:textFill>
                        <w14:solidFill>
                          <w14:schemeClr w14:val="tx1"/>
                        </w14:solidFill>
                      </w14:textFill>
                    </w:rPr>
                    <w:t>77t/a</w:t>
                  </w:r>
                </w:p>
              </w:tc>
              <w:tc>
                <w:tcPr>
                  <w:tcW w:w="70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0.02</w:t>
                  </w:r>
                  <w:r>
                    <w:rPr>
                      <w:rFonts w:hint="eastAsia"/>
                      <w:color w:val="000000" w:themeColor="text1"/>
                      <w14:textFill>
                        <w14:solidFill>
                          <w14:schemeClr w14:val="tx1"/>
                        </w14:solidFill>
                      </w14:textFill>
                    </w:rPr>
                    <w:t>77t/a</w:t>
                  </w:r>
                </w:p>
              </w:tc>
              <w:tc>
                <w:tcPr>
                  <w:tcW w:w="642"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0.02</w:t>
                  </w:r>
                  <w:r>
                    <w:rPr>
                      <w:rFonts w:hint="eastAsia"/>
                      <w:color w:val="000000" w:themeColor="text1"/>
                      <w14:textFill>
                        <w14:solidFill>
                          <w14:schemeClr w14:val="tx1"/>
                        </w14:solidFill>
                      </w14:textFill>
                    </w:rPr>
                    <w:t>77t/a</w:t>
                  </w:r>
                </w:p>
              </w:tc>
              <w:tc>
                <w:tcPr>
                  <w:tcW w:w="73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vMerge w:val="continue"/>
                  <w:vAlign w:val="center"/>
                </w:tcPr>
                <w:p>
                  <w:pPr>
                    <w:pStyle w:val="79"/>
                    <w:rPr>
                      <w:color w:val="000000" w:themeColor="text1"/>
                      <w14:textFill>
                        <w14:solidFill>
                          <w14:schemeClr w14:val="tx1"/>
                        </w14:solidFill>
                      </w14:textFill>
                    </w:rPr>
                  </w:pPr>
                </w:p>
              </w:tc>
              <w:tc>
                <w:tcPr>
                  <w:tcW w:w="1001" w:type="pct"/>
                  <w:vMerge w:val="continue"/>
                  <w:vAlign w:val="center"/>
                </w:tcPr>
                <w:p>
                  <w:pPr>
                    <w:pStyle w:val="79"/>
                    <w:rPr>
                      <w:color w:val="000000" w:themeColor="text1"/>
                      <w14:textFill>
                        <w14:solidFill>
                          <w14:schemeClr w14:val="tx1"/>
                        </w14:solidFill>
                      </w14:textFill>
                    </w:rPr>
                  </w:pPr>
                </w:p>
              </w:tc>
              <w:tc>
                <w:tcPr>
                  <w:tcW w:w="77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701"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0.0042</w:t>
                  </w:r>
                  <w:r>
                    <w:rPr>
                      <w:rFonts w:hint="eastAsia"/>
                      <w:color w:val="000000" w:themeColor="text1"/>
                      <w14:textFill>
                        <w14:solidFill>
                          <w14:schemeClr w14:val="tx1"/>
                        </w14:solidFill>
                      </w14:textFill>
                    </w:rPr>
                    <w:t>t/a</w:t>
                  </w:r>
                </w:p>
              </w:tc>
              <w:tc>
                <w:tcPr>
                  <w:tcW w:w="70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0.0042</w:t>
                  </w:r>
                  <w:r>
                    <w:rPr>
                      <w:rFonts w:hint="eastAsia"/>
                      <w:color w:val="000000" w:themeColor="text1"/>
                      <w14:textFill>
                        <w14:solidFill>
                          <w14:schemeClr w14:val="tx1"/>
                        </w14:solidFill>
                      </w14:textFill>
                    </w:rPr>
                    <w:t>t/a</w:t>
                  </w:r>
                </w:p>
              </w:tc>
              <w:tc>
                <w:tcPr>
                  <w:tcW w:w="642"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0.0042</w:t>
                  </w:r>
                  <w:r>
                    <w:rPr>
                      <w:rFonts w:hint="eastAsia"/>
                      <w:color w:val="000000" w:themeColor="text1"/>
                      <w14:textFill>
                        <w14:solidFill>
                          <w14:schemeClr w14:val="tx1"/>
                        </w14:solidFill>
                      </w14:textFill>
                    </w:rPr>
                    <w:t>t/a</w:t>
                  </w:r>
                </w:p>
              </w:tc>
              <w:tc>
                <w:tcPr>
                  <w:tcW w:w="73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vMerge w:val="continue"/>
                  <w:vAlign w:val="center"/>
                </w:tcPr>
                <w:p>
                  <w:pPr>
                    <w:pStyle w:val="79"/>
                    <w:rPr>
                      <w:color w:val="000000" w:themeColor="text1"/>
                      <w14:textFill>
                        <w14:solidFill>
                          <w14:schemeClr w14:val="tx1"/>
                        </w14:solidFill>
                      </w14:textFill>
                    </w:rPr>
                  </w:pPr>
                </w:p>
              </w:tc>
              <w:tc>
                <w:tcPr>
                  <w:tcW w:w="1001" w:type="pct"/>
                  <w:vMerge w:val="continue"/>
                  <w:vAlign w:val="center"/>
                </w:tcPr>
                <w:p>
                  <w:pPr>
                    <w:pStyle w:val="79"/>
                    <w:rPr>
                      <w:color w:val="000000" w:themeColor="text1"/>
                      <w14:textFill>
                        <w14:solidFill>
                          <w14:schemeClr w14:val="tx1"/>
                        </w14:solidFill>
                      </w14:textFill>
                    </w:rPr>
                  </w:pPr>
                </w:p>
              </w:tc>
              <w:tc>
                <w:tcPr>
                  <w:tcW w:w="77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SS</w:t>
                  </w:r>
                </w:p>
              </w:tc>
              <w:tc>
                <w:tcPr>
                  <w:tcW w:w="701"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0.02</w:t>
                  </w:r>
                  <w:r>
                    <w:rPr>
                      <w:rFonts w:hint="eastAsia"/>
                      <w:color w:val="000000" w:themeColor="text1"/>
                      <w14:textFill>
                        <w14:solidFill>
                          <w14:schemeClr w14:val="tx1"/>
                        </w14:solidFill>
                      </w14:textFill>
                    </w:rPr>
                    <w:t>7t/a</w:t>
                  </w:r>
                </w:p>
              </w:tc>
              <w:tc>
                <w:tcPr>
                  <w:tcW w:w="70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0.02</w:t>
                  </w:r>
                  <w:r>
                    <w:rPr>
                      <w:rFonts w:hint="eastAsia"/>
                      <w:color w:val="000000" w:themeColor="text1"/>
                      <w14:textFill>
                        <w14:solidFill>
                          <w14:schemeClr w14:val="tx1"/>
                        </w14:solidFill>
                      </w14:textFill>
                    </w:rPr>
                    <w:t>7t/a</w:t>
                  </w:r>
                </w:p>
              </w:tc>
              <w:tc>
                <w:tcPr>
                  <w:tcW w:w="642"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0.02</w:t>
                  </w:r>
                  <w:r>
                    <w:rPr>
                      <w:rFonts w:hint="eastAsia"/>
                      <w:color w:val="000000" w:themeColor="text1"/>
                      <w14:textFill>
                        <w14:solidFill>
                          <w14:schemeClr w14:val="tx1"/>
                        </w14:solidFill>
                      </w14:textFill>
                    </w:rPr>
                    <w:t>7t/a</w:t>
                  </w:r>
                </w:p>
              </w:tc>
              <w:tc>
                <w:tcPr>
                  <w:tcW w:w="73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vMerge w:val="continue"/>
                  <w:vAlign w:val="center"/>
                </w:tcPr>
                <w:p>
                  <w:pPr>
                    <w:pStyle w:val="79"/>
                    <w:rPr>
                      <w:color w:val="000000" w:themeColor="text1"/>
                      <w14:textFill>
                        <w14:solidFill>
                          <w14:schemeClr w14:val="tx1"/>
                        </w14:solidFill>
                      </w14:textFill>
                    </w:rPr>
                  </w:pPr>
                </w:p>
              </w:tc>
              <w:tc>
                <w:tcPr>
                  <w:tcW w:w="1001"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地面冲洗</w:t>
                  </w:r>
                  <w:r>
                    <w:rPr>
                      <w:color w:val="000000" w:themeColor="text1"/>
                      <w14:textFill>
                        <w14:solidFill>
                          <w14:schemeClr w14:val="tx1"/>
                        </w14:solidFill>
                      </w14:textFill>
                    </w:rPr>
                    <w:t>废水</w:t>
                  </w:r>
                  <w:r>
                    <w:rPr>
                      <w:rFonts w:hint="eastAsia"/>
                      <w:color w:val="000000" w:themeColor="text1"/>
                      <w14:textFill>
                        <w14:solidFill>
                          <w14:schemeClr w14:val="tx1"/>
                        </w14:solidFill>
                      </w14:textFill>
                    </w:rPr>
                    <w:t>（废水总排口，达（GB8978-1996）三级标准）</w:t>
                  </w:r>
                </w:p>
              </w:tc>
              <w:tc>
                <w:tcPr>
                  <w:tcW w:w="77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水量</w:t>
                  </w:r>
                </w:p>
              </w:tc>
              <w:tc>
                <w:tcPr>
                  <w:tcW w:w="701" w:type="pct"/>
                  <w:vAlign w:val="center"/>
                </w:tcPr>
                <w:p>
                  <w:pPr>
                    <w:pStyle w:val="79"/>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47.52</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p>
              </w:tc>
              <w:tc>
                <w:tcPr>
                  <w:tcW w:w="703" w:type="pct"/>
                  <w:vAlign w:val="center"/>
                </w:tcPr>
                <w:p>
                  <w:pPr>
                    <w:pStyle w:val="79"/>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47.52</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p>
              </w:tc>
              <w:tc>
                <w:tcPr>
                  <w:tcW w:w="642" w:type="pct"/>
                  <w:vAlign w:val="center"/>
                </w:tcPr>
                <w:p>
                  <w:pPr>
                    <w:pStyle w:val="79"/>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47.52</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p>
              </w:tc>
              <w:tc>
                <w:tcPr>
                  <w:tcW w:w="73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vMerge w:val="continue"/>
                  <w:vAlign w:val="center"/>
                </w:tcPr>
                <w:p>
                  <w:pPr>
                    <w:pStyle w:val="79"/>
                    <w:rPr>
                      <w:color w:val="000000" w:themeColor="text1"/>
                      <w14:textFill>
                        <w14:solidFill>
                          <w14:schemeClr w14:val="tx1"/>
                        </w14:solidFill>
                      </w14:textFill>
                    </w:rPr>
                  </w:pPr>
                </w:p>
              </w:tc>
              <w:tc>
                <w:tcPr>
                  <w:tcW w:w="1001" w:type="pct"/>
                  <w:vMerge w:val="continue"/>
                  <w:vAlign w:val="center"/>
                </w:tcPr>
                <w:p>
                  <w:pPr>
                    <w:pStyle w:val="79"/>
                    <w:rPr>
                      <w:color w:val="000000" w:themeColor="text1"/>
                      <w14:textFill>
                        <w14:solidFill>
                          <w14:schemeClr w14:val="tx1"/>
                        </w14:solidFill>
                      </w14:textFill>
                    </w:rPr>
                  </w:pPr>
                </w:p>
              </w:tc>
              <w:tc>
                <w:tcPr>
                  <w:tcW w:w="77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石类油</w:t>
                  </w:r>
                </w:p>
              </w:tc>
              <w:tc>
                <w:tcPr>
                  <w:tcW w:w="701"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0.0076</w:t>
                  </w:r>
                  <w:r>
                    <w:rPr>
                      <w:rFonts w:hint="eastAsia"/>
                      <w:color w:val="000000" w:themeColor="text1"/>
                      <w14:textFill>
                        <w14:solidFill>
                          <w14:schemeClr w14:val="tx1"/>
                        </w14:solidFill>
                      </w14:textFill>
                    </w:rPr>
                    <w:t>t/a</w:t>
                  </w:r>
                </w:p>
              </w:tc>
              <w:tc>
                <w:tcPr>
                  <w:tcW w:w="70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0.0076</w:t>
                  </w:r>
                  <w:r>
                    <w:rPr>
                      <w:rFonts w:hint="eastAsia"/>
                      <w:color w:val="000000" w:themeColor="text1"/>
                      <w14:textFill>
                        <w14:solidFill>
                          <w14:schemeClr w14:val="tx1"/>
                        </w14:solidFill>
                      </w14:textFill>
                    </w:rPr>
                    <w:t>t/a</w:t>
                  </w:r>
                </w:p>
              </w:tc>
              <w:tc>
                <w:tcPr>
                  <w:tcW w:w="642"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0.0076</w:t>
                  </w:r>
                  <w:r>
                    <w:rPr>
                      <w:rFonts w:hint="eastAsia"/>
                      <w:color w:val="000000" w:themeColor="text1"/>
                      <w14:textFill>
                        <w14:solidFill>
                          <w14:schemeClr w14:val="tx1"/>
                        </w14:solidFill>
                      </w14:textFill>
                    </w:rPr>
                    <w:t>t/a</w:t>
                  </w:r>
                </w:p>
              </w:tc>
              <w:tc>
                <w:tcPr>
                  <w:tcW w:w="73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vMerge w:val="continue"/>
                  <w:vAlign w:val="center"/>
                </w:tcPr>
                <w:p>
                  <w:pPr>
                    <w:pStyle w:val="79"/>
                    <w:rPr>
                      <w:color w:val="000000" w:themeColor="text1"/>
                      <w14:textFill>
                        <w14:solidFill>
                          <w14:schemeClr w14:val="tx1"/>
                        </w14:solidFill>
                      </w14:textFill>
                    </w:rPr>
                  </w:pPr>
                </w:p>
              </w:tc>
              <w:tc>
                <w:tcPr>
                  <w:tcW w:w="1001" w:type="pct"/>
                  <w:vMerge w:val="continue"/>
                  <w:vAlign w:val="center"/>
                </w:tcPr>
                <w:p>
                  <w:pPr>
                    <w:pStyle w:val="79"/>
                    <w:rPr>
                      <w:color w:val="000000" w:themeColor="text1"/>
                      <w14:textFill>
                        <w14:solidFill>
                          <w14:schemeClr w14:val="tx1"/>
                        </w14:solidFill>
                      </w14:textFill>
                    </w:rPr>
                  </w:pPr>
                </w:p>
              </w:tc>
              <w:tc>
                <w:tcPr>
                  <w:tcW w:w="77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SS</w:t>
                  </w:r>
                </w:p>
              </w:tc>
              <w:tc>
                <w:tcPr>
                  <w:tcW w:w="701"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0.0007</w:t>
                  </w:r>
                  <w:r>
                    <w:rPr>
                      <w:rFonts w:hint="eastAsia"/>
                      <w:color w:val="000000" w:themeColor="text1"/>
                      <w14:textFill>
                        <w14:solidFill>
                          <w14:schemeClr w14:val="tx1"/>
                        </w14:solidFill>
                      </w14:textFill>
                    </w:rPr>
                    <w:t>t/a</w:t>
                  </w:r>
                </w:p>
              </w:tc>
              <w:tc>
                <w:tcPr>
                  <w:tcW w:w="70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0.0007</w:t>
                  </w:r>
                  <w:r>
                    <w:rPr>
                      <w:rFonts w:hint="eastAsia"/>
                      <w:color w:val="000000" w:themeColor="text1"/>
                      <w14:textFill>
                        <w14:solidFill>
                          <w14:schemeClr w14:val="tx1"/>
                        </w14:solidFill>
                      </w14:textFill>
                    </w:rPr>
                    <w:t>t/a</w:t>
                  </w:r>
                </w:p>
              </w:tc>
              <w:tc>
                <w:tcPr>
                  <w:tcW w:w="642"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0.0007</w:t>
                  </w:r>
                  <w:r>
                    <w:rPr>
                      <w:rFonts w:hint="eastAsia"/>
                      <w:color w:val="000000" w:themeColor="text1"/>
                      <w14:textFill>
                        <w14:solidFill>
                          <w14:schemeClr w14:val="tx1"/>
                        </w14:solidFill>
                      </w14:textFill>
                    </w:rPr>
                    <w:t>t/a</w:t>
                  </w:r>
                </w:p>
              </w:tc>
              <w:tc>
                <w:tcPr>
                  <w:tcW w:w="73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固体废物产生量</w:t>
                  </w:r>
                </w:p>
              </w:tc>
              <w:tc>
                <w:tcPr>
                  <w:tcW w:w="1777"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生活垃圾</w:t>
                  </w:r>
                </w:p>
              </w:tc>
              <w:tc>
                <w:tcPr>
                  <w:tcW w:w="70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3.285</w:t>
                  </w:r>
                  <w:r>
                    <w:rPr>
                      <w:color w:val="000000" w:themeColor="text1"/>
                      <w14:textFill>
                        <w14:solidFill>
                          <w14:schemeClr w14:val="tx1"/>
                        </w14:solidFill>
                      </w14:textFill>
                    </w:rPr>
                    <w:t>t/a</w:t>
                  </w:r>
                </w:p>
              </w:tc>
              <w:tc>
                <w:tcPr>
                  <w:tcW w:w="70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3.285</w:t>
                  </w:r>
                  <w:r>
                    <w:rPr>
                      <w:color w:val="000000" w:themeColor="text1"/>
                      <w14:textFill>
                        <w14:solidFill>
                          <w14:schemeClr w14:val="tx1"/>
                        </w14:solidFill>
                      </w14:textFill>
                    </w:rPr>
                    <w:t>t/a</w:t>
                  </w:r>
                </w:p>
              </w:tc>
              <w:tc>
                <w:tcPr>
                  <w:tcW w:w="642"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3.285</w:t>
                  </w:r>
                  <w:r>
                    <w:rPr>
                      <w:color w:val="000000" w:themeColor="text1"/>
                      <w14:textFill>
                        <w14:solidFill>
                          <w14:schemeClr w14:val="tx1"/>
                        </w14:solidFill>
                      </w14:textFill>
                    </w:rPr>
                    <w:t>t/a</w:t>
                  </w:r>
                </w:p>
              </w:tc>
              <w:tc>
                <w:tcPr>
                  <w:tcW w:w="73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vMerge w:val="continue"/>
                  <w:vAlign w:val="center"/>
                </w:tcPr>
                <w:p>
                  <w:pPr>
                    <w:pStyle w:val="79"/>
                    <w:rPr>
                      <w:color w:val="000000" w:themeColor="text1"/>
                      <w14:textFill>
                        <w14:solidFill>
                          <w14:schemeClr w14:val="tx1"/>
                        </w14:solidFill>
                      </w14:textFill>
                    </w:rPr>
                  </w:pPr>
                </w:p>
              </w:tc>
              <w:tc>
                <w:tcPr>
                  <w:tcW w:w="1777"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油罐</w:t>
                  </w:r>
                  <w:r>
                    <w:rPr>
                      <w:rFonts w:hint="eastAsia"/>
                      <w:color w:val="000000" w:themeColor="text1"/>
                      <w14:textFill>
                        <w14:solidFill>
                          <w14:schemeClr w14:val="tx1"/>
                        </w14:solidFill>
                      </w14:textFill>
                    </w:rPr>
                    <w:t>油泥（</w:t>
                  </w:r>
                  <w:r>
                    <w:rPr>
                      <w:color w:val="000000" w:themeColor="text1"/>
                      <w14:textFill>
                        <w14:solidFill>
                          <w14:schemeClr w14:val="tx1"/>
                        </w14:solidFill>
                      </w14:textFill>
                    </w:rPr>
                    <w:t>900-221-08</w:t>
                  </w:r>
                  <w:r>
                    <w:rPr>
                      <w:rFonts w:hint="eastAsia"/>
                      <w:color w:val="000000" w:themeColor="text1"/>
                      <w14:textFill>
                        <w14:solidFill>
                          <w14:schemeClr w14:val="tx1"/>
                        </w14:solidFill>
                      </w14:textFill>
                    </w:rPr>
                    <w:t>）</w:t>
                  </w:r>
                </w:p>
              </w:tc>
              <w:tc>
                <w:tcPr>
                  <w:tcW w:w="701"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60</w:t>
                  </w:r>
                  <w:r>
                    <w:rPr>
                      <w:rFonts w:hint="eastAsia"/>
                      <w:color w:val="000000" w:themeColor="text1"/>
                      <w14:textFill>
                        <w14:solidFill>
                          <w14:schemeClr w14:val="tx1"/>
                        </w14:solidFill>
                      </w14:textFill>
                    </w:rPr>
                    <w:t>kg/次</w:t>
                  </w:r>
                </w:p>
              </w:tc>
              <w:tc>
                <w:tcPr>
                  <w:tcW w:w="703" w:type="pct"/>
                  <w:vAlign w:val="center"/>
                </w:tcPr>
                <w:p>
                  <w:pPr>
                    <w:pStyle w:val="79"/>
                    <w:rPr>
                      <w:color w:val="000000" w:themeColor="text1"/>
                      <w:u w:val="single"/>
                      <w14:textFill>
                        <w14:solidFill>
                          <w14:schemeClr w14:val="tx1"/>
                        </w14:solidFill>
                      </w14:textFill>
                    </w:rPr>
                  </w:pPr>
                  <w:r>
                    <w:rPr>
                      <w:color w:val="000000" w:themeColor="text1"/>
                      <w14:textFill>
                        <w14:solidFill>
                          <w14:schemeClr w14:val="tx1"/>
                        </w14:solidFill>
                      </w14:textFill>
                    </w:rPr>
                    <w:t>60</w:t>
                  </w:r>
                  <w:r>
                    <w:rPr>
                      <w:rFonts w:hint="eastAsia"/>
                      <w:color w:val="000000" w:themeColor="text1"/>
                      <w14:textFill>
                        <w14:solidFill>
                          <w14:schemeClr w14:val="tx1"/>
                        </w14:solidFill>
                      </w14:textFill>
                    </w:rPr>
                    <w:t>kg/次</w:t>
                  </w:r>
                </w:p>
              </w:tc>
              <w:tc>
                <w:tcPr>
                  <w:tcW w:w="642" w:type="pct"/>
                  <w:vAlign w:val="center"/>
                </w:tcPr>
                <w:p>
                  <w:pPr>
                    <w:pStyle w:val="79"/>
                    <w:rPr>
                      <w:color w:val="000000" w:themeColor="text1"/>
                      <w:u w:val="single"/>
                      <w14:textFill>
                        <w14:solidFill>
                          <w14:schemeClr w14:val="tx1"/>
                        </w14:solidFill>
                      </w14:textFill>
                    </w:rPr>
                  </w:pPr>
                  <w:r>
                    <w:rPr>
                      <w:color w:val="000000" w:themeColor="text1"/>
                      <w14:textFill>
                        <w14:solidFill>
                          <w14:schemeClr w14:val="tx1"/>
                        </w14:solidFill>
                      </w14:textFill>
                    </w:rPr>
                    <w:t>60</w:t>
                  </w:r>
                  <w:r>
                    <w:rPr>
                      <w:rFonts w:hint="eastAsia"/>
                      <w:color w:val="000000" w:themeColor="text1"/>
                      <w14:textFill>
                        <w14:solidFill>
                          <w14:schemeClr w14:val="tx1"/>
                        </w14:solidFill>
                      </w14:textFill>
                    </w:rPr>
                    <w:t>kg/次</w:t>
                  </w:r>
                </w:p>
              </w:tc>
              <w:tc>
                <w:tcPr>
                  <w:tcW w:w="73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vMerge w:val="continue"/>
                  <w:vAlign w:val="center"/>
                </w:tcPr>
                <w:p>
                  <w:pPr>
                    <w:pStyle w:val="79"/>
                    <w:rPr>
                      <w:color w:val="000000" w:themeColor="text1"/>
                      <w14:textFill>
                        <w14:solidFill>
                          <w14:schemeClr w14:val="tx1"/>
                        </w14:solidFill>
                      </w14:textFill>
                    </w:rPr>
                  </w:pPr>
                </w:p>
              </w:tc>
              <w:tc>
                <w:tcPr>
                  <w:tcW w:w="1777"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隔油池</w:t>
                  </w:r>
                  <w:r>
                    <w:rPr>
                      <w:rFonts w:hint="eastAsia"/>
                      <w:color w:val="000000" w:themeColor="text1"/>
                      <w14:textFill>
                        <w14:solidFill>
                          <w14:schemeClr w14:val="tx1"/>
                        </w14:solidFill>
                      </w14:textFill>
                    </w:rPr>
                    <w:t>污泥（</w:t>
                  </w:r>
                  <w:r>
                    <w:rPr>
                      <w:color w:val="000000" w:themeColor="text1"/>
                      <w14:textFill>
                        <w14:solidFill>
                          <w14:schemeClr w14:val="tx1"/>
                        </w14:solidFill>
                      </w14:textFill>
                    </w:rPr>
                    <w:t>900-210-08</w:t>
                  </w:r>
                  <w:r>
                    <w:rPr>
                      <w:rFonts w:hint="eastAsia"/>
                      <w:color w:val="000000" w:themeColor="text1"/>
                      <w14:textFill>
                        <w14:solidFill>
                          <w14:schemeClr w14:val="tx1"/>
                        </w14:solidFill>
                      </w14:textFill>
                    </w:rPr>
                    <w:t>）</w:t>
                  </w:r>
                </w:p>
              </w:tc>
              <w:tc>
                <w:tcPr>
                  <w:tcW w:w="70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50kg/次</w:t>
                  </w:r>
                </w:p>
              </w:tc>
              <w:tc>
                <w:tcPr>
                  <w:tcW w:w="70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50kg/次</w:t>
                  </w:r>
                </w:p>
              </w:tc>
              <w:tc>
                <w:tcPr>
                  <w:tcW w:w="642"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50kg/次</w:t>
                  </w:r>
                </w:p>
              </w:tc>
              <w:tc>
                <w:tcPr>
                  <w:tcW w:w="73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w:t>
                  </w:r>
                </w:p>
              </w:tc>
            </w:tr>
          </w:tbl>
          <w:p>
            <w:pPr>
              <w:rPr>
                <w:color w:val="000000" w:themeColor="text1"/>
                <w14:textFill>
                  <w14:solidFill>
                    <w14:schemeClr w14:val="tx1"/>
                  </w14:solidFill>
                </w14:textFill>
              </w:rPr>
            </w:pPr>
          </w:p>
        </w:tc>
      </w:tr>
    </w:tbl>
    <w:p>
      <w:pPr>
        <w:pStyle w:val="2"/>
        <w:spacing w:before="0" w:after="0" w:line="360" w:lineRule="auto"/>
        <w:rPr>
          <w:rFonts w:ascii="Times New Roman" w:hAnsi="Times New Roman"/>
          <w:b w:val="0"/>
          <w:color w:val="000000" w:themeColor="text1"/>
          <w:sz w:val="36"/>
          <w:szCs w:val="36"/>
          <w14:textFill>
            <w14:solidFill>
              <w14:schemeClr w14:val="tx1"/>
            </w14:solidFill>
          </w14:textFill>
        </w:rPr>
      </w:pPr>
      <w:r>
        <w:rPr>
          <w:rFonts w:ascii="Times New Roman" w:hAnsi="Times New Roman" w:eastAsia="黑体"/>
          <w:color w:val="000000" w:themeColor="text1"/>
          <w:sz w:val="32"/>
          <w14:textFill>
            <w14:solidFill>
              <w14:schemeClr w14:val="tx1"/>
            </w14:solidFill>
          </w14:textFill>
        </w:rPr>
        <w:br w:type="page"/>
      </w:r>
      <w:bookmarkStart w:id="28" w:name="_Toc29913615"/>
      <w:bookmarkStart w:id="29" w:name="_Toc287535135"/>
      <w:bookmarkStart w:id="30" w:name="_Toc29913616"/>
      <w:r>
        <w:rPr>
          <w:rFonts w:ascii="Times New Roman" w:hAnsi="Times New Roman" w:eastAsia="黑体"/>
          <w:color w:val="000000" w:themeColor="text1"/>
          <w:sz w:val="32"/>
          <w14:textFill>
            <w14:solidFill>
              <w14:schemeClr w14:val="tx1"/>
            </w14:solidFill>
          </w14:textFill>
        </w:rPr>
        <w:t>六、</w:t>
      </w:r>
      <w:r>
        <w:rPr>
          <w:rFonts w:ascii="Times New Roman" w:hAnsi="Times New Roman"/>
          <w:color w:val="000000" w:themeColor="text1"/>
          <w:sz w:val="28"/>
          <w:szCs w:val="28"/>
          <w14:textFill>
            <w14:solidFill>
              <w14:schemeClr w14:val="tx1"/>
            </w14:solidFill>
          </w14:textFill>
        </w:rPr>
        <w:t>项目主要污染物产生及预计排放情况</w:t>
      </w:r>
      <w:bookmarkEnd w:id="28"/>
    </w:p>
    <w:tbl>
      <w:tblPr>
        <w:tblStyle w:val="28"/>
        <w:tblW w:w="94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2012"/>
        <w:gridCol w:w="1843"/>
        <w:gridCol w:w="2410"/>
        <w:gridCol w:w="231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名称</w:t>
            </w:r>
          </w:p>
          <w:p>
            <w:pPr>
              <w:pStyle w:val="79"/>
              <w:rPr>
                <w:color w:val="000000" w:themeColor="text1"/>
                <w14:textFill>
                  <w14:solidFill>
                    <w14:schemeClr w14:val="tx1"/>
                  </w14:solidFill>
                </w14:textFill>
              </w:rPr>
            </w:pPr>
            <w:r>
              <w:rPr>
                <w:color w:val="000000" w:themeColor="text1"/>
                <w14:textFill>
                  <w14:solidFill>
                    <w14:schemeClr w14:val="tx1"/>
                  </w14:solidFill>
                </w14:textFill>
              </w:rPr>
              <w:t>类别</w:t>
            </w:r>
          </w:p>
        </w:tc>
        <w:tc>
          <w:tcPr>
            <w:tcW w:w="201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排放源</w:t>
            </w:r>
          </w:p>
        </w:tc>
        <w:tc>
          <w:tcPr>
            <w:tcW w:w="184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污染物名称</w:t>
            </w:r>
          </w:p>
        </w:tc>
        <w:tc>
          <w:tcPr>
            <w:tcW w:w="241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产生浓度及产生量</w:t>
            </w:r>
          </w:p>
        </w:tc>
        <w:tc>
          <w:tcPr>
            <w:tcW w:w="231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排放浓度及排放量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w:t>
            </w:r>
          </w:p>
        </w:tc>
        <w:tc>
          <w:tcPr>
            <w:tcW w:w="2012" w:type="dxa"/>
            <w:tcMar>
              <w:left w:w="0" w:type="dxa"/>
              <w:right w:w="0" w:type="dxa"/>
            </w:tcMar>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加油、卸油、储存</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油品废气</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2410" w:type="dxa"/>
            <w:vAlign w:val="center"/>
          </w:tcPr>
          <w:p>
            <w:pPr>
              <w:pStyle w:val="79"/>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17.3t/a</w:t>
            </w:r>
          </w:p>
        </w:tc>
        <w:tc>
          <w:tcPr>
            <w:tcW w:w="2318" w:type="dxa"/>
            <w:vAlign w:val="center"/>
          </w:tcPr>
          <w:p>
            <w:pPr>
              <w:pStyle w:val="79"/>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2.005t/a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tcMar>
              <w:left w:w="0" w:type="dxa"/>
              <w:right w:w="0" w:type="dxa"/>
            </w:tcMar>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汽车尾气</w:t>
            </w:r>
          </w:p>
        </w:tc>
        <w:tc>
          <w:tcPr>
            <w:tcW w:w="184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X</w:t>
            </w:r>
            <w:r>
              <w:rPr>
                <w:color w:val="000000" w:themeColor="text1"/>
                <w14:textFill>
                  <w14:solidFill>
                    <w14:schemeClr w14:val="tx1"/>
                  </w14:solidFill>
                </w14:textFill>
              </w:rPr>
              <w:t>、CO、HC</w:t>
            </w:r>
          </w:p>
        </w:tc>
        <w:tc>
          <w:tcPr>
            <w:tcW w:w="241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少量</w:t>
            </w:r>
          </w:p>
        </w:tc>
        <w:tc>
          <w:tcPr>
            <w:tcW w:w="23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少量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tcMar>
              <w:left w:w="0" w:type="dxa"/>
              <w:right w:w="0" w:type="dxa"/>
            </w:tcMar>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备用柴油发电机</w:t>
            </w:r>
            <w:r>
              <w:rPr>
                <w:rFonts w:hint="eastAsia"/>
                <w:color w:val="000000" w:themeColor="text1"/>
                <w14:textFill>
                  <w14:solidFill>
                    <w14:schemeClr w14:val="tx1"/>
                  </w14:solidFill>
                </w14:textFill>
              </w:rPr>
              <w:t>尾气</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、NO</w:t>
            </w:r>
            <w:r>
              <w:rPr>
                <w:rFonts w:hint="eastAsia"/>
                <w:color w:val="000000" w:themeColor="text1"/>
                <w:vertAlign w:val="subscript"/>
                <w14:textFill>
                  <w14:solidFill>
                    <w14:schemeClr w14:val="tx1"/>
                  </w14:solidFill>
                </w14:textFill>
              </w:rPr>
              <w:t>X</w:t>
            </w:r>
            <w:r>
              <w:rPr>
                <w:rFonts w:hint="eastAsia"/>
                <w:color w:val="000000" w:themeColor="text1"/>
                <w14:textFill>
                  <w14:solidFill>
                    <w14:schemeClr w14:val="tx1"/>
                  </w14:solidFill>
                </w14:textFill>
              </w:rPr>
              <w:t>和烟尘</w:t>
            </w:r>
          </w:p>
        </w:tc>
        <w:tc>
          <w:tcPr>
            <w:tcW w:w="241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少量</w:t>
            </w:r>
          </w:p>
        </w:tc>
        <w:tc>
          <w:tcPr>
            <w:tcW w:w="23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少量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水污</w:t>
            </w:r>
          </w:p>
          <w:p>
            <w:pPr>
              <w:pStyle w:val="79"/>
              <w:rPr>
                <w:color w:val="000000" w:themeColor="text1"/>
                <w14:textFill>
                  <w14:solidFill>
                    <w14:schemeClr w14:val="tx1"/>
                  </w14:solidFill>
                </w14:textFill>
              </w:rPr>
            </w:pPr>
            <w:r>
              <w:rPr>
                <w:color w:val="000000" w:themeColor="text1"/>
                <w14:textFill>
                  <w14:solidFill>
                    <w14:schemeClr w14:val="tx1"/>
                  </w14:solidFill>
                </w14:textFill>
              </w:rPr>
              <w:t>染物</w:t>
            </w:r>
          </w:p>
        </w:tc>
        <w:tc>
          <w:tcPr>
            <w:tcW w:w="2012" w:type="dxa"/>
            <w:vMerge w:val="restart"/>
            <w:tcMar>
              <w:left w:w="0" w:type="dxa"/>
              <w:right w:w="0" w:type="dxa"/>
            </w:tcMar>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生活污水</w:t>
            </w:r>
          </w:p>
        </w:tc>
        <w:tc>
          <w:tcPr>
            <w:tcW w:w="1843" w:type="dxa"/>
            <w:vAlign w:val="center"/>
          </w:tcPr>
          <w:p>
            <w:pPr>
              <w:pStyle w:val="79"/>
              <w:rPr>
                <w:caps/>
                <w:color w:val="000000" w:themeColor="text1"/>
                <w14:textFill>
                  <w14:solidFill>
                    <w14:schemeClr w14:val="tx1"/>
                  </w14:solidFill>
                </w14:textFill>
              </w:rPr>
            </w:pPr>
            <w:r>
              <w:rPr>
                <w:rFonts w:hint="eastAsia"/>
                <w:caps/>
                <w:color w:val="000000" w:themeColor="text1"/>
                <w14:textFill>
                  <w14:solidFill>
                    <w14:schemeClr w14:val="tx1"/>
                  </w14:solidFill>
                </w14:textFill>
              </w:rPr>
              <w:t>废水量</w:t>
            </w:r>
          </w:p>
        </w:tc>
        <w:tc>
          <w:tcPr>
            <w:tcW w:w="2410"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148.92m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p>
        </w:tc>
        <w:tc>
          <w:tcPr>
            <w:tcW w:w="2318"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148.92m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tcMar>
              <w:left w:w="0" w:type="dxa"/>
              <w:right w:w="0" w:type="dxa"/>
            </w:tcMar>
            <w:vAlign w:val="center"/>
          </w:tcPr>
          <w:p>
            <w:pPr>
              <w:pStyle w:val="79"/>
              <w:rPr>
                <w:color w:val="000000" w:themeColor="text1"/>
                <w14:textFill>
                  <w14:solidFill>
                    <w14:schemeClr w14:val="tx1"/>
                  </w14:solidFill>
                </w14:textFill>
              </w:rPr>
            </w:pPr>
          </w:p>
        </w:tc>
        <w:tc>
          <w:tcPr>
            <w:tcW w:w="1843"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COD</w:t>
            </w:r>
          </w:p>
        </w:tc>
        <w:tc>
          <w:tcPr>
            <w:tcW w:w="2410" w:type="dxa"/>
            <w:vAlign w:val="center"/>
          </w:tcPr>
          <w:p>
            <w:pPr>
              <w:pStyle w:val="79"/>
              <w:rPr>
                <w:color w:val="000000" w:themeColor="text1"/>
                <w:kern w:val="0"/>
                <w:szCs w:val="21"/>
                <w14:textFill>
                  <w14:solidFill>
                    <w14:schemeClr w14:val="tx1"/>
                  </w14:solidFill>
                </w14:textFill>
              </w:rPr>
            </w:pPr>
            <w:r>
              <w:rPr>
                <w:color w:val="000000" w:themeColor="text1"/>
                <w14:textFill>
                  <w14:solidFill>
                    <w14:schemeClr w14:val="tx1"/>
                  </w14:solidFill>
                </w14:textFill>
              </w:rPr>
              <w:t>300</w:t>
            </w:r>
            <w:r>
              <w:rPr>
                <w:rFonts w:hint="eastAsia"/>
                <w:color w:val="000000" w:themeColor="text1"/>
                <w14:textFill>
                  <w14:solidFill>
                    <w14:schemeClr w14:val="tx1"/>
                  </w14:solidFill>
                </w14:textFill>
              </w:rPr>
              <w:t>mg/L；</w:t>
            </w:r>
            <w:r>
              <w:rPr>
                <w:color w:val="000000" w:themeColor="text1"/>
                <w14:textFill>
                  <w14:solidFill>
                    <w14:schemeClr w14:val="tx1"/>
                  </w14:solidFill>
                </w14:textFill>
              </w:rPr>
              <w:t>0.04</w:t>
            </w:r>
            <w:r>
              <w:rPr>
                <w:rFonts w:hint="eastAsia"/>
                <w:color w:val="000000" w:themeColor="text1"/>
                <w14:textFill>
                  <w14:solidFill>
                    <w14:schemeClr w14:val="tx1"/>
                  </w14:solidFill>
                </w14:textFill>
              </w:rPr>
              <w:t>5t/a</w:t>
            </w:r>
          </w:p>
        </w:tc>
        <w:tc>
          <w:tcPr>
            <w:tcW w:w="2318" w:type="dxa"/>
            <w:vAlign w:val="center"/>
          </w:tcPr>
          <w:p>
            <w:pPr>
              <w:pStyle w:val="79"/>
              <w:rPr>
                <w:caps/>
                <w:color w:val="000000" w:themeColor="text1"/>
                <w14:textFill>
                  <w14:solidFill>
                    <w14:schemeClr w14:val="tx1"/>
                  </w14:solidFill>
                </w14:textFill>
              </w:rPr>
            </w:pPr>
            <w:r>
              <w:rPr>
                <w:color w:val="000000" w:themeColor="text1"/>
                <w14:textFill>
                  <w14:solidFill>
                    <w14:schemeClr w14:val="tx1"/>
                  </w14:solidFill>
                </w14:textFill>
              </w:rPr>
              <w:t>250</w:t>
            </w:r>
            <w:r>
              <w:rPr>
                <w:rFonts w:hint="eastAsia"/>
                <w:color w:val="000000" w:themeColor="text1"/>
                <w14:textFill>
                  <w14:solidFill>
                    <w14:schemeClr w14:val="tx1"/>
                  </w14:solidFill>
                </w14:textFill>
              </w:rPr>
              <w:t>mg/L；</w:t>
            </w:r>
            <w:r>
              <w:rPr>
                <w:color w:val="000000" w:themeColor="text1"/>
                <w14:textFill>
                  <w14:solidFill>
                    <w14:schemeClr w14:val="tx1"/>
                  </w14:solidFill>
                </w14:textFill>
              </w:rPr>
              <w:t>0.0372</w:t>
            </w:r>
            <w:r>
              <w:rPr>
                <w:rFonts w:hint="eastAsia"/>
                <w:color w:val="000000" w:themeColor="text1"/>
                <w14:textFill>
                  <w14:solidFill>
                    <w14:schemeClr w14:val="tx1"/>
                  </w14:solidFill>
                </w14:textFill>
              </w:rPr>
              <w:t>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tcMar>
              <w:left w:w="0" w:type="dxa"/>
              <w:right w:w="0" w:type="dxa"/>
            </w:tcMar>
            <w:vAlign w:val="center"/>
          </w:tcPr>
          <w:p>
            <w:pPr>
              <w:pStyle w:val="79"/>
              <w:rPr>
                <w:color w:val="000000" w:themeColor="text1"/>
                <w14:textFill>
                  <w14:solidFill>
                    <w14:schemeClr w14:val="tx1"/>
                  </w14:solidFill>
                </w14:textFill>
              </w:rPr>
            </w:pPr>
          </w:p>
        </w:tc>
        <w:tc>
          <w:tcPr>
            <w:tcW w:w="1843"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BOD</w:t>
            </w:r>
            <w:r>
              <w:rPr>
                <w:rFonts w:hint="eastAsia"/>
                <w:color w:val="000000" w:themeColor="text1"/>
                <w:vertAlign w:val="subscript"/>
                <w14:textFill>
                  <w14:solidFill>
                    <w14:schemeClr w14:val="tx1"/>
                  </w14:solidFill>
                </w14:textFill>
              </w:rPr>
              <w:t>5</w:t>
            </w:r>
          </w:p>
        </w:tc>
        <w:tc>
          <w:tcPr>
            <w:tcW w:w="2410" w:type="dxa"/>
            <w:vAlign w:val="center"/>
          </w:tcPr>
          <w:p>
            <w:pPr>
              <w:pStyle w:val="79"/>
              <w:rPr>
                <w:color w:val="000000" w:themeColor="text1"/>
                <w:kern w:val="0"/>
                <w:szCs w:val="21"/>
                <w14:textFill>
                  <w14:solidFill>
                    <w14:schemeClr w14:val="tx1"/>
                  </w14:solidFill>
                </w14:textFill>
              </w:rPr>
            </w:pPr>
            <w:r>
              <w:rPr>
                <w:color w:val="000000" w:themeColor="text1"/>
                <w14:textFill>
                  <w14:solidFill>
                    <w14:schemeClr w14:val="tx1"/>
                  </w14:solidFill>
                </w14:textFill>
              </w:rPr>
              <w:t>200</w:t>
            </w:r>
            <w:r>
              <w:rPr>
                <w:rFonts w:hint="eastAsia"/>
                <w:color w:val="000000" w:themeColor="text1"/>
                <w14:textFill>
                  <w14:solidFill>
                    <w14:schemeClr w14:val="tx1"/>
                  </w14:solidFill>
                </w14:textFill>
              </w:rPr>
              <w:t>mg/L；</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30t/a</w:t>
            </w:r>
          </w:p>
        </w:tc>
        <w:tc>
          <w:tcPr>
            <w:tcW w:w="2318" w:type="dxa"/>
            <w:vAlign w:val="center"/>
          </w:tcPr>
          <w:p>
            <w:pPr>
              <w:pStyle w:val="79"/>
              <w:rPr>
                <w:caps/>
                <w:color w:val="000000" w:themeColor="text1"/>
                <w14:textFill>
                  <w14:solidFill>
                    <w14:schemeClr w14:val="tx1"/>
                  </w14:solidFill>
                </w14:textFill>
              </w:rPr>
            </w:pPr>
            <w:r>
              <w:rPr>
                <w:color w:val="000000" w:themeColor="text1"/>
                <w14:textFill>
                  <w14:solidFill>
                    <w14:schemeClr w14:val="tx1"/>
                  </w14:solidFill>
                </w14:textFill>
              </w:rPr>
              <w:t>180</w:t>
            </w:r>
            <w:r>
              <w:rPr>
                <w:rFonts w:hint="eastAsia"/>
                <w:color w:val="000000" w:themeColor="text1"/>
                <w14:textFill>
                  <w14:solidFill>
                    <w14:schemeClr w14:val="tx1"/>
                  </w14:solidFill>
                </w14:textFill>
              </w:rPr>
              <w:t>mg/L；</w:t>
            </w:r>
            <w:r>
              <w:rPr>
                <w:color w:val="000000" w:themeColor="text1"/>
                <w14:textFill>
                  <w14:solidFill>
                    <w14:schemeClr w14:val="tx1"/>
                  </w14:solidFill>
                </w14:textFill>
              </w:rPr>
              <w:t>0.02</w:t>
            </w:r>
            <w:r>
              <w:rPr>
                <w:rFonts w:hint="eastAsia"/>
                <w:color w:val="000000" w:themeColor="text1"/>
                <w14:textFill>
                  <w14:solidFill>
                    <w14:schemeClr w14:val="tx1"/>
                  </w14:solidFill>
                </w14:textFill>
              </w:rPr>
              <w:t>77t/a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tcMar>
              <w:left w:w="0" w:type="dxa"/>
              <w:right w:w="0" w:type="dxa"/>
            </w:tcMar>
            <w:vAlign w:val="center"/>
          </w:tcPr>
          <w:p>
            <w:pPr>
              <w:pStyle w:val="79"/>
              <w:rPr>
                <w:color w:val="000000" w:themeColor="text1"/>
                <w14:textFill>
                  <w14:solidFill>
                    <w14:schemeClr w14:val="tx1"/>
                  </w14:solidFill>
                </w14:textFill>
              </w:rPr>
            </w:pPr>
          </w:p>
        </w:tc>
        <w:tc>
          <w:tcPr>
            <w:tcW w:w="1843"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SS</w:t>
            </w:r>
          </w:p>
        </w:tc>
        <w:tc>
          <w:tcPr>
            <w:tcW w:w="2410" w:type="dxa"/>
            <w:vAlign w:val="center"/>
          </w:tcPr>
          <w:p>
            <w:pPr>
              <w:pStyle w:val="79"/>
              <w:rPr>
                <w:color w:val="000000" w:themeColor="text1"/>
                <w:kern w:val="0"/>
                <w:szCs w:val="21"/>
                <w14:textFill>
                  <w14:solidFill>
                    <w14:schemeClr w14:val="tx1"/>
                  </w14:solidFill>
                </w14:textFill>
              </w:rPr>
            </w:pPr>
            <w:r>
              <w:rPr>
                <w:color w:val="000000" w:themeColor="text1"/>
                <w14:textFill>
                  <w14:solidFill>
                    <w14:schemeClr w14:val="tx1"/>
                  </w14:solidFill>
                </w14:textFill>
              </w:rPr>
              <w:t>240</w:t>
            </w:r>
            <w:r>
              <w:rPr>
                <w:rFonts w:hint="eastAsia"/>
                <w:color w:val="000000" w:themeColor="text1"/>
                <w14:textFill>
                  <w14:solidFill>
                    <w14:schemeClr w14:val="tx1"/>
                  </w14:solidFill>
                </w14:textFill>
              </w:rPr>
              <w:t>mg/L；</w:t>
            </w:r>
            <w:r>
              <w:rPr>
                <w:color w:val="000000" w:themeColor="text1"/>
                <w14:textFill>
                  <w14:solidFill>
                    <w14:schemeClr w14:val="tx1"/>
                  </w14:solidFill>
                </w14:textFill>
              </w:rPr>
              <w:t>0.03</w:t>
            </w:r>
            <w:r>
              <w:rPr>
                <w:rFonts w:hint="eastAsia"/>
                <w:color w:val="000000" w:themeColor="text1"/>
                <w14:textFill>
                  <w14:solidFill>
                    <w14:schemeClr w14:val="tx1"/>
                  </w14:solidFill>
                </w14:textFill>
              </w:rPr>
              <w:t>6t/a</w:t>
            </w:r>
          </w:p>
        </w:tc>
        <w:tc>
          <w:tcPr>
            <w:tcW w:w="2318" w:type="dxa"/>
            <w:vAlign w:val="center"/>
          </w:tcPr>
          <w:p>
            <w:pPr>
              <w:pStyle w:val="79"/>
              <w:rPr>
                <w:caps/>
                <w:color w:val="000000" w:themeColor="text1"/>
                <w14:textFill>
                  <w14:solidFill>
                    <w14:schemeClr w14:val="tx1"/>
                  </w14:solidFill>
                </w14:textFill>
              </w:rPr>
            </w:pPr>
            <w:r>
              <w:rPr>
                <w:color w:val="000000" w:themeColor="text1"/>
                <w14:textFill>
                  <w14:solidFill>
                    <w14:schemeClr w14:val="tx1"/>
                  </w14:solidFill>
                </w14:textFill>
              </w:rPr>
              <w:t>180</w:t>
            </w:r>
            <w:r>
              <w:rPr>
                <w:rFonts w:hint="eastAsia"/>
                <w:color w:val="000000" w:themeColor="text1"/>
                <w14:textFill>
                  <w14:solidFill>
                    <w14:schemeClr w14:val="tx1"/>
                  </w14:solidFill>
                </w14:textFill>
              </w:rPr>
              <w:t>mg/L；</w:t>
            </w:r>
            <w:r>
              <w:rPr>
                <w:color w:val="000000" w:themeColor="text1"/>
                <w14:textFill>
                  <w14:solidFill>
                    <w14:schemeClr w14:val="tx1"/>
                  </w14:solidFill>
                </w14:textFill>
              </w:rPr>
              <w:t>0.02</w:t>
            </w:r>
            <w:r>
              <w:rPr>
                <w:rFonts w:hint="eastAsia"/>
                <w:color w:val="000000" w:themeColor="text1"/>
                <w14:textFill>
                  <w14:solidFill>
                    <w14:schemeClr w14:val="tx1"/>
                  </w14:solidFill>
                </w14:textFill>
              </w:rPr>
              <w:t>7t/a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tcMar>
              <w:left w:w="0" w:type="dxa"/>
              <w:right w:w="0" w:type="dxa"/>
            </w:tcMar>
            <w:vAlign w:val="center"/>
          </w:tcPr>
          <w:p>
            <w:pPr>
              <w:pStyle w:val="79"/>
              <w:rPr>
                <w:color w:val="000000" w:themeColor="text1"/>
                <w14:textFill>
                  <w14:solidFill>
                    <w14:schemeClr w14:val="tx1"/>
                  </w14:solidFill>
                </w14:textFill>
              </w:rPr>
            </w:pPr>
          </w:p>
        </w:tc>
        <w:tc>
          <w:tcPr>
            <w:tcW w:w="1843" w:type="dxa"/>
            <w:vAlign w:val="center"/>
          </w:tcPr>
          <w:p>
            <w:pPr>
              <w:pStyle w:val="79"/>
              <w:rPr>
                <w:caps/>
                <w:color w:val="000000" w:themeColor="text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p>
        </w:tc>
        <w:tc>
          <w:tcPr>
            <w:tcW w:w="2410" w:type="dxa"/>
            <w:vAlign w:val="center"/>
          </w:tcPr>
          <w:p>
            <w:pPr>
              <w:pStyle w:val="79"/>
              <w:rPr>
                <w:color w:val="000000" w:themeColor="text1"/>
                <w:kern w:val="0"/>
                <w:szCs w:val="21"/>
                <w14:textFill>
                  <w14:solidFill>
                    <w14:schemeClr w14:val="tx1"/>
                  </w14:solidFill>
                </w14:textFill>
              </w:rPr>
            </w:pPr>
            <w:r>
              <w:rPr>
                <w:color w:val="000000" w:themeColor="text1"/>
                <w14:textFill>
                  <w14:solidFill>
                    <w14:schemeClr w14:val="tx1"/>
                  </w14:solidFill>
                </w14:textFill>
              </w:rPr>
              <w:t>30</w:t>
            </w:r>
            <w:r>
              <w:rPr>
                <w:rFonts w:hint="eastAsia"/>
                <w:color w:val="000000" w:themeColor="text1"/>
                <w14:textFill>
                  <w14:solidFill>
                    <w14:schemeClr w14:val="tx1"/>
                  </w14:solidFill>
                </w14:textFill>
              </w:rPr>
              <w:t>mg/L；</w:t>
            </w:r>
            <w:r>
              <w:rPr>
                <w:color w:val="000000" w:themeColor="text1"/>
                <w14:textFill>
                  <w14:solidFill>
                    <w14:schemeClr w14:val="tx1"/>
                  </w14:solidFill>
                </w14:textFill>
              </w:rPr>
              <w:t>0.0045</w:t>
            </w:r>
            <w:r>
              <w:rPr>
                <w:rFonts w:hint="eastAsia"/>
                <w:color w:val="000000" w:themeColor="text1"/>
                <w14:textFill>
                  <w14:solidFill>
                    <w14:schemeClr w14:val="tx1"/>
                  </w14:solidFill>
                </w14:textFill>
              </w:rPr>
              <w:t>t/a</w:t>
            </w:r>
          </w:p>
        </w:tc>
        <w:tc>
          <w:tcPr>
            <w:tcW w:w="2318" w:type="dxa"/>
            <w:vAlign w:val="center"/>
          </w:tcPr>
          <w:p>
            <w:pPr>
              <w:pStyle w:val="79"/>
              <w:rPr>
                <w:caps/>
                <w:color w:val="000000" w:themeColor="text1"/>
                <w14:textFill>
                  <w14:solidFill>
                    <w14:schemeClr w14:val="tx1"/>
                  </w14:solidFill>
                </w14:textFill>
              </w:rPr>
            </w:pPr>
            <w:r>
              <w:rPr>
                <w:color w:val="000000" w:themeColor="text1"/>
                <w14:textFill>
                  <w14:solidFill>
                    <w14:schemeClr w14:val="tx1"/>
                  </w14:solidFill>
                </w14:textFill>
              </w:rPr>
              <w:t>28</w:t>
            </w:r>
            <w:r>
              <w:rPr>
                <w:rFonts w:hint="eastAsia"/>
                <w:color w:val="000000" w:themeColor="text1"/>
                <w14:textFill>
                  <w14:solidFill>
                    <w14:schemeClr w14:val="tx1"/>
                  </w14:solidFill>
                </w14:textFill>
              </w:rPr>
              <w:t>mg/L；</w:t>
            </w:r>
            <w:r>
              <w:rPr>
                <w:color w:val="000000" w:themeColor="text1"/>
                <w14:textFill>
                  <w14:solidFill>
                    <w14:schemeClr w14:val="tx1"/>
                  </w14:solidFill>
                </w14:textFill>
              </w:rPr>
              <w:t>0.0042</w:t>
            </w:r>
            <w:r>
              <w:rPr>
                <w:rFonts w:hint="eastAsia"/>
                <w:color w:val="000000" w:themeColor="text1"/>
                <w14:textFill>
                  <w14:solidFill>
                    <w14:schemeClr w14:val="tx1"/>
                  </w14:solidFill>
                </w14:textFill>
              </w:rPr>
              <w:t>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restart"/>
            <w:tcMar>
              <w:left w:w="0" w:type="dxa"/>
              <w:right w:w="0" w:type="dxa"/>
            </w:tcMar>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地面冲洗废水</w:t>
            </w:r>
          </w:p>
        </w:tc>
        <w:tc>
          <w:tcPr>
            <w:tcW w:w="1843" w:type="dxa"/>
            <w:vAlign w:val="center"/>
          </w:tcPr>
          <w:p>
            <w:pPr>
              <w:pStyle w:val="79"/>
              <w:rPr>
                <w:caps/>
                <w:color w:val="000000" w:themeColor="text1"/>
                <w14:textFill>
                  <w14:solidFill>
                    <w14:schemeClr w14:val="tx1"/>
                  </w14:solidFill>
                </w14:textFill>
              </w:rPr>
            </w:pPr>
            <w:r>
              <w:rPr>
                <w:rFonts w:hint="eastAsia"/>
                <w:caps/>
                <w:color w:val="000000" w:themeColor="text1"/>
                <w14:textFill>
                  <w14:solidFill>
                    <w14:schemeClr w14:val="tx1"/>
                  </w14:solidFill>
                </w14:textFill>
              </w:rPr>
              <w:t>废水量</w:t>
            </w:r>
          </w:p>
        </w:tc>
        <w:tc>
          <w:tcPr>
            <w:tcW w:w="2410" w:type="dxa"/>
            <w:vAlign w:val="center"/>
          </w:tcPr>
          <w:p>
            <w:pPr>
              <w:pStyle w:val="79"/>
              <w:rPr>
                <w:caps/>
                <w:color w:val="000000" w:themeColor="text1"/>
                <w14:textFill>
                  <w14:solidFill>
                    <w14:schemeClr w14:val="tx1"/>
                  </w14:solidFill>
                </w14:textFill>
              </w:rPr>
            </w:pPr>
            <w:r>
              <w:rPr>
                <w:rFonts w:hint="eastAsia" w:hAnsi="宋体"/>
                <w:color w:val="000000" w:themeColor="text1"/>
                <w14:textFill>
                  <w14:solidFill>
                    <w14:schemeClr w14:val="tx1"/>
                  </w14:solidFill>
                </w14:textFill>
              </w:rPr>
              <w:t>47.52</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p>
        </w:tc>
        <w:tc>
          <w:tcPr>
            <w:tcW w:w="2318" w:type="dxa"/>
            <w:vAlign w:val="center"/>
          </w:tcPr>
          <w:p>
            <w:pPr>
              <w:pStyle w:val="79"/>
              <w:rPr>
                <w:caps/>
                <w:color w:val="000000" w:themeColor="text1"/>
                <w14:textFill>
                  <w14:solidFill>
                    <w14:schemeClr w14:val="tx1"/>
                  </w14:solidFill>
                </w14:textFill>
              </w:rPr>
            </w:pPr>
            <w:r>
              <w:rPr>
                <w:rFonts w:hint="eastAsia" w:hAnsi="宋体"/>
                <w:color w:val="000000" w:themeColor="text1"/>
                <w14:textFill>
                  <w14:solidFill>
                    <w14:schemeClr w14:val="tx1"/>
                  </w14:solidFill>
                </w14:textFill>
              </w:rPr>
              <w:t>47.52</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tcMar>
              <w:left w:w="0" w:type="dxa"/>
              <w:right w:w="0" w:type="dxa"/>
            </w:tcMar>
            <w:vAlign w:val="center"/>
          </w:tcPr>
          <w:p>
            <w:pPr>
              <w:pStyle w:val="79"/>
              <w:rPr>
                <w:color w:val="000000" w:themeColor="text1"/>
                <w14:textFill>
                  <w14:solidFill>
                    <w14:schemeClr w14:val="tx1"/>
                  </w14:solidFill>
                </w14:textFill>
              </w:rPr>
            </w:pPr>
          </w:p>
        </w:tc>
        <w:tc>
          <w:tcPr>
            <w:tcW w:w="1843"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SS</w:t>
            </w:r>
          </w:p>
        </w:tc>
        <w:tc>
          <w:tcPr>
            <w:tcW w:w="2410" w:type="dxa"/>
            <w:vAlign w:val="center"/>
          </w:tcPr>
          <w:p>
            <w:pPr>
              <w:pStyle w:val="79"/>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200mg/L；</w:t>
            </w:r>
            <w:r>
              <w:rPr>
                <w:color w:val="000000" w:themeColor="text1"/>
                <w14:textFill>
                  <w14:solidFill>
                    <w14:schemeClr w14:val="tx1"/>
                  </w14:solidFill>
                </w14:textFill>
              </w:rPr>
              <w:t>0.0095</w:t>
            </w:r>
            <w:r>
              <w:rPr>
                <w:rFonts w:hint="eastAsia"/>
                <w:color w:val="000000" w:themeColor="text1"/>
                <w14:textFill>
                  <w14:solidFill>
                    <w14:schemeClr w14:val="tx1"/>
                  </w14:solidFill>
                </w14:textFill>
              </w:rPr>
              <w:t>t/a</w:t>
            </w:r>
          </w:p>
        </w:tc>
        <w:tc>
          <w:tcPr>
            <w:tcW w:w="2318"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160mg/L；0.0076t/a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tcMar>
              <w:left w:w="0" w:type="dxa"/>
              <w:right w:w="0" w:type="dxa"/>
            </w:tcMar>
            <w:vAlign w:val="center"/>
          </w:tcPr>
          <w:p>
            <w:pPr>
              <w:pStyle w:val="79"/>
              <w:rPr>
                <w:color w:val="000000" w:themeColor="text1"/>
                <w14:textFill>
                  <w14:solidFill>
                    <w14:schemeClr w14:val="tx1"/>
                  </w14:solidFill>
                </w14:textFill>
              </w:rPr>
            </w:pPr>
          </w:p>
        </w:tc>
        <w:tc>
          <w:tcPr>
            <w:tcW w:w="1843"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石油类</w:t>
            </w:r>
          </w:p>
        </w:tc>
        <w:tc>
          <w:tcPr>
            <w:tcW w:w="2410" w:type="dxa"/>
            <w:vAlign w:val="center"/>
          </w:tcPr>
          <w:p>
            <w:pPr>
              <w:pStyle w:val="79"/>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20mg/L；</w:t>
            </w:r>
            <w:r>
              <w:rPr>
                <w:color w:val="000000" w:themeColor="text1"/>
                <w14:textFill>
                  <w14:solidFill>
                    <w14:schemeClr w14:val="tx1"/>
                  </w14:solidFill>
                </w14:textFill>
              </w:rPr>
              <w:t>0.0010</w:t>
            </w:r>
            <w:r>
              <w:rPr>
                <w:rFonts w:hint="eastAsia"/>
                <w:color w:val="000000" w:themeColor="text1"/>
                <w14:textFill>
                  <w14:solidFill>
                    <w14:schemeClr w14:val="tx1"/>
                  </w14:solidFill>
                </w14:textFill>
              </w:rPr>
              <w:t>t/a</w:t>
            </w:r>
          </w:p>
        </w:tc>
        <w:tc>
          <w:tcPr>
            <w:tcW w:w="2318"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15mg/L；0.0007t/a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固体</w:t>
            </w:r>
          </w:p>
          <w:p>
            <w:pPr>
              <w:pStyle w:val="79"/>
              <w:rPr>
                <w:color w:val="000000" w:themeColor="text1"/>
                <w14:textFill>
                  <w14:solidFill>
                    <w14:schemeClr w14:val="tx1"/>
                  </w14:solidFill>
                </w14:textFill>
              </w:rPr>
            </w:pPr>
            <w:r>
              <w:rPr>
                <w:color w:val="000000" w:themeColor="text1"/>
                <w14:textFill>
                  <w14:solidFill>
                    <w14:schemeClr w14:val="tx1"/>
                  </w14:solidFill>
                </w14:textFill>
              </w:rPr>
              <w:t>废物</w:t>
            </w:r>
          </w:p>
        </w:tc>
        <w:tc>
          <w:tcPr>
            <w:tcW w:w="2012" w:type="dxa"/>
            <w:vMerge w:val="restart"/>
            <w:vAlign w:val="center"/>
          </w:tcPr>
          <w:p>
            <w:pPr>
              <w:pStyle w:val="79"/>
              <w:rPr>
                <w:caps/>
                <w:color w:val="000000" w:themeColor="text1"/>
                <w14:textFill>
                  <w14:solidFill>
                    <w14:schemeClr w14:val="tx1"/>
                  </w14:solidFill>
                </w14:textFill>
              </w:rPr>
            </w:pPr>
            <w:r>
              <w:rPr>
                <w:rFonts w:hint="eastAsia"/>
                <w:caps/>
                <w:color w:val="000000" w:themeColor="text1"/>
                <w14:textFill>
                  <w14:solidFill>
                    <w14:schemeClr w14:val="tx1"/>
                  </w14:solidFill>
                </w14:textFill>
              </w:rPr>
              <w:t>危险废物</w:t>
            </w:r>
          </w:p>
        </w:tc>
        <w:tc>
          <w:tcPr>
            <w:tcW w:w="184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清罐油泥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900-221-08</w:t>
            </w:r>
            <w:r>
              <w:rPr>
                <w:rFonts w:hint="eastAsia"/>
                <w:color w:val="000000" w:themeColor="text1"/>
                <w14:textFill>
                  <w14:solidFill>
                    <w14:schemeClr w14:val="tx1"/>
                  </w14:solidFill>
                </w14:textFill>
              </w:rPr>
              <w:t>）</w:t>
            </w:r>
          </w:p>
        </w:tc>
        <w:tc>
          <w:tcPr>
            <w:tcW w:w="241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60kg/次</w:t>
            </w:r>
          </w:p>
        </w:tc>
        <w:tc>
          <w:tcPr>
            <w:tcW w:w="231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vAlign w:val="center"/>
          </w:tcPr>
          <w:p>
            <w:pPr>
              <w:pStyle w:val="79"/>
              <w:rPr>
                <w:caps/>
                <w:color w:val="000000" w:themeColor="text1"/>
                <w14:textFill>
                  <w14:solidFill>
                    <w14:schemeClr w14:val="tx1"/>
                  </w14:solidFill>
                </w14:textFill>
              </w:rPr>
            </w:pPr>
          </w:p>
        </w:tc>
        <w:tc>
          <w:tcPr>
            <w:tcW w:w="184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隔油</w:t>
            </w:r>
            <w:r>
              <w:rPr>
                <w:rFonts w:hint="eastAsia"/>
                <w:color w:val="000000" w:themeColor="text1"/>
                <w14:textFill>
                  <w14:solidFill>
                    <w14:schemeClr w14:val="tx1"/>
                  </w14:solidFill>
                </w14:textFill>
              </w:rPr>
              <w:t>池污泥（</w:t>
            </w:r>
            <w:r>
              <w:rPr>
                <w:color w:val="000000" w:themeColor="text1"/>
                <w14:textFill>
                  <w14:solidFill>
                    <w14:schemeClr w14:val="tx1"/>
                  </w14:solidFill>
                </w14:textFill>
              </w:rPr>
              <w:t>900-210-08</w:t>
            </w:r>
            <w:r>
              <w:rPr>
                <w:rFonts w:hint="eastAsia"/>
                <w:color w:val="000000" w:themeColor="text1"/>
                <w14:textFill>
                  <w14:solidFill>
                    <w14:schemeClr w14:val="tx1"/>
                  </w14:solidFill>
                </w14:textFill>
              </w:rPr>
              <w:t>）</w:t>
            </w:r>
          </w:p>
        </w:tc>
        <w:tc>
          <w:tcPr>
            <w:tcW w:w="241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50kg</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次</w:t>
            </w:r>
          </w:p>
        </w:tc>
        <w:tc>
          <w:tcPr>
            <w:tcW w:w="23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Align w:val="center"/>
          </w:tcPr>
          <w:p>
            <w:pPr>
              <w:pStyle w:val="79"/>
              <w:rPr>
                <w:caps/>
                <w:color w:val="000000" w:themeColor="text1"/>
                <w14:textFill>
                  <w14:solidFill>
                    <w14:schemeClr w14:val="tx1"/>
                  </w14:solidFill>
                </w14:textFill>
              </w:rPr>
            </w:pPr>
            <w:r>
              <w:rPr>
                <w:rFonts w:hint="eastAsia"/>
                <w:caps/>
                <w:color w:val="000000" w:themeColor="text1"/>
                <w14:textFill>
                  <w14:solidFill>
                    <w14:schemeClr w14:val="tx1"/>
                  </w14:solidFill>
                </w14:textFill>
              </w:rPr>
              <w:t>员工生活</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w:t>
            </w:r>
          </w:p>
        </w:tc>
        <w:tc>
          <w:tcPr>
            <w:tcW w:w="241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3.285</w:t>
            </w:r>
            <w:r>
              <w:rPr>
                <w:color w:val="000000" w:themeColor="text1"/>
                <w14:textFill>
                  <w14:solidFill>
                    <w14:schemeClr w14:val="tx1"/>
                  </w14:solidFill>
                </w14:textFill>
              </w:rPr>
              <w:t>t/a</w:t>
            </w:r>
          </w:p>
        </w:tc>
        <w:tc>
          <w:tcPr>
            <w:tcW w:w="23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噪</w:t>
            </w:r>
          </w:p>
          <w:p>
            <w:pPr>
              <w:pStyle w:val="79"/>
              <w:rPr>
                <w:color w:val="000000" w:themeColor="text1"/>
                <w14:textFill>
                  <w14:solidFill>
                    <w14:schemeClr w14:val="tx1"/>
                  </w14:solidFill>
                </w14:textFill>
              </w:rPr>
            </w:pPr>
            <w:r>
              <w:rPr>
                <w:color w:val="000000" w:themeColor="text1"/>
                <w14:textFill>
                  <w14:solidFill>
                    <w14:schemeClr w14:val="tx1"/>
                  </w14:solidFill>
                </w14:textFill>
              </w:rPr>
              <w:t>声</w:t>
            </w:r>
          </w:p>
        </w:tc>
        <w:tc>
          <w:tcPr>
            <w:tcW w:w="8583" w:type="dxa"/>
            <w:gridSpan w:val="4"/>
            <w:vAlign w:val="center"/>
          </w:tcPr>
          <w:p>
            <w:pPr>
              <w:pStyle w:val="79"/>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目的噪声源主要为加油泵等设备运行时产生的设备噪声以及加油车辆在进出加油站时产生的交通噪声。汽车在加油站内发动机处于关闭状态，所以噪声不大，根据类比同类型加油站，噪声值为60～65dB（A）；备用发电机运行噪声80～85dB（A）。项目将发电机等高噪设备置于室内，经垫片减震、墙体阻隔、距离衰减等处理后外排。项目噪声排放达标，对周围环境产生影响较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00" w:type="dxa"/>
            <w:gridSpan w:val="5"/>
            <w:vAlign w:val="center"/>
          </w:tcPr>
          <w:p>
            <w:pPr>
              <w:pStyle w:val="79"/>
              <w:jc w:val="left"/>
              <w:rPr>
                <w:b/>
                <w:color w:val="000000" w:themeColor="text1"/>
                <w14:textFill>
                  <w14:solidFill>
                    <w14:schemeClr w14:val="tx1"/>
                  </w14:solidFill>
                </w14:textFill>
              </w:rPr>
            </w:pPr>
            <w:r>
              <w:rPr>
                <w:b/>
                <w:color w:val="000000" w:themeColor="text1"/>
                <w14:textFill>
                  <w14:solidFill>
                    <w14:schemeClr w14:val="tx1"/>
                  </w14:solidFill>
                </w14:textFill>
              </w:rPr>
              <w:t>主要生态影响：</w:t>
            </w:r>
          </w:p>
          <w:p>
            <w:pPr>
              <w:pStyle w:val="79"/>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目施工期造成原有环境改变，遇大雨天气易造成水土流失；项目建成后，合理的平面布局及绿化，对生态环境不会造成明显影响。本项目评价范围内无重点保护的野生动植物、风景名胜区、自然保护区及文化遗产等敏感目标。</w:t>
            </w:r>
          </w:p>
        </w:tc>
      </w:tr>
    </w:tbl>
    <w:p>
      <w:pPr>
        <w:pStyle w:val="2"/>
        <w:spacing w:before="0" w:after="0" w:line="36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七、环境影响分析</w:t>
      </w:r>
      <w:bookmarkEnd w:id="29"/>
      <w:bookmarkEnd w:id="30"/>
    </w:p>
    <w:tbl>
      <w:tblPr>
        <w:tblStyle w:val="28"/>
        <w:tblW w:w="940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57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161" w:hRule="atLeast"/>
          <w:jc w:val="center"/>
        </w:trPr>
        <w:tc>
          <w:tcPr>
            <w:tcW w:w="9400" w:type="dxa"/>
          </w:tcPr>
          <w:p>
            <w:pPr>
              <w:pStyle w:val="6"/>
              <w:spacing w:line="360" w:lineRule="auto"/>
              <w:ind w:firstLine="0" w:firstLineChars="0"/>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7.1施工期环境影响分析及污染防治措施</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水污染影响分析及污染防治措施</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本项目施工期产生的废水主要是施工人员生活污水及施工废水，施工废水经沉淀池沉淀后回用于施工过程中，生活污水经市政污水管网排入祁东县渔陂污水处理厂进行处理</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为减轻项目施工期废水对地表水的影响，应采取以下防治措施：</w:t>
            </w:r>
          </w:p>
          <w:p>
            <w:pPr>
              <w:pStyle w:val="54"/>
              <w:ind w:firstLine="480"/>
              <w:rPr>
                <w:color w:val="000000" w:themeColor="text1"/>
                <w:szCs w:val="24"/>
                <w14:textFill>
                  <w14:solidFill>
                    <w14:schemeClr w14:val="tx1"/>
                  </w14:solidFill>
                </w14:textFill>
              </w:rPr>
            </w:pPr>
            <w:r>
              <w:rPr>
                <w:rFonts w:hint="eastAsia" w:ascii="宋体" w:hAnsi="宋体"/>
                <w:color w:val="000000" w:themeColor="text1"/>
                <w14:textFill>
                  <w14:solidFill>
                    <w14:schemeClr w14:val="tx1"/>
                  </w14:solidFill>
                </w14:textFill>
              </w:rPr>
              <w:t>①</w:t>
            </w:r>
            <w:r>
              <w:rPr>
                <w:color w:val="000000" w:themeColor="text1"/>
                <w14:textFill>
                  <w14:solidFill>
                    <w14:schemeClr w14:val="tx1"/>
                  </w14:solidFill>
                </w14:textFill>
              </w:rPr>
              <w:t>施工期间的生产用水主要为路面、土方、场地喷洒抑尘用水和水泥管道设置时混凝土养护用水等。施工场地内主要道路采用砼硬化路面，四周敷设排水沟（管），并修建临时沉淀池，含SS的雨水及进出场地的车辆清洗废水排入沉淀池澄</w:t>
            </w:r>
            <w:r>
              <w:rPr>
                <w:color w:val="000000" w:themeColor="text1"/>
                <w:szCs w:val="24"/>
                <w14:textFill>
                  <w14:solidFill>
                    <w14:schemeClr w14:val="tx1"/>
                  </w14:solidFill>
                </w14:textFill>
              </w:rPr>
              <w:t>清处理后回用。此外，在打桩阶段会产生少量泥浆水，肆意排放会造成周边管道的堵塞，必须排入沉淀池进行沉淀处理后回用。临时沉淀池处理后用于洒水抑尘，不外排。</w:t>
            </w:r>
          </w:p>
          <w:p>
            <w:pPr>
              <w:pStyle w:val="54"/>
              <w:ind w:firstLine="480"/>
              <w:rPr>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②</w:t>
            </w:r>
            <w:r>
              <w:rPr>
                <w:color w:val="000000" w:themeColor="text1"/>
                <w:szCs w:val="24"/>
                <w14:textFill>
                  <w14:solidFill>
                    <w14:schemeClr w14:val="tx1"/>
                  </w14:solidFill>
                </w14:textFill>
              </w:rPr>
              <w:t>施工完成后不得闲置土地，应尽快建设水土保持设施或进行环境绿化。在工地四周设截水沟，防止下雨时裸露泥土随雨水流入附近水体，造成水体SS增加，泥沙淤积。</w:t>
            </w:r>
          </w:p>
          <w:p>
            <w:pPr>
              <w:pStyle w:val="54"/>
              <w:ind w:firstLine="480"/>
              <w:rPr>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③</w:t>
            </w:r>
            <w:r>
              <w:rPr>
                <w:color w:val="000000" w:themeColor="text1"/>
                <w:szCs w:val="24"/>
                <w14:textFill>
                  <w14:solidFill>
                    <w14:schemeClr w14:val="tx1"/>
                  </w14:solidFill>
                </w14:textFill>
              </w:rPr>
              <w:t>运输、施工机械临时检修所产生的油污应集中处理，擦有油污的固体废物不得随意乱扔，应集中收集后妥善处理，以免污染水体；加强施工机械设备的维修保养，避免施工机械在施工过程中燃料用油跑、冒、滴、漏现象的发生。</w:t>
            </w:r>
          </w:p>
          <w:p>
            <w:pPr>
              <w:pStyle w:val="54"/>
              <w:ind w:firstLine="480"/>
              <w:rPr>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④</w:t>
            </w:r>
            <w:r>
              <w:rPr>
                <w:color w:val="000000" w:themeColor="text1"/>
                <w:szCs w:val="24"/>
                <w14:textFill>
                  <w14:solidFill>
                    <w14:schemeClr w14:val="tx1"/>
                  </w14:solidFill>
                </w14:textFill>
              </w:rPr>
              <w:t>施工时采取临时防护措施，防止水土流失。</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由于本项目施工人员就近租用民房，生活污水排入当地居民生活污水系统；因此在严格落实本报告提出的水污染防治措施后，本项目施工期废水排放对周围地表水体影响不大。</w:t>
            </w:r>
          </w:p>
          <w:p>
            <w:pPr>
              <w:pStyle w:val="54"/>
              <w:ind w:firstLine="482"/>
              <w:rPr>
                <w:b/>
                <w:color w:val="000000" w:themeColor="text1"/>
                <w14:textFill>
                  <w14:solidFill>
                    <w14:schemeClr w14:val="tx1"/>
                  </w14:solidFill>
                </w14:textFill>
              </w:rPr>
            </w:pPr>
            <w:r>
              <w:rPr>
                <w:b/>
                <w:color w:val="000000" w:themeColor="text1"/>
                <w:szCs w:val="24"/>
                <w14:textFill>
                  <w14:solidFill>
                    <w14:schemeClr w14:val="tx1"/>
                  </w14:solidFill>
                </w14:textFill>
              </w:rPr>
              <w:t>2、</w:t>
            </w:r>
            <w:r>
              <w:rPr>
                <w:rFonts w:hint="eastAsia"/>
                <w:b/>
                <w:color w:val="000000" w:themeColor="text1"/>
                <w:szCs w:val="24"/>
                <w14:textFill>
                  <w14:solidFill>
                    <w14:schemeClr w14:val="tx1"/>
                  </w14:solidFill>
                </w14:textFill>
              </w:rPr>
              <w:t>大气</w:t>
            </w:r>
            <w:r>
              <w:rPr>
                <w:rFonts w:hint="eastAsia"/>
                <w:b/>
                <w:color w:val="000000" w:themeColor="text1"/>
                <w14:textFill>
                  <w14:solidFill>
                    <w14:schemeClr w14:val="tx1"/>
                  </w14:solidFill>
                </w14:textFill>
              </w:rPr>
              <w:t>污染</w:t>
            </w:r>
            <w:r>
              <w:rPr>
                <w:b/>
                <w:color w:val="000000" w:themeColor="text1"/>
                <w14:textFill>
                  <w14:solidFill>
                    <w14:schemeClr w14:val="tx1"/>
                  </w14:solidFill>
                </w14:textFill>
              </w:rPr>
              <w:t>影响分析</w:t>
            </w:r>
            <w:r>
              <w:rPr>
                <w:rFonts w:hint="eastAsia"/>
                <w:b/>
                <w:color w:val="000000" w:themeColor="text1"/>
                <w14:textFill>
                  <w14:solidFill>
                    <w14:schemeClr w14:val="tx1"/>
                  </w14:solidFill>
                </w14:textFill>
              </w:rPr>
              <w:t>及污染防治措施</w:t>
            </w:r>
          </w:p>
          <w:p>
            <w:pPr>
              <w:pStyle w:val="5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影响分析：</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在建设阶段粉尘的影响范围较广，主要表现在交通运输沿线道路两侧及施工现场，尤其是天气干燥及风速较大时更为明显，从而使该区块及周围附近地区大气中总悬浮颗粒浓度增大。由于粉尘的产生量与天气、温度、风速、施工队文明作业程度和管理水平等因素有关，因此，其排放量难以定量估算。</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本项目施工期运输车辆运输</w:t>
            </w:r>
            <w:r>
              <w:rPr>
                <w:color w:val="000000" w:themeColor="text1"/>
                <w14:textFill>
                  <w14:solidFill>
                    <w14:schemeClr w14:val="tx1"/>
                  </w14:solidFill>
                </w14:textFill>
              </w:rPr>
              <w:t>路面均为水泥路面，在做好路面的清洁工作后能有效的减少车辆行驶过程中所产生的扬尘；对各类机械设备应进行尾气处理，对排烟量较大的施工机械，安装消烟装置和尾气净化器。在施工过程中需落实洒水防尘措施，</w:t>
            </w:r>
            <w:r>
              <w:rPr>
                <w:rFonts w:hint="eastAsia"/>
                <w:color w:val="000000" w:themeColor="text1"/>
                <w14:textFill>
                  <w14:solidFill>
                    <w14:schemeClr w14:val="tx1"/>
                  </w14:solidFill>
                </w14:textFill>
              </w:rPr>
              <w:t>减少施工废气对本项目周围环境的影响</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施工装修期使用的胶合板、涂料、油漆等建筑材料散发甲醛、苯酚等有机气体的防治，装修应满足《室内装修材料有害物质限量》（GB18580-2001~GB18588-2001及GB6566-2001）等十项国家标准要求，提倡使用无苯环保型稀释剂、环保型油漆等环保材料，减少装修阶段有机废气的排放，同时装修时注重开窗通风，加强空气流通，可在一定程度上减少装修阶段有机废气的影响。</w:t>
            </w:r>
          </w:p>
          <w:p>
            <w:pPr>
              <w:pStyle w:val="54"/>
              <w:ind w:firstLine="482"/>
              <w:rPr>
                <w:b/>
                <w:color w:val="000000" w:themeColor="text1"/>
                <w14:textFill>
                  <w14:solidFill>
                    <w14:schemeClr w14:val="tx1"/>
                  </w14:solidFill>
                </w14:textFill>
              </w:rPr>
            </w:pPr>
            <w:bookmarkStart w:id="31" w:name="_Toc340821063"/>
            <w:bookmarkStart w:id="32" w:name="_Toc343335979"/>
            <w:bookmarkStart w:id="33" w:name="_Toc343335455"/>
            <w:r>
              <w:rPr>
                <w:rFonts w:hint="eastAsia"/>
                <w:b/>
                <w:color w:val="000000" w:themeColor="text1"/>
                <w14:textFill>
                  <w14:solidFill>
                    <w14:schemeClr w14:val="tx1"/>
                  </w14:solidFill>
                </w14:textFill>
              </w:rPr>
              <w:t>防治措施：</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（1）扬尘治理措施</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本项目施工过程中应执行《湖南省污染防治攻坚战三年行动计划(2018—2020年)》（湘政发〔2018〕17号）中关于加强扬尘污染治理的“六个100%”措施，具体如下：</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项目施工期间施工场地周边应设置围挡，可有效防止扬尘扩散；</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项目施工期间施工场地裸露的土地及施工原料堆场应采用篷布进行覆盖，防止大风起尘；</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t>施工过程中涉及到开挖方时应采取湿法作业，降低开挖方时扬尘的产生；</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w:t>
            </w:r>
            <w:r>
              <w:rPr>
                <w:color w:val="000000" w:themeColor="text1"/>
                <w14:textFill>
                  <w14:solidFill>
                    <w14:schemeClr w14:val="tx1"/>
                  </w14:solidFill>
                </w14:textFill>
              </w:rPr>
              <w:t>施工过程中应对厂区内施工道路进行硬化，有效避免施工车辆运输起尘；</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⑤</w:t>
            </w:r>
            <w:r>
              <w:rPr>
                <w:color w:val="000000" w:themeColor="text1"/>
                <w14:textFill>
                  <w14:solidFill>
                    <w14:schemeClr w14:val="tx1"/>
                  </w14:solidFill>
                </w14:textFill>
              </w:rPr>
              <w:t>施工过程中运输车辆进出场时应进行清洗，减少车辆运输时扬尘；</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⑥</w:t>
            </w:r>
            <w:r>
              <w:rPr>
                <w:color w:val="000000" w:themeColor="text1"/>
                <w14:textFill>
                  <w14:solidFill>
                    <w14:schemeClr w14:val="tx1"/>
                  </w14:solidFill>
                </w14:textFill>
              </w:rPr>
              <w:t>施工过程中运输渣土的车辆需密闭，避免运输过程中产生扬尘。</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同时，为进一步防止或减小项目建设及运输过程中的扬尘对环境空气及敏感目标的影响。根据原国家环保总局颁布的《防治城市扬尘污染技术标准》（HJ/T393-2007）规定，项目应采取下述措施：</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整个施工期必须设置1名专职保洁员。根据施工工期、阶段和进度明确建设方、施工方扬尘控制责任人员数量、名单、联系电话和责任范围。</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设置洗车平台，完善排水设施，防止泥土粘带；对出场车辆的车身、轮胎进行冲洗，冲洗台周边设置防溢座、导流渠、沉淀池等设施；每个冲洗点必须配置清洗机和清洗员，洗车作业地面和连接进出口的道路必须水泥硬化，连接出口的道路必须保洁，保洁的长度不小于50m。</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t>施工期间，当空气污染指数为80~100时，应每隔4小时保洁一次，清扫每4小时一次，洒水和清扫次数为交替进行；当空气污染指数大于100或4级以上大风、高温干燥天气时，不许土方作业和人工干扫，保洁、洒水、清扫次数增加；当空气污染指数低于50或雨天时，可以在保持清洁的前提下适当降低保洁强度和洒水、清扫次数。</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w:t>
            </w:r>
            <w:r>
              <w:rPr>
                <w:color w:val="000000" w:themeColor="text1"/>
                <w14:textFill>
                  <w14:solidFill>
                    <w14:schemeClr w14:val="tx1"/>
                  </w14:solidFill>
                </w14:textFill>
              </w:rPr>
              <w:t>施工过程中使用易产生扬尘的建筑材料，应采取密闭存储、设置围挡或堆砌围墙、采用防尘布苫盖等有效防尘措施。施工工程中产生的建筑垃圾，应及时清运。</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⑤</w:t>
            </w:r>
            <w:r>
              <w:rPr>
                <w:color w:val="000000" w:themeColor="text1"/>
                <w14:textFill>
                  <w14:solidFill>
                    <w14:schemeClr w14:val="tx1"/>
                  </w14:solidFill>
                </w14:textFill>
              </w:rPr>
              <w:t>装载物料的运输车辆应尽量采用密闭车斗，若无密闭车斗，装载物料不得超过车辆槽帮上沿，车斗应用苫布盖严，苫布边沿应超出槽帮上沿以下15cm，保证物料不露出，车辆应按照批准的路线和时间进行运输。</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⑥</w:t>
            </w:r>
            <w:r>
              <w:rPr>
                <w:color w:val="000000" w:themeColor="text1"/>
                <w14:textFill>
                  <w14:solidFill>
                    <w14:schemeClr w14:val="tx1"/>
                  </w14:solidFill>
                </w14:textFill>
              </w:rPr>
              <w:t>按规定使用商品砼；在施工场地四周设实体围挡，围挡高不少于2米，以减少扬尘对周边居民的影响。</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⑦</w:t>
            </w:r>
            <w:r>
              <w:rPr>
                <w:color w:val="000000" w:themeColor="text1"/>
                <w14:textFill>
                  <w14:solidFill>
                    <w14:schemeClr w14:val="tx1"/>
                  </w14:solidFill>
                </w14:textFill>
              </w:rPr>
              <w:t>工程项目竣工后30日内，建设单位负责平整施工工地，并清除积土、堆物。</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上述减少扬尘污染的措施是常用的、有效的，也能落实到实际施工过程中。项目在采取上述措施后，粉尘产生量将大大减少，对周围环境的影响也将随着减小，因此措施合理可行。</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（2）施工机械及施工车辆尾气治理措施</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项目应采用尾气排放符合国家规定标准的车辆和施工机械，确保其在运行时尾气达标排放，减少对环境空气的污染。禁止尾气排放不达标的车辆和施工机械运行作业。</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运输车辆和施工机械发生故障和损坏，必须及时维修或更新，防止设备带病运行，加大废气对环境空气的污染。</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在车辆使用上严格执行国家相关规定，同时加强机械保养及维修的情况下，施工机械及施工车辆尾气对空气环境质量影响不大，上述措施合理可行。</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（3）施工装修废气污染控制措施</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施工装修期使用的胶合板、涂料、油漆等建筑材料散发甲醛、苯酚等有机气体的防治，装修应满足《室内装修材料有害物质限量》（GB18580-2001~GB18588-2001及GB6566-2001）等十项国家标准要求，提倡使用无苯环保型稀释剂、环保型油漆等环保材料，减少装修阶段有机废气的排放，同时装修时注重开窗通风，加强空气流通，可在一定程度上减少装修阶段有机废气的影响。</w:t>
            </w:r>
          </w:p>
          <w:bookmarkEnd w:id="31"/>
          <w:bookmarkEnd w:id="32"/>
          <w:bookmarkEnd w:id="33"/>
          <w:p>
            <w:pPr>
              <w:pStyle w:val="54"/>
              <w:ind w:firstLine="482"/>
              <w:rPr>
                <w:b/>
                <w:color w:val="000000" w:themeColor="text1"/>
                <w:szCs w:val="24"/>
                <w14:textFill>
                  <w14:solidFill>
                    <w14:schemeClr w14:val="tx1"/>
                  </w14:solidFill>
                </w14:textFill>
              </w:rPr>
            </w:pPr>
            <w:r>
              <w:rPr>
                <w:b/>
                <w:color w:val="000000" w:themeColor="text1"/>
                <w:szCs w:val="24"/>
                <w14:textFill>
                  <w14:solidFill>
                    <w14:schemeClr w14:val="tx1"/>
                  </w14:solidFill>
                </w14:textFill>
              </w:rPr>
              <w:t>3、施工期对声环境的影响</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施工期的噪声主要有电锯、挖掘机、装载机及运输车辆等，其噪声值在80～90dB（A）之间，各类施工机械在不同距离处的噪声预测值见表7-2。</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施工期须按《建筑施工厂界噪声环境噪声排放标准》（GB12523-2011）的要求（表7-2）控制施工时段及建筑噪声。</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表7-1  建筑施工厂界环境噪声排放标准  单位：dB(A)</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680"/>
              <w:gridCol w:w="3263"/>
              <w:gridCol w:w="3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43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时间</w:t>
                  </w:r>
                </w:p>
              </w:tc>
              <w:tc>
                <w:tcPr>
                  <w:tcW w:w="174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昼间</w:t>
                  </w:r>
                </w:p>
              </w:tc>
              <w:tc>
                <w:tcPr>
                  <w:tcW w:w="182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434"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噪声限值</w:t>
                  </w:r>
                </w:p>
              </w:tc>
              <w:tc>
                <w:tcPr>
                  <w:tcW w:w="174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70</w:t>
                  </w:r>
                </w:p>
              </w:tc>
              <w:tc>
                <w:tcPr>
                  <w:tcW w:w="182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55</w:t>
                  </w:r>
                </w:p>
              </w:tc>
            </w:tr>
          </w:tbl>
          <w:p>
            <w:pPr>
              <w:pStyle w:val="88"/>
              <w:rPr>
                <w:color w:val="000000" w:themeColor="text1"/>
                <w14:textFill>
                  <w14:solidFill>
                    <w14:schemeClr w14:val="tx1"/>
                  </w14:solidFill>
                </w14:textFill>
              </w:rPr>
            </w:pPr>
            <w:r>
              <w:rPr>
                <w:color w:val="000000" w:themeColor="text1"/>
                <w14:textFill>
                  <w14:solidFill>
                    <w14:schemeClr w14:val="tx1"/>
                  </w14:solidFill>
                </w14:textFill>
              </w:rPr>
              <w:t>表7-2  各类施工机械在不同距离处的噪声预测值  单位：dB（A）</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5"/>
              <w:gridCol w:w="1454"/>
              <w:gridCol w:w="878"/>
              <w:gridCol w:w="878"/>
              <w:gridCol w:w="878"/>
              <w:gridCol w:w="878"/>
              <w:gridCol w:w="878"/>
              <w:gridCol w:w="879"/>
              <w:gridCol w:w="879"/>
              <w:gridCol w:w="8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3"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778"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机械类型</w:t>
                  </w:r>
                </w:p>
              </w:tc>
              <w:tc>
                <w:tcPr>
                  <w:tcW w:w="3759" w:type="pct"/>
                  <w:gridSpan w:val="8"/>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噪声预测值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3" w:type="pct"/>
                  <w:vMerge w:val="continue"/>
                  <w:vAlign w:val="center"/>
                </w:tcPr>
                <w:p>
                  <w:pPr>
                    <w:pStyle w:val="79"/>
                    <w:rPr>
                      <w:color w:val="000000" w:themeColor="text1"/>
                      <w14:textFill>
                        <w14:solidFill>
                          <w14:schemeClr w14:val="tx1"/>
                        </w14:solidFill>
                      </w14:textFill>
                    </w:rPr>
                  </w:pPr>
                </w:p>
              </w:tc>
              <w:tc>
                <w:tcPr>
                  <w:tcW w:w="778" w:type="pct"/>
                  <w:vMerge w:val="continue"/>
                  <w:vAlign w:val="center"/>
                </w:tcPr>
                <w:p>
                  <w:pPr>
                    <w:pStyle w:val="79"/>
                    <w:rPr>
                      <w:color w:val="000000" w:themeColor="text1"/>
                      <w14:textFill>
                        <w14:solidFill>
                          <w14:schemeClr w14:val="tx1"/>
                        </w14:solidFill>
                      </w14:textFill>
                    </w:rPr>
                  </w:pP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5m</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10m</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20m</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50m</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100m</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150m</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180m</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200m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77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装载机</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86.0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80.0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74.0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66.0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cr/>
                  </w:r>
                  <w:r>
                    <w:rPr>
                      <w:color w:val="000000" w:themeColor="text1"/>
                      <w14:textFill>
                        <w14:solidFill>
                          <w14:schemeClr w14:val="tx1"/>
                        </w14:solidFill>
                      </w14:textFill>
                    </w:rPr>
                    <w:t>6.5</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54.9</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w:t>
                  </w:r>
                </w:p>
              </w:tc>
              <w:tc>
                <w:tcPr>
                  <w:tcW w:w="77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挖掘机</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84.0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78.0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72.0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64.0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58</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54.5</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52.9</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77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载重车</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82.0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76.0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70.0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62.0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56</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52.5</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50.9</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w:t>
                  </w:r>
                </w:p>
              </w:tc>
              <w:tc>
                <w:tcPr>
                  <w:tcW w:w="77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振捣机</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85.0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79.0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73.0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65.0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59</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55.5</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53.9</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77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电焊机</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80.0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74.0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68.0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60.0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54</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50.5</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48.9</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77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电锯</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90.0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84.0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78.0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70.0</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64</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60.5</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58.9</w:t>
                  </w:r>
                </w:p>
              </w:tc>
              <w:tc>
                <w:tcPr>
                  <w:tcW w:w="47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58</w:t>
                  </w:r>
                </w:p>
              </w:tc>
            </w:tr>
          </w:tbl>
          <w:p>
            <w:pPr>
              <w:pStyle w:val="54"/>
              <w:spacing w:before="156" w:beforeLines="50"/>
              <w:ind w:firstLine="480"/>
              <w:rPr>
                <w:color w:val="000000" w:themeColor="text1"/>
                <w14:textFill>
                  <w14:solidFill>
                    <w14:schemeClr w14:val="tx1"/>
                  </w14:solidFill>
                </w14:textFill>
              </w:rPr>
            </w:pPr>
            <w:r>
              <w:rPr>
                <w:color w:val="000000" w:themeColor="text1"/>
                <w14:textFill>
                  <w14:solidFill>
                    <w14:schemeClr w14:val="tx1"/>
                  </w14:solidFill>
                </w14:textFill>
              </w:rPr>
              <w:t>根据表7-2的预测结果，在未采取降噪措施的情况下，项目施工期各施工机械所产生的噪声在50m外可达到昼间施工厂界标准限值，150m外可达到夜间施工厂界标准限值。为减少施工噪声对工地附近居民的影响，建议采取如下措施。</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1）合理选择施工机械、施工方法，尽量选用效率高、低噪声设备，对高噪声设备安装减震垫、消声器。在施工过程中，应经常对施工设备进行维修保养，避免由于设备性能减退使噪声增大。高噪声设备应布置在场地东部，尽可能远离周边居民。</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（2）合理安排施工时间，将噪声级较大的施工活动尽量安排在白天，禁止夜间（夜间22：00-次日6：00）施工作业。若必须夜间施工，须先向环保部门申报并征得许可，同时事先通知周围居民、单位，以取得谅解。</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（3）严格控制各施工机械的施工时间，应尽量避免高噪声设备同时施工。对位置相对固定的机械设备，能入棚内操作的尽量进入操作间。</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（4）物料运输车辆采取减速缓行、禁止鸣笛等措施，以减小运输车辆噪声对道路两侧居民的影响。</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（5）为减少对项目</w:t>
            </w:r>
            <w:r>
              <w:rPr>
                <w:rFonts w:hint="eastAsia"/>
                <w:color w:val="000000" w:themeColor="text1"/>
                <w14:textFill>
                  <w14:solidFill>
                    <w14:schemeClr w14:val="tx1"/>
                  </w14:solidFill>
                </w14:textFill>
              </w:rPr>
              <w:t>周边居民的</w:t>
            </w:r>
            <w:r>
              <w:rPr>
                <w:color w:val="000000" w:themeColor="text1"/>
                <w14:textFill>
                  <w14:solidFill>
                    <w14:schemeClr w14:val="tx1"/>
                  </w14:solidFill>
                </w14:textFill>
              </w:rPr>
              <w:t>影响，项目施工时应在</w:t>
            </w:r>
            <w:r>
              <w:rPr>
                <w:rFonts w:hint="eastAsia"/>
                <w:color w:val="000000" w:themeColor="text1"/>
                <w14:textFill>
                  <w14:solidFill>
                    <w14:schemeClr w14:val="tx1"/>
                  </w14:solidFill>
                </w14:textFill>
              </w:rPr>
              <w:t>站区四周</w:t>
            </w:r>
            <w:r>
              <w:rPr>
                <w:color w:val="000000" w:themeColor="text1"/>
                <w14:textFill>
                  <w14:solidFill>
                    <w14:schemeClr w14:val="tx1"/>
                  </w14:solidFill>
                </w14:textFill>
              </w:rPr>
              <w:t>设置临时隔声屏，隔声屏高2.5m，可以有效减少施工噪声对</w:t>
            </w:r>
            <w:r>
              <w:rPr>
                <w:rFonts w:hint="eastAsia"/>
                <w:color w:val="000000" w:themeColor="text1"/>
                <w14:textFill>
                  <w14:solidFill>
                    <w14:schemeClr w14:val="tx1"/>
                  </w14:solidFill>
                </w14:textFill>
              </w:rPr>
              <w:t>周围环境的</w:t>
            </w:r>
            <w:r>
              <w:rPr>
                <w:color w:val="000000" w:themeColor="text1"/>
                <w14:textFill>
                  <w14:solidFill>
                    <w14:schemeClr w14:val="tx1"/>
                  </w14:solidFill>
                </w14:textFill>
              </w:rPr>
              <w:t>影响。</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采取上述措施后，可大大降低施工噪声对敏感点的影响，建设单位应认真落实各项防治措施，严格执行作息时间，确保噪声不扰民，同时与周围居民协调好关系，并注意听取周围居民的合理意见，避免矛盾。且施工期结束后相应的噪声污染即随之消失，不会对周围环境产生长期不良影响。</w:t>
            </w:r>
          </w:p>
          <w:p>
            <w:pPr>
              <w:pStyle w:val="54"/>
              <w:ind w:firstLine="482"/>
              <w:rPr>
                <w:b/>
                <w:color w:val="000000" w:themeColor="text1"/>
                <w:lang w:val="zh-CN"/>
                <w14:textFill>
                  <w14:solidFill>
                    <w14:schemeClr w14:val="tx1"/>
                  </w14:solidFill>
                </w14:textFill>
              </w:rPr>
            </w:pPr>
            <w:r>
              <w:rPr>
                <w:b/>
                <w:color w:val="000000" w:themeColor="text1"/>
                <w:lang w:val="zh-CN"/>
                <w14:textFill>
                  <w14:solidFill>
                    <w14:schemeClr w14:val="tx1"/>
                  </w14:solidFill>
                </w14:textFill>
              </w:rPr>
              <w:t>4、施工期固体废物对环境的影响</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施工期固体废物主要为建筑垃圾及施工人员生活垃圾等，包括砂石、石块、碎砖瓦、废木料、废金属、废钢筋等杂物。根据工程分析结果，项目施工阶段建筑垃圾产生总量约为36.81t，由施工单位及时清运，并按市容卫生主管部门的规定处置生活垃圾交由环卫部门统一收集处置。施工固体废物可得到妥善处置，对环境影响较小。</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5、施工期生态保护</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为保护生态环境，建设单位应采取以下保持措施：</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尽量减少施工区的数量和面积，在设计的施工区内施工，不能随意扩大开挖弃土石场面积，尽量减少开挖面。</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合理进行施工组织设计，土石方挖填尽量避开雨季，暴雨前应及时对施工场地进行清理。</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t>采取临时防护措施，如在场地基坑周围设临时排洪口，并用草席、沙袋等对坡面进行护理，确保下雨时保护出现大量水土流失。</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w:t>
            </w:r>
            <w:r>
              <w:rPr>
                <w:color w:val="000000" w:themeColor="text1"/>
                <w14:textFill>
                  <w14:solidFill>
                    <w14:schemeClr w14:val="tx1"/>
                  </w14:solidFill>
                </w14:textFill>
              </w:rPr>
              <w:t>施工时必须同时建设基坑护墙等辅助工程，稳定边坡，防止坡面崩塌。</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⑤</w:t>
            </w:r>
            <w:r>
              <w:rPr>
                <w:color w:val="000000" w:themeColor="text1"/>
                <w14:textFill>
                  <w14:solidFill>
                    <w14:schemeClr w14:val="tx1"/>
                  </w14:solidFill>
                </w14:textFill>
              </w:rPr>
              <w:t>应在施工期间，搞好项目的生态保护和建设。在项目建设的同时应及时项目地块四周的植被、绿化及建筑区地面硬化，种植区使用草席或者毛毡进行覆盖。工程建成后，场地内应无裸露地面。</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⑥</w:t>
            </w:r>
            <w:r>
              <w:rPr>
                <w:color w:val="000000" w:themeColor="text1"/>
                <w14:textFill>
                  <w14:solidFill>
                    <w14:schemeClr w14:val="tx1"/>
                  </w14:solidFill>
                </w14:textFill>
              </w:rPr>
              <w:t>表土临时堆放场周围修建土墙和排水沟，暴雨前应及时采取覆盖、围挡等措施。建筑垃圾要做到日产日清。</w:t>
            </w:r>
          </w:p>
          <w:p>
            <w:pPr>
              <w:pStyle w:val="3"/>
              <w:rPr>
                <w:color w:val="000000" w:themeColor="text1"/>
                <w14:textFill>
                  <w14:solidFill>
                    <w14:schemeClr w14:val="tx1"/>
                  </w14:solidFill>
                </w14:textFill>
              </w:rPr>
            </w:pPr>
            <w:bookmarkStart w:id="34" w:name="_Toc287535137"/>
            <w:r>
              <w:rPr>
                <w:color w:val="000000" w:themeColor="text1"/>
                <w14:textFill>
                  <w14:solidFill>
                    <w14:schemeClr w14:val="tx1"/>
                  </w14:solidFill>
                </w14:textFill>
              </w:rPr>
              <w:t>7.2营运期环境影响分析</w:t>
            </w:r>
            <w:bookmarkEnd w:id="34"/>
            <w:r>
              <w:rPr>
                <w:color w:val="000000" w:themeColor="text1"/>
                <w14:textFill>
                  <w14:solidFill>
                    <w14:schemeClr w14:val="tx1"/>
                  </w14:solidFill>
                </w14:textFill>
              </w:rPr>
              <w:t>及污染防治措施</w:t>
            </w:r>
          </w:p>
          <w:p>
            <w:pPr>
              <w:pStyle w:val="4"/>
              <w:rPr>
                <w:color w:val="000000" w:themeColor="text1"/>
                <w14:textFill>
                  <w14:solidFill>
                    <w14:schemeClr w14:val="tx1"/>
                  </w14:solidFill>
                </w14:textFill>
              </w:rPr>
            </w:pPr>
            <w:bookmarkStart w:id="35" w:name="_Toc287535139"/>
            <w:bookmarkStart w:id="36" w:name="_Toc287535138"/>
            <w:r>
              <w:rPr>
                <w:rFonts w:hint="eastAsia"/>
                <w:color w:val="000000" w:themeColor="text1"/>
                <w14:textFill>
                  <w14:solidFill>
                    <w14:schemeClr w14:val="tx1"/>
                  </w14:solidFill>
                </w14:textFill>
              </w:rPr>
              <w:t>7.2.1 大气环境</w:t>
            </w:r>
            <w:r>
              <w:rPr>
                <w:color w:val="000000" w:themeColor="text1"/>
                <w14:textFill>
                  <w14:solidFill>
                    <w14:schemeClr w14:val="tx1"/>
                  </w14:solidFill>
                </w14:textFill>
              </w:rPr>
              <w:t>影响分析</w:t>
            </w:r>
            <w:bookmarkEnd w:id="35"/>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本项目营运期废气污染源主要为油罐大小呼吸、油罐车卸油、加油作业等过程挥发的油气（非甲烷总烃）、柴油发电机运行时产生的废气及进出加油站的车辆排放的尾气。</w:t>
            </w:r>
          </w:p>
          <w:p>
            <w:pPr>
              <w:pStyle w:val="5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（1）污染源核算</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汽车尾气中主要成份为CO、NO</w:t>
            </w:r>
            <w:r>
              <w:rPr>
                <w:rFonts w:hint="eastAsia"/>
                <w:color w:val="000000" w:themeColor="text1"/>
                <w:vertAlign w:val="subscript"/>
                <w14:textFill>
                  <w14:solidFill>
                    <w14:schemeClr w14:val="tx1"/>
                  </w14:solidFill>
                </w14:textFill>
              </w:rPr>
              <w:t>X</w:t>
            </w:r>
            <w:r>
              <w:rPr>
                <w:rFonts w:hint="eastAsia"/>
                <w:color w:val="000000" w:themeColor="text1"/>
                <w14:textFill>
                  <w14:solidFill>
                    <w14:schemeClr w14:val="tx1"/>
                  </w14:solidFill>
                </w14:textFill>
              </w:rPr>
              <w:t>和总碳氢化合物（THC），它们的浓度与汽车行驶条件有很大关系，难以定量计算；</w:t>
            </w:r>
            <w:r>
              <w:rPr>
                <w:color w:val="000000" w:themeColor="text1"/>
                <w14:textFill>
                  <w14:solidFill>
                    <w14:schemeClr w14:val="tx1"/>
                  </w14:solidFill>
                </w14:textFill>
              </w:rPr>
              <w:t>备用柴油发电机</w:t>
            </w:r>
            <w:r>
              <w:rPr>
                <w:rFonts w:hint="eastAsia"/>
                <w:color w:val="000000" w:themeColor="text1"/>
                <w14:textFill>
                  <w14:solidFill>
                    <w14:schemeClr w14:val="tx1"/>
                  </w14:solidFill>
                </w14:textFill>
              </w:rPr>
              <w:t>尾气</w:t>
            </w:r>
            <w:r>
              <w:rPr>
                <w:color w:val="000000" w:themeColor="text1"/>
                <w14:textFill>
                  <w14:solidFill>
                    <w14:schemeClr w14:val="tx1"/>
                  </w14:solidFill>
                </w14:textFill>
              </w:rPr>
              <w:t>中的主要污染物为SO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X</w:t>
            </w:r>
            <w:r>
              <w:rPr>
                <w:color w:val="000000" w:themeColor="text1"/>
                <w14:textFill>
                  <w14:solidFill>
                    <w14:schemeClr w14:val="tx1"/>
                  </w14:solidFill>
                </w14:textFill>
              </w:rPr>
              <w:t>和烟尘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发电机只是作为项目应急电源，</w:t>
            </w:r>
            <w:r>
              <w:rPr>
                <w:rFonts w:hint="eastAsia"/>
                <w:color w:val="000000" w:themeColor="text1"/>
                <w14:textFill>
                  <w14:solidFill>
                    <w14:schemeClr w14:val="tx1"/>
                  </w14:solidFill>
                </w14:textFill>
              </w:rPr>
              <w:t>运行时间较短，产生的污染物较少，不进行定量计算。</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加油站在加油和卸油口各安装一套油气回收系统</w:t>
            </w:r>
            <w:r>
              <w:rPr>
                <w:rFonts w:hint="eastAsia"/>
                <w:color w:val="000000" w:themeColor="text1"/>
                <w:u w:val="single"/>
                <w14:textFill>
                  <w14:solidFill>
                    <w14:schemeClr w14:val="tx1"/>
                  </w14:solidFill>
                </w14:textFill>
              </w:rPr>
              <w:t>（卸油口对柴油及汽油进行回收，加油时仅对汽油进行回收）</w:t>
            </w:r>
            <w:r>
              <w:rPr>
                <w:color w:val="000000" w:themeColor="text1"/>
                <w14:textFill>
                  <w14:solidFill>
                    <w14:schemeClr w14:val="tx1"/>
                  </w14:solidFill>
                </w14:textFill>
              </w:rPr>
              <w:t>，油罐车在加油站装卸油料时，可将部分逃逸的气体用导管重新输送回油罐车里，完成油气循环卸油过程。回收到油罐车的油气，可由油罐车带回油库后再经冷凝、吸附或燃烧等方式处理，这一系统实施后其回收率可达</w:t>
            </w:r>
            <w:r>
              <w:rPr>
                <w:rFonts w:hint="eastAsia"/>
                <w:color w:val="000000" w:themeColor="text1"/>
                <w14:textFill>
                  <w14:solidFill>
                    <w14:schemeClr w14:val="tx1"/>
                  </w14:solidFill>
                </w14:textFill>
              </w:rPr>
              <w:t>95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本加油站运行过程中油气产生及排放情况如下表所示。</w:t>
            </w:r>
          </w:p>
          <w:p>
            <w:pPr>
              <w:pStyle w:val="88"/>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表7-3  加油站油气损耗量一览表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134"/>
              <w:gridCol w:w="1276"/>
              <w:gridCol w:w="1275"/>
              <w:gridCol w:w="1134"/>
              <w:gridCol w:w="1418"/>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项目</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年消耗量</w:t>
                  </w:r>
                </w:p>
              </w:tc>
              <w:tc>
                <w:tcPr>
                  <w:tcW w:w="1276"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损耗率</w:t>
                  </w:r>
                </w:p>
              </w:tc>
              <w:tc>
                <w:tcPr>
                  <w:tcW w:w="127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油气挥发量</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回收系统</w:t>
                  </w:r>
                </w:p>
              </w:tc>
              <w:tc>
                <w:tcPr>
                  <w:tcW w:w="141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回收效率</w:t>
                  </w:r>
                </w:p>
              </w:tc>
              <w:tc>
                <w:tcPr>
                  <w:tcW w:w="2202"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油气年排放量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74" w:type="dxa"/>
                  <w:gridSpan w:val="7"/>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卸油油气损耗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汽油</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3000</w:t>
                  </w:r>
                </w:p>
              </w:tc>
              <w:tc>
                <w:tcPr>
                  <w:tcW w:w="1276"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0.23%</w:t>
                  </w:r>
                  <w:r>
                    <w:rPr>
                      <w:rFonts w:hint="eastAsia"/>
                      <w:color w:val="000000" w:themeColor="text1"/>
                      <w:u w:val="single"/>
                      <w:vertAlign w:val="superscript"/>
                      <w14:textFill>
                        <w14:solidFill>
                          <w14:schemeClr w14:val="tx1"/>
                        </w14:solidFill>
                      </w14:textFill>
                    </w:rPr>
                    <w:t>①</w:t>
                  </w:r>
                </w:p>
              </w:tc>
              <w:tc>
                <w:tcPr>
                  <w:tcW w:w="1275"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6.9t/a</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一次</w:t>
                  </w:r>
                </w:p>
              </w:tc>
              <w:tc>
                <w:tcPr>
                  <w:tcW w:w="141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95%</w:t>
                  </w:r>
                  <w:r>
                    <w:rPr>
                      <w:rFonts w:hint="eastAsia"/>
                      <w:color w:val="000000" w:themeColor="text1"/>
                      <w:u w:val="single"/>
                      <w:vertAlign w:val="superscript"/>
                      <w14:textFill>
                        <w14:solidFill>
                          <w14:schemeClr w14:val="tx1"/>
                        </w14:solidFill>
                      </w14:textFill>
                    </w:rPr>
                    <w:t>②</w:t>
                  </w:r>
                </w:p>
              </w:tc>
              <w:tc>
                <w:tcPr>
                  <w:tcW w:w="2202"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0.345t/a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柴油</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1000</w:t>
                  </w:r>
                </w:p>
              </w:tc>
              <w:tc>
                <w:tcPr>
                  <w:tcW w:w="127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0.05%</w:t>
                  </w:r>
                  <w:r>
                    <w:rPr>
                      <w:rFonts w:hint="eastAsia"/>
                      <w:color w:val="000000" w:themeColor="text1"/>
                      <w:u w:val="single"/>
                      <w:vertAlign w:val="superscript"/>
                      <w14:textFill>
                        <w14:solidFill>
                          <w14:schemeClr w14:val="tx1"/>
                        </w14:solidFill>
                      </w14:textFill>
                    </w:rPr>
                    <w:t>①</w:t>
                  </w:r>
                </w:p>
              </w:tc>
              <w:tc>
                <w:tcPr>
                  <w:tcW w:w="1275"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0.5t/a</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一次</w:t>
                  </w:r>
                </w:p>
              </w:tc>
              <w:tc>
                <w:tcPr>
                  <w:tcW w:w="141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95%</w:t>
                  </w:r>
                  <w:r>
                    <w:rPr>
                      <w:rFonts w:hint="eastAsia"/>
                      <w:color w:val="000000" w:themeColor="text1"/>
                      <w:u w:val="single"/>
                      <w:vertAlign w:val="superscript"/>
                      <w14:textFill>
                        <w14:solidFill>
                          <w14:schemeClr w14:val="tx1"/>
                        </w14:solidFill>
                      </w14:textFill>
                    </w:rPr>
                    <w:t>②</w:t>
                  </w:r>
                </w:p>
              </w:tc>
              <w:tc>
                <w:tcPr>
                  <w:tcW w:w="2202"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0.025t/a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74" w:type="dxa"/>
                  <w:gridSpan w:val="7"/>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贮存油气损耗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汽油</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3000</w:t>
                  </w:r>
                </w:p>
              </w:tc>
              <w:tc>
                <w:tcPr>
                  <w:tcW w:w="127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0.01%</w:t>
                  </w:r>
                  <w:r>
                    <w:rPr>
                      <w:rFonts w:hint="eastAsia"/>
                      <w:color w:val="000000" w:themeColor="text1"/>
                      <w:u w:val="single"/>
                      <w:vertAlign w:val="superscript"/>
                      <w14:textFill>
                        <w14:solidFill>
                          <w14:schemeClr w14:val="tx1"/>
                        </w14:solidFill>
                      </w14:textFill>
                    </w:rPr>
                    <w:t>①</w:t>
                  </w:r>
                </w:p>
              </w:tc>
              <w:tc>
                <w:tcPr>
                  <w:tcW w:w="127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0.3t/a</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无</w:t>
                  </w:r>
                </w:p>
              </w:tc>
              <w:tc>
                <w:tcPr>
                  <w:tcW w:w="141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p>
              </w:tc>
              <w:tc>
                <w:tcPr>
                  <w:tcW w:w="2202"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柴油</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1000</w:t>
                  </w:r>
                </w:p>
              </w:tc>
              <w:tc>
                <w:tcPr>
                  <w:tcW w:w="127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0.01%</w:t>
                  </w:r>
                  <w:r>
                    <w:rPr>
                      <w:rFonts w:hint="eastAsia"/>
                      <w:color w:val="000000" w:themeColor="text1"/>
                      <w:u w:val="single"/>
                      <w:vertAlign w:val="superscript"/>
                      <w14:textFill>
                        <w14:solidFill>
                          <w14:schemeClr w14:val="tx1"/>
                        </w14:solidFill>
                      </w14:textFill>
                    </w:rPr>
                    <w:t>①</w:t>
                  </w:r>
                </w:p>
              </w:tc>
              <w:tc>
                <w:tcPr>
                  <w:tcW w:w="127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0.1t/a</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无</w:t>
                  </w:r>
                </w:p>
              </w:tc>
              <w:tc>
                <w:tcPr>
                  <w:tcW w:w="141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p>
              </w:tc>
              <w:tc>
                <w:tcPr>
                  <w:tcW w:w="2202"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74" w:type="dxa"/>
                  <w:gridSpan w:val="7"/>
                  <w:vAlign w:val="center"/>
                </w:tcPr>
                <w:p>
                  <w:pPr>
                    <w:pStyle w:val="79"/>
                    <w:rPr>
                      <w:color w:val="000000" w:themeColor="text1"/>
                      <w:u w:val="single"/>
                      <w14:textFill>
                        <w14:solidFill>
                          <w14:schemeClr w14:val="tx1"/>
                        </w14:solidFill>
                      </w14:textFill>
                    </w:rPr>
                  </w:pPr>
                  <w:r>
                    <w:rPr>
                      <w:rFonts w:hint="eastAsia" w:ascii="宋体" w:cs="宋体"/>
                      <w:color w:val="000000" w:themeColor="text1"/>
                      <w:kern w:val="0"/>
                      <w:szCs w:val="21"/>
                      <w:u w:val="single"/>
                      <w14:textFill>
                        <w14:solidFill>
                          <w14:schemeClr w14:val="tx1"/>
                        </w14:solidFill>
                      </w14:textFill>
                    </w:rPr>
                    <w:t>加油油气损耗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汽油</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3000</w:t>
                  </w:r>
                </w:p>
              </w:tc>
              <w:tc>
                <w:tcPr>
                  <w:tcW w:w="127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0.29%</w:t>
                  </w:r>
                  <w:r>
                    <w:rPr>
                      <w:rFonts w:hint="eastAsia"/>
                      <w:color w:val="000000" w:themeColor="text1"/>
                      <w:u w:val="single"/>
                      <w:vertAlign w:val="superscript"/>
                      <w14:textFill>
                        <w14:solidFill>
                          <w14:schemeClr w14:val="tx1"/>
                        </w14:solidFill>
                      </w14:textFill>
                    </w:rPr>
                    <w:t>①</w:t>
                  </w:r>
                </w:p>
              </w:tc>
              <w:tc>
                <w:tcPr>
                  <w:tcW w:w="127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8.7t/a</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二次</w:t>
                  </w:r>
                </w:p>
              </w:tc>
              <w:tc>
                <w:tcPr>
                  <w:tcW w:w="141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95%</w:t>
                  </w:r>
                  <w:r>
                    <w:rPr>
                      <w:rFonts w:hint="eastAsia"/>
                      <w:color w:val="000000" w:themeColor="text1"/>
                      <w:u w:val="single"/>
                      <w:vertAlign w:val="superscript"/>
                      <w14:textFill>
                        <w14:solidFill>
                          <w14:schemeClr w14:val="tx1"/>
                        </w14:solidFill>
                      </w14:textFill>
                    </w:rPr>
                    <w:t>②</w:t>
                  </w:r>
                </w:p>
              </w:tc>
              <w:tc>
                <w:tcPr>
                  <w:tcW w:w="2202"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0.435t/a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3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柴油</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1000</w:t>
                  </w:r>
                </w:p>
              </w:tc>
              <w:tc>
                <w:tcPr>
                  <w:tcW w:w="1276"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0.08%</w:t>
                  </w:r>
                  <w:r>
                    <w:rPr>
                      <w:rFonts w:hint="eastAsia"/>
                      <w:color w:val="000000" w:themeColor="text1"/>
                      <w:u w:val="single"/>
                      <w:vertAlign w:val="superscript"/>
                      <w14:textFill>
                        <w14:solidFill>
                          <w14:schemeClr w14:val="tx1"/>
                        </w14:solidFill>
                      </w14:textFill>
                    </w:rPr>
                    <w:t>①</w:t>
                  </w:r>
                </w:p>
              </w:tc>
              <w:tc>
                <w:tcPr>
                  <w:tcW w:w="127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0.8t/a</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无</w:t>
                  </w:r>
                </w:p>
              </w:tc>
              <w:tc>
                <w:tcPr>
                  <w:tcW w:w="141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p>
              </w:tc>
              <w:tc>
                <w:tcPr>
                  <w:tcW w:w="2202"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Merge w:val="restar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合计</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p>
              </w:tc>
              <w:tc>
                <w:tcPr>
                  <w:tcW w:w="1276"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p>
              </w:tc>
              <w:tc>
                <w:tcPr>
                  <w:tcW w:w="127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17.3t/a</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p>
              </w:tc>
              <w:tc>
                <w:tcPr>
                  <w:tcW w:w="141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p>
              </w:tc>
              <w:tc>
                <w:tcPr>
                  <w:tcW w:w="2202"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2.005t/a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Merge w:val="continue"/>
                  <w:vAlign w:val="center"/>
                </w:tcPr>
                <w:p>
                  <w:pPr>
                    <w:pStyle w:val="79"/>
                    <w:rPr>
                      <w:color w:val="000000" w:themeColor="text1"/>
                      <w:u w:val="single"/>
                      <w14:textFill>
                        <w14:solidFill>
                          <w14:schemeClr w14:val="tx1"/>
                        </w14:solidFill>
                      </w14:textFill>
                    </w:rPr>
                  </w:pPr>
                </w:p>
              </w:tc>
              <w:tc>
                <w:tcPr>
                  <w:tcW w:w="8439" w:type="dxa"/>
                  <w:gridSpan w:val="6"/>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汽油油气排放量：0.345+0.3+0.435=1.08t/a；</w:t>
                  </w:r>
                </w:p>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柴油油气排放量：0.025+0.1+0.8=0.925t/a。</w:t>
                  </w:r>
                </w:p>
              </w:tc>
            </w:tr>
          </w:tbl>
          <w:p>
            <w:pPr>
              <w:pStyle w:val="54"/>
              <w:spacing w:before="156" w:beforeLines="50"/>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（2）评价等级及评价范围确定</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①评价因子及评价标准</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7-4</w:t>
            </w:r>
            <w:r>
              <w:rPr>
                <w:color w:val="000000" w:themeColor="text1"/>
                <w14:textFill>
                  <w14:solidFill>
                    <w14:schemeClr w14:val="tx1"/>
                  </w14:solidFill>
                </w14:textFill>
              </w:rPr>
              <w:t xml:space="preserve">  评价因子和评价标准表</w:t>
            </w:r>
          </w:p>
          <w:tbl>
            <w:tblPr>
              <w:tblStyle w:val="28"/>
              <w:tblW w:w="93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51"/>
              <w:gridCol w:w="1559"/>
              <w:gridCol w:w="1701"/>
              <w:gridCol w:w="41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评价因子</w:t>
                  </w:r>
                </w:p>
              </w:tc>
              <w:tc>
                <w:tcPr>
                  <w:tcW w:w="155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评价时段</w:t>
                  </w:r>
                </w:p>
              </w:tc>
              <w:tc>
                <w:tcPr>
                  <w:tcW w:w="1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标准值（μg/m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c>
                <w:tcPr>
                  <w:tcW w:w="413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155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一次值</w:t>
                  </w:r>
                </w:p>
              </w:tc>
              <w:tc>
                <w:tcPr>
                  <w:tcW w:w="1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200</w:t>
                  </w:r>
                  <w:r>
                    <w:rPr>
                      <w:rFonts w:hint="eastAsia"/>
                      <w:color w:val="000000" w:themeColor="text1"/>
                      <w14:textFill>
                        <w14:solidFill>
                          <w14:schemeClr w14:val="tx1"/>
                        </w14:solidFill>
                      </w14:textFill>
                    </w:rPr>
                    <w:t>0</w:t>
                  </w:r>
                </w:p>
              </w:tc>
              <w:tc>
                <w:tcPr>
                  <w:tcW w:w="413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《大气污染物综合排放标准详解》</w:t>
                  </w:r>
                  <w:r>
                    <w:rPr>
                      <w:color w:val="000000" w:themeColor="text1"/>
                      <w14:textFill>
                        <w14:solidFill>
                          <w14:schemeClr w14:val="tx1"/>
                        </w14:solidFill>
                      </w14:textFill>
                    </w:rPr>
                    <w:t>（参考）</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②估算模型和参数选择</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本次评价采用《环境影响评价技术导则 大气环境》（HJ2.2-2018）中推荐模式清单中的估算模型AERSCREEN，判定评价等级及评价范围。估算模型参数选择详见下表。</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表7-5  估算模型参数表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5"/>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33"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参数</w:t>
                  </w:r>
                </w:p>
              </w:tc>
              <w:tc>
                <w:tcPr>
                  <w:tcW w:w="166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城市/农村选项</w:t>
                  </w:r>
                </w:p>
              </w:tc>
              <w:tc>
                <w:tcPr>
                  <w:tcW w:w="166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城市/农村</w:t>
                  </w:r>
                </w:p>
              </w:tc>
              <w:tc>
                <w:tcPr>
                  <w:tcW w:w="166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Merge w:val="continue"/>
                  <w:vAlign w:val="center"/>
                </w:tcPr>
                <w:p>
                  <w:pPr>
                    <w:pStyle w:val="79"/>
                    <w:rPr>
                      <w:color w:val="000000" w:themeColor="text1"/>
                      <w14:textFill>
                        <w14:solidFill>
                          <w14:schemeClr w14:val="tx1"/>
                        </w14:solidFill>
                      </w14:textFill>
                    </w:rPr>
                  </w:pPr>
                </w:p>
              </w:tc>
              <w:tc>
                <w:tcPr>
                  <w:tcW w:w="166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人口数（城市选项时）</w:t>
                  </w:r>
                </w:p>
              </w:tc>
              <w:tc>
                <w:tcPr>
                  <w:tcW w:w="166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33"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最高环境温度/℃</w:t>
                  </w:r>
                </w:p>
              </w:tc>
              <w:tc>
                <w:tcPr>
                  <w:tcW w:w="166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33"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最低环境温度/℃</w:t>
                  </w:r>
                </w:p>
              </w:tc>
              <w:tc>
                <w:tcPr>
                  <w:tcW w:w="166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33"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土地利用类型</w:t>
                  </w:r>
                </w:p>
              </w:tc>
              <w:tc>
                <w:tcPr>
                  <w:tcW w:w="166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33"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区域湿度条件</w:t>
                  </w:r>
                </w:p>
              </w:tc>
              <w:tc>
                <w:tcPr>
                  <w:tcW w:w="166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湿润区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是否考虑地形</w:t>
                  </w:r>
                </w:p>
              </w:tc>
              <w:tc>
                <w:tcPr>
                  <w:tcW w:w="166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考虑地形</w:t>
                  </w:r>
                </w:p>
              </w:tc>
              <w:tc>
                <w:tcPr>
                  <w:tcW w:w="166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□是  </w:t>
                  </w:r>
                  <w:r>
                    <w:rPr>
                      <w:rFonts w:hint="eastAsia"/>
                      <w:color w:val="000000" w:themeColor="text1"/>
                      <w14:textFill>
                        <w14:solidFill>
                          <w14:schemeClr w14:val="tx1"/>
                        </w14:solidFill>
                      </w14:textFill>
                    </w:rPr>
                    <w:sym w:font="Wingdings 2" w:char="F050"/>
                  </w:r>
                  <w:r>
                    <w:rPr>
                      <w:rFonts w:hint="eastAsia"/>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Merge w:val="continue"/>
                  <w:vAlign w:val="center"/>
                </w:tcPr>
                <w:p>
                  <w:pPr>
                    <w:pStyle w:val="79"/>
                    <w:rPr>
                      <w:color w:val="000000" w:themeColor="text1"/>
                      <w14:textFill>
                        <w14:solidFill>
                          <w14:schemeClr w14:val="tx1"/>
                        </w14:solidFill>
                      </w14:textFill>
                    </w:rPr>
                  </w:pPr>
                </w:p>
              </w:tc>
              <w:tc>
                <w:tcPr>
                  <w:tcW w:w="166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地形数据分辨率/m</w:t>
                  </w:r>
                </w:p>
              </w:tc>
              <w:tc>
                <w:tcPr>
                  <w:tcW w:w="166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是否考虑岸线熏烟</w:t>
                  </w:r>
                </w:p>
              </w:tc>
              <w:tc>
                <w:tcPr>
                  <w:tcW w:w="166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考虑岸线熏烟</w:t>
                  </w:r>
                </w:p>
              </w:tc>
              <w:tc>
                <w:tcPr>
                  <w:tcW w:w="166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□是  </w:t>
                  </w:r>
                  <w:r>
                    <w:rPr>
                      <w:rFonts w:hint="eastAsia"/>
                      <w:color w:val="000000" w:themeColor="text1"/>
                      <w14:textFill>
                        <w14:solidFill>
                          <w14:schemeClr w14:val="tx1"/>
                        </w14:solidFill>
                      </w14:textFill>
                    </w:rPr>
                    <w:sym w:font="Wingdings 2" w:char="F050"/>
                  </w:r>
                  <w:r>
                    <w:rPr>
                      <w:rFonts w:hint="eastAsia"/>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Merge w:val="continue"/>
                  <w:vAlign w:val="center"/>
                </w:tcPr>
                <w:p>
                  <w:pPr>
                    <w:pStyle w:val="79"/>
                    <w:rPr>
                      <w:color w:val="000000" w:themeColor="text1"/>
                      <w14:textFill>
                        <w14:solidFill>
                          <w14:schemeClr w14:val="tx1"/>
                        </w14:solidFill>
                      </w14:textFill>
                    </w:rPr>
                  </w:pPr>
                </w:p>
              </w:tc>
              <w:tc>
                <w:tcPr>
                  <w:tcW w:w="166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岸线距离/km</w:t>
                  </w:r>
                </w:p>
              </w:tc>
              <w:tc>
                <w:tcPr>
                  <w:tcW w:w="166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Merge w:val="continue"/>
                  <w:vAlign w:val="center"/>
                </w:tcPr>
                <w:p>
                  <w:pPr>
                    <w:pStyle w:val="79"/>
                    <w:rPr>
                      <w:color w:val="000000" w:themeColor="text1"/>
                      <w14:textFill>
                        <w14:solidFill>
                          <w14:schemeClr w14:val="tx1"/>
                        </w14:solidFill>
                      </w14:textFill>
                    </w:rPr>
                  </w:pPr>
                </w:p>
              </w:tc>
              <w:tc>
                <w:tcPr>
                  <w:tcW w:w="166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岸线方向/°</w:t>
                  </w:r>
                </w:p>
              </w:tc>
              <w:tc>
                <w:tcPr>
                  <w:tcW w:w="166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表7-6  面源参数表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083"/>
              <w:gridCol w:w="961"/>
              <w:gridCol w:w="1124"/>
              <w:gridCol w:w="1442"/>
              <w:gridCol w:w="1124"/>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5"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面源名称</w:t>
                  </w:r>
                </w:p>
              </w:tc>
              <w:tc>
                <w:tcPr>
                  <w:tcW w:w="1114"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面源中心坐标</w:t>
                  </w:r>
                </w:p>
                <w:p>
                  <w:pPr>
                    <w:pStyle w:val="79"/>
                    <w:rPr>
                      <w:color w:val="000000" w:themeColor="text1"/>
                      <w14:textFill>
                        <w14:solidFill>
                          <w14:schemeClr w14:val="tx1"/>
                        </w14:solidFill>
                      </w14:textFill>
                    </w:rPr>
                  </w:pPr>
                  <w:r>
                    <w:rPr>
                      <w:color w:val="000000" w:themeColor="text1"/>
                      <w14:textFill>
                        <w14:solidFill>
                          <w14:schemeClr w14:val="tx1"/>
                        </w14:solidFill>
                      </w14:textFill>
                    </w:rPr>
                    <w:t>（经纬度）</w:t>
                  </w:r>
                </w:p>
              </w:tc>
              <w:tc>
                <w:tcPr>
                  <w:tcW w:w="514"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面源长度（m）</w:t>
                  </w:r>
                </w:p>
              </w:tc>
              <w:tc>
                <w:tcPr>
                  <w:tcW w:w="601"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面源宽度（m）</w:t>
                  </w:r>
                </w:p>
              </w:tc>
              <w:tc>
                <w:tcPr>
                  <w:tcW w:w="771"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面源有效排放高度（m）</w:t>
                  </w:r>
                </w:p>
              </w:tc>
              <w:tc>
                <w:tcPr>
                  <w:tcW w:w="601"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年排放h数（h）</w:t>
                  </w:r>
                </w:p>
              </w:tc>
              <w:tc>
                <w:tcPr>
                  <w:tcW w:w="97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排放速率（g/s）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5" w:type="pct"/>
                  <w:vMerge w:val="continue"/>
                  <w:vAlign w:val="center"/>
                </w:tcPr>
                <w:p>
                  <w:pPr>
                    <w:pStyle w:val="79"/>
                    <w:rPr>
                      <w:color w:val="000000" w:themeColor="text1"/>
                      <w14:textFill>
                        <w14:solidFill>
                          <w14:schemeClr w14:val="tx1"/>
                        </w14:solidFill>
                      </w14:textFill>
                    </w:rPr>
                  </w:pPr>
                </w:p>
              </w:tc>
              <w:tc>
                <w:tcPr>
                  <w:tcW w:w="1114" w:type="pct"/>
                  <w:vMerge w:val="continue"/>
                  <w:vAlign w:val="center"/>
                </w:tcPr>
                <w:p>
                  <w:pPr>
                    <w:pStyle w:val="79"/>
                    <w:rPr>
                      <w:color w:val="000000" w:themeColor="text1"/>
                      <w14:textFill>
                        <w14:solidFill>
                          <w14:schemeClr w14:val="tx1"/>
                        </w14:solidFill>
                      </w14:textFill>
                    </w:rPr>
                  </w:pPr>
                </w:p>
              </w:tc>
              <w:tc>
                <w:tcPr>
                  <w:tcW w:w="514" w:type="pct"/>
                  <w:vMerge w:val="continue"/>
                  <w:vAlign w:val="center"/>
                </w:tcPr>
                <w:p>
                  <w:pPr>
                    <w:pStyle w:val="79"/>
                    <w:rPr>
                      <w:color w:val="000000" w:themeColor="text1"/>
                      <w14:textFill>
                        <w14:solidFill>
                          <w14:schemeClr w14:val="tx1"/>
                        </w14:solidFill>
                      </w14:textFill>
                    </w:rPr>
                  </w:pPr>
                </w:p>
              </w:tc>
              <w:tc>
                <w:tcPr>
                  <w:tcW w:w="601" w:type="pct"/>
                  <w:vMerge w:val="continue"/>
                  <w:vAlign w:val="center"/>
                </w:tcPr>
                <w:p>
                  <w:pPr>
                    <w:pStyle w:val="79"/>
                    <w:rPr>
                      <w:color w:val="000000" w:themeColor="text1"/>
                      <w14:textFill>
                        <w14:solidFill>
                          <w14:schemeClr w14:val="tx1"/>
                        </w14:solidFill>
                      </w14:textFill>
                    </w:rPr>
                  </w:pPr>
                </w:p>
              </w:tc>
              <w:tc>
                <w:tcPr>
                  <w:tcW w:w="771" w:type="pct"/>
                  <w:vMerge w:val="continue"/>
                  <w:vAlign w:val="center"/>
                </w:tcPr>
                <w:p>
                  <w:pPr>
                    <w:pStyle w:val="79"/>
                    <w:rPr>
                      <w:color w:val="000000" w:themeColor="text1"/>
                      <w14:textFill>
                        <w14:solidFill>
                          <w14:schemeClr w14:val="tx1"/>
                        </w14:solidFill>
                      </w14:textFill>
                    </w:rPr>
                  </w:pPr>
                </w:p>
              </w:tc>
              <w:tc>
                <w:tcPr>
                  <w:tcW w:w="601" w:type="pct"/>
                  <w:vMerge w:val="continue"/>
                  <w:vAlign w:val="center"/>
                </w:tcPr>
                <w:p>
                  <w:pPr>
                    <w:pStyle w:val="79"/>
                    <w:rPr>
                      <w:color w:val="000000" w:themeColor="text1"/>
                      <w14:textFill>
                        <w14:solidFill>
                          <w14:schemeClr w14:val="tx1"/>
                        </w14:solidFill>
                      </w14:textFill>
                    </w:rPr>
                  </w:pPr>
                </w:p>
              </w:tc>
              <w:tc>
                <w:tcPr>
                  <w:tcW w:w="97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w:t>
                  </w:r>
                </w:p>
              </w:tc>
              <w:tc>
                <w:tcPr>
                  <w:tcW w:w="111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E：</w:t>
                  </w:r>
                  <w:r>
                    <w:rPr>
                      <w:color w:val="000000" w:themeColor="text1"/>
                      <w14:textFill>
                        <w14:solidFill>
                          <w14:schemeClr w14:val="tx1"/>
                        </w14:solidFill>
                      </w14:textFill>
                    </w:rPr>
                    <w:t>112.069956540</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w:t>
                  </w:r>
                  <w:r>
                    <w:rPr>
                      <w:color w:val="000000" w:themeColor="text1"/>
                      <w14:textFill>
                        <w14:solidFill>
                          <w14:schemeClr w14:val="tx1"/>
                        </w14:solidFill>
                      </w14:textFill>
                    </w:rPr>
                    <w:t>26.795071114</w:t>
                  </w:r>
                </w:p>
              </w:tc>
              <w:tc>
                <w:tcPr>
                  <w:tcW w:w="51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60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77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01"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8760</w:t>
                  </w:r>
                </w:p>
              </w:tc>
              <w:tc>
                <w:tcPr>
                  <w:tcW w:w="973"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0.064</w:t>
                  </w:r>
                </w:p>
              </w:tc>
            </w:tr>
          </w:tbl>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表7-7  无组织排放估算模型计算结果表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下风向距离（m）</w:t>
                  </w:r>
                </w:p>
              </w:tc>
              <w:tc>
                <w:tcPr>
                  <w:tcW w:w="3332"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pct"/>
                  <w:vMerge w:val="continue"/>
                  <w:vAlign w:val="center"/>
                </w:tcPr>
                <w:p>
                  <w:pPr>
                    <w:pStyle w:val="79"/>
                    <w:rPr>
                      <w:color w:val="000000" w:themeColor="text1"/>
                      <w14:textFill>
                        <w14:solidFill>
                          <w14:schemeClr w14:val="tx1"/>
                        </w14:solidFill>
                      </w14:textFill>
                    </w:rPr>
                  </w:pPr>
                </w:p>
              </w:tc>
              <w:tc>
                <w:tcPr>
                  <w:tcW w:w="166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浓度（</w:t>
                  </w:r>
                  <w:r>
                    <w:rPr>
                      <w:color w:val="000000" w:themeColor="text1"/>
                      <w14:textFill>
                        <w14:solidFill>
                          <w14:schemeClr w14:val="tx1"/>
                        </w14:solidFill>
                      </w14:textFill>
                    </w:rPr>
                    <w:t>μ</w:t>
                  </w:r>
                  <w:r>
                    <w:rPr>
                      <w:rFonts w:hint="eastAsia"/>
                      <w:color w:val="000000" w:themeColor="text1"/>
                      <w14:textFill>
                        <w14:solidFill>
                          <w14:schemeClr w14:val="tx1"/>
                        </w14:solidFill>
                      </w14:textFill>
                    </w:rPr>
                    <w:t>g/m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p>
              </w:tc>
              <w:tc>
                <w:tcPr>
                  <w:tcW w:w="166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浓度占标率（%）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1666" w:type="pct"/>
                  <w:vAlign w:val="center"/>
                </w:tcPr>
                <w:p>
                  <w:pPr>
                    <w:pStyle w:val="79"/>
                    <w:rPr>
                      <w:rFonts w:ascii="宋体" w:hAnsi="宋体" w:cs="宋体"/>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448.6</w:t>
                  </w:r>
                </w:p>
              </w:tc>
              <w:tc>
                <w:tcPr>
                  <w:tcW w:w="1666" w:type="pct"/>
                  <w:vAlign w:val="center"/>
                </w:tcPr>
                <w:p>
                  <w:pPr>
                    <w:pStyle w:val="79"/>
                    <w:rPr>
                      <w:rFonts w:ascii="宋体" w:hAnsi="宋体" w:cs="宋体"/>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pct"/>
                  <w:shd w:val="clear" w:color="auto" w:fill="C3BD96" w:themeFill="background2" w:themeFillShade="BF"/>
                  <w:vAlign w:val="center"/>
                </w:tcPr>
                <w:p>
                  <w:pPr>
                    <w:pStyle w:val="79"/>
                    <w:rPr>
                      <w:b/>
                      <w:color w:val="000000" w:themeColor="text1"/>
                      <w14:textFill>
                        <w14:solidFill>
                          <w14:schemeClr w14:val="tx1"/>
                        </w14:solidFill>
                      </w14:textFill>
                    </w:rPr>
                  </w:pPr>
                  <w:r>
                    <w:rPr>
                      <w:rFonts w:hint="eastAsia"/>
                      <w:b/>
                      <w:color w:val="000000" w:themeColor="text1"/>
                      <w14:textFill>
                        <w14:solidFill>
                          <w14:schemeClr w14:val="tx1"/>
                        </w14:solidFill>
                      </w14:textFill>
                    </w:rPr>
                    <w:t>41</w:t>
                  </w:r>
                </w:p>
              </w:tc>
              <w:tc>
                <w:tcPr>
                  <w:tcW w:w="1666" w:type="pct"/>
                  <w:shd w:val="clear" w:color="auto" w:fill="C3BD96" w:themeFill="background2" w:themeFillShade="BF"/>
                  <w:vAlign w:val="center"/>
                </w:tcPr>
                <w:p>
                  <w:pPr>
                    <w:pStyle w:val="79"/>
                    <w:rPr>
                      <w:rFonts w:ascii="宋体" w:hAnsi="宋体" w:cs="宋体"/>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482.6</w:t>
                  </w:r>
                </w:p>
              </w:tc>
              <w:tc>
                <w:tcPr>
                  <w:tcW w:w="1666" w:type="pct"/>
                  <w:shd w:val="clear" w:color="auto" w:fill="C3BD96" w:themeFill="background2" w:themeFillShade="BF"/>
                  <w:vAlign w:val="center"/>
                </w:tcPr>
                <w:p>
                  <w:pPr>
                    <w:pStyle w:val="79"/>
                    <w:rPr>
                      <w:rFonts w:ascii="宋体" w:hAnsi="宋体" w:cs="宋体"/>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1666" w:type="pct"/>
                  <w:vAlign w:val="center"/>
                </w:tcPr>
                <w:p>
                  <w:pPr>
                    <w:pStyle w:val="79"/>
                    <w:rPr>
                      <w:rFonts w:ascii="宋体" w:hAnsi="宋体" w:cs="宋体"/>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403.6</w:t>
                  </w:r>
                </w:p>
              </w:tc>
              <w:tc>
                <w:tcPr>
                  <w:tcW w:w="1666" w:type="pct"/>
                  <w:vAlign w:val="center"/>
                </w:tcPr>
                <w:p>
                  <w:pPr>
                    <w:pStyle w:val="79"/>
                    <w:rPr>
                      <w:rFonts w:ascii="宋体" w:hAnsi="宋体" w:cs="宋体"/>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75</w:t>
                  </w:r>
                </w:p>
              </w:tc>
              <w:tc>
                <w:tcPr>
                  <w:tcW w:w="1666" w:type="pct"/>
                  <w:vAlign w:val="center"/>
                </w:tcPr>
                <w:p>
                  <w:pPr>
                    <w:pStyle w:val="79"/>
                    <w:rPr>
                      <w:rFonts w:ascii="宋体" w:hAnsi="宋体" w:cs="宋体"/>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191.38</w:t>
                  </w:r>
                </w:p>
              </w:tc>
              <w:tc>
                <w:tcPr>
                  <w:tcW w:w="1666" w:type="pct"/>
                  <w:vAlign w:val="center"/>
                </w:tcPr>
                <w:p>
                  <w:pPr>
                    <w:pStyle w:val="79"/>
                    <w:rPr>
                      <w:rFonts w:ascii="宋体" w:hAnsi="宋体" w:cs="宋体"/>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1666" w:type="pct"/>
                  <w:vAlign w:val="center"/>
                </w:tcPr>
                <w:p>
                  <w:pPr>
                    <w:pStyle w:val="79"/>
                    <w:rPr>
                      <w:rFonts w:ascii="宋体" w:hAnsi="宋体" w:cs="宋体"/>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132.94</w:t>
                  </w:r>
                </w:p>
              </w:tc>
              <w:tc>
                <w:tcPr>
                  <w:tcW w:w="1666" w:type="pct"/>
                  <w:vAlign w:val="center"/>
                </w:tcPr>
                <w:p>
                  <w:pPr>
                    <w:pStyle w:val="79"/>
                    <w:rPr>
                      <w:rFonts w:ascii="宋体" w:hAnsi="宋体" w:cs="宋体"/>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500</w:t>
                  </w:r>
                </w:p>
              </w:tc>
              <w:tc>
                <w:tcPr>
                  <w:tcW w:w="1666" w:type="pct"/>
                  <w:vAlign w:val="center"/>
                </w:tcPr>
                <w:p>
                  <w:pPr>
                    <w:pStyle w:val="79"/>
                    <w:rPr>
                      <w:rFonts w:ascii="宋体" w:hAnsi="宋体" w:cs="宋体"/>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15.994</w:t>
                  </w:r>
                </w:p>
              </w:tc>
              <w:tc>
                <w:tcPr>
                  <w:tcW w:w="1666" w:type="pct"/>
                  <w:vAlign w:val="center"/>
                </w:tcPr>
                <w:p>
                  <w:pPr>
                    <w:pStyle w:val="79"/>
                    <w:rPr>
                      <w:rFonts w:ascii="宋体" w:hAnsi="宋体" w:cs="宋体"/>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0.26%</w:t>
                  </w:r>
                </w:p>
              </w:tc>
            </w:tr>
          </w:tbl>
          <w:p>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注：非甲烷总烃执行参照《大气污染物综合排放标准详解》中标准执行，即2.0mg/m</w:t>
            </w:r>
            <w:r>
              <w:rPr>
                <w:rFonts w:ascii="Times New Roman" w:hAnsi="Times New Roman"/>
                <w:b/>
                <w:color w:val="000000" w:themeColor="text1"/>
                <w:vertAlign w:val="superscript"/>
                <w14:textFill>
                  <w14:solidFill>
                    <w14:schemeClr w14:val="tx1"/>
                  </w14:solidFill>
                </w14:textFill>
              </w:rPr>
              <w:t>3</w:t>
            </w:r>
            <w:r>
              <w:rPr>
                <w:rFonts w:ascii="Times New Roman" w:hAnsi="Times New Roman"/>
                <w:b/>
                <w:color w:val="000000" w:themeColor="text1"/>
                <w14:textFill>
                  <w14:solidFill>
                    <w14:schemeClr w14:val="tx1"/>
                  </w14:solidFill>
                </w14:textFill>
              </w:rPr>
              <w:t>，为24h平均值，根据《环境影响评价技术导则 大气环境》（HJ2.2-2018）中对于没有小时浓度限值的污染物，日平均浓度限值可按3倍折算为1h平均质量浓度限值，即6.0mg/m</w:t>
            </w:r>
            <w:r>
              <w:rPr>
                <w:rFonts w:ascii="Times New Roman" w:hAnsi="Times New Roman"/>
                <w:b/>
                <w:color w:val="000000" w:themeColor="text1"/>
                <w:vertAlign w:val="superscript"/>
                <w14:textFill>
                  <w14:solidFill>
                    <w14:schemeClr w14:val="tx1"/>
                  </w14:solidFill>
                </w14:textFill>
              </w:rPr>
              <w:t>3</w:t>
            </w:r>
            <w:r>
              <w:rPr>
                <w:rFonts w:ascii="Times New Roman" w:hAnsi="Times New Roman"/>
                <w:b/>
                <w:color w:val="000000" w:themeColor="text1"/>
                <w14:textFill>
                  <w14:solidFill>
                    <w14:schemeClr w14:val="tx1"/>
                  </w14:solidFill>
                </w14:textFill>
              </w:rPr>
              <w:t>。</w:t>
            </w:r>
          </w:p>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根据上表估算模型预测结果，</w:t>
            </w:r>
            <w:r>
              <w:rPr>
                <w:rFonts w:hint="eastAsia"/>
                <w:color w:val="000000" w:themeColor="text1"/>
                <w:u w:val="single"/>
                <w14:textFill>
                  <w14:solidFill>
                    <w14:schemeClr w14:val="tx1"/>
                  </w14:solidFill>
                </w14:textFill>
              </w:rPr>
              <w:t>本项目废气预测最大占标率为8.04%，最大落地浓度为482.6</w:t>
            </w:r>
            <w:r>
              <w:rPr>
                <w:color w:val="000000" w:themeColor="text1"/>
                <w:u w:val="single"/>
                <w14:textFill>
                  <w14:solidFill>
                    <w14:schemeClr w14:val="tx1"/>
                  </w14:solidFill>
                </w14:textFill>
              </w:rPr>
              <w:t>μ</w:t>
            </w:r>
            <w:r>
              <w:rPr>
                <w:rFonts w:hint="eastAsia"/>
                <w:color w:val="000000" w:themeColor="text1"/>
                <w:u w:val="single"/>
                <w14:textFill>
                  <w14:solidFill>
                    <w14:schemeClr w14:val="tx1"/>
                  </w14:solidFill>
                </w14:textFill>
              </w:rPr>
              <w:t>g/m</w:t>
            </w:r>
            <w:r>
              <w:rPr>
                <w:rFonts w:hint="eastAsia"/>
                <w:color w:val="000000" w:themeColor="text1"/>
                <w:u w:val="single"/>
                <w:vertAlign w:val="superscript"/>
                <w14:textFill>
                  <w14:solidFill>
                    <w14:schemeClr w14:val="tx1"/>
                  </w14:solidFill>
                </w14:textFill>
              </w:rPr>
              <w:t>3</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根据《环境影响评价技术导则—大气环境》（HJ2.2-2018）表2评价等级判别表，项目最大占标率：1%＜Pmax＜10%，项目大气环境影响评价等级为二级，评价范围为边长5km的矩形区域，评价范围内无超标点，无需设置大气防护距离。根据《环境影响评价技术导则 大气环境》（HJ2.2-2018）“第8章大气环境影响预测与评价”，二级评价项目不进行进一步预测与评价，只对污染物排放量进行核算。故本项目不再进一步采用预测模型开展大气环境影响预测与评价。</w:t>
            </w:r>
          </w:p>
          <w:p>
            <w:pPr>
              <w:pStyle w:val="5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（4）污染物排放量核算</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①无组织排放量核算</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根据《排污许可证申请与核发技术规范 总则》（HJ942—2018）及《排污单位编码规则》（HJ608—2017），对项目排放口进行编码，废气排放量核算如下：</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表7-8  大气污染物无组织排放量核算表</w:t>
            </w:r>
          </w:p>
          <w:tbl>
            <w:tblPr>
              <w:tblStyle w:val="2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695"/>
              <w:gridCol w:w="1550"/>
              <w:gridCol w:w="1267"/>
              <w:gridCol w:w="1127"/>
              <w:gridCol w:w="1985"/>
              <w:gridCol w:w="1221"/>
              <w:gridCol w:w="10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28"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372"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排放口编号</w:t>
                  </w:r>
                </w:p>
              </w:tc>
              <w:tc>
                <w:tcPr>
                  <w:tcW w:w="829"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产污环节</w:t>
                  </w:r>
                </w:p>
              </w:tc>
              <w:tc>
                <w:tcPr>
                  <w:tcW w:w="678"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污染物</w:t>
                  </w:r>
                </w:p>
              </w:tc>
              <w:tc>
                <w:tcPr>
                  <w:tcW w:w="603"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主要污染防治措施</w:t>
                  </w:r>
                </w:p>
              </w:tc>
              <w:tc>
                <w:tcPr>
                  <w:tcW w:w="1715"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国家或地方污染物排放标准</w:t>
                  </w:r>
                </w:p>
              </w:tc>
              <w:tc>
                <w:tcPr>
                  <w:tcW w:w="574"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年排放量/（</w:t>
                  </w:r>
                  <w:r>
                    <w:rPr>
                      <w:rFonts w:hint="eastAsia"/>
                      <w:color w:val="000000" w:themeColor="text1"/>
                      <w14:textFill>
                        <w14:solidFill>
                          <w14:schemeClr w14:val="tx1"/>
                        </w14:solidFill>
                      </w14:textFill>
                    </w:rPr>
                    <w:t>t/a</w:t>
                  </w:r>
                  <w:r>
                    <w:rPr>
                      <w:color w:val="000000" w:themeColor="text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28" w:type="pct"/>
                  <w:vMerge w:val="continue"/>
                  <w:vAlign w:val="center"/>
                </w:tcPr>
                <w:p>
                  <w:pPr>
                    <w:pStyle w:val="79"/>
                    <w:rPr>
                      <w:color w:val="000000" w:themeColor="text1"/>
                      <w14:textFill>
                        <w14:solidFill>
                          <w14:schemeClr w14:val="tx1"/>
                        </w14:solidFill>
                      </w14:textFill>
                    </w:rPr>
                  </w:pPr>
                </w:p>
              </w:tc>
              <w:tc>
                <w:tcPr>
                  <w:tcW w:w="372" w:type="pct"/>
                  <w:vMerge w:val="continue"/>
                  <w:vAlign w:val="center"/>
                </w:tcPr>
                <w:p>
                  <w:pPr>
                    <w:pStyle w:val="79"/>
                    <w:rPr>
                      <w:color w:val="000000" w:themeColor="text1"/>
                      <w14:textFill>
                        <w14:solidFill>
                          <w14:schemeClr w14:val="tx1"/>
                        </w14:solidFill>
                      </w14:textFill>
                    </w:rPr>
                  </w:pPr>
                </w:p>
              </w:tc>
              <w:tc>
                <w:tcPr>
                  <w:tcW w:w="829" w:type="pct"/>
                  <w:vMerge w:val="continue"/>
                  <w:vAlign w:val="center"/>
                </w:tcPr>
                <w:p>
                  <w:pPr>
                    <w:pStyle w:val="79"/>
                    <w:rPr>
                      <w:color w:val="000000" w:themeColor="text1"/>
                      <w14:textFill>
                        <w14:solidFill>
                          <w14:schemeClr w14:val="tx1"/>
                        </w14:solidFill>
                      </w14:textFill>
                    </w:rPr>
                  </w:pPr>
                </w:p>
              </w:tc>
              <w:tc>
                <w:tcPr>
                  <w:tcW w:w="678" w:type="pct"/>
                  <w:vMerge w:val="continue"/>
                  <w:vAlign w:val="center"/>
                </w:tcPr>
                <w:p>
                  <w:pPr>
                    <w:pStyle w:val="79"/>
                    <w:rPr>
                      <w:color w:val="000000" w:themeColor="text1"/>
                      <w14:textFill>
                        <w14:solidFill>
                          <w14:schemeClr w14:val="tx1"/>
                        </w14:solidFill>
                      </w14:textFill>
                    </w:rPr>
                  </w:pPr>
                </w:p>
              </w:tc>
              <w:tc>
                <w:tcPr>
                  <w:tcW w:w="603" w:type="pct"/>
                  <w:vMerge w:val="continue"/>
                  <w:vAlign w:val="center"/>
                </w:tcPr>
                <w:p>
                  <w:pPr>
                    <w:pStyle w:val="79"/>
                    <w:rPr>
                      <w:color w:val="000000" w:themeColor="text1"/>
                      <w14:textFill>
                        <w14:solidFill>
                          <w14:schemeClr w14:val="tx1"/>
                        </w14:solidFill>
                      </w14:textFill>
                    </w:rPr>
                  </w:pPr>
                </w:p>
              </w:tc>
              <w:tc>
                <w:tcPr>
                  <w:tcW w:w="1062"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标准名称</w:t>
                  </w:r>
                </w:p>
              </w:tc>
              <w:tc>
                <w:tcPr>
                  <w:tcW w:w="65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浓度限值/（</w:t>
                  </w:r>
                  <w:r>
                    <w:rPr>
                      <w:rFonts w:hint="eastAsia"/>
                      <w:color w:val="000000" w:themeColor="text1"/>
                      <w14:textFill>
                        <w14:solidFill>
                          <w14:schemeClr w14:val="tx1"/>
                        </w14:solidFill>
                      </w14:textFill>
                    </w:rPr>
                    <w:t>m</w:t>
                  </w:r>
                  <w:r>
                    <w:rPr>
                      <w:color w:val="000000" w:themeColor="text1"/>
                      <w14:textFill>
                        <w14:solidFill>
                          <w14:schemeClr w14:val="tx1"/>
                        </w14:solidFill>
                      </w14:textFill>
                    </w:rPr>
                    <w:t>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c>
                <w:tcPr>
                  <w:tcW w:w="574" w:type="pct"/>
                  <w:vMerge w:val="continue"/>
                  <w:vAlign w:val="center"/>
                </w:tcPr>
                <w:p>
                  <w:pPr>
                    <w:pStyle w:val="79"/>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2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372"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m1</w:t>
                  </w:r>
                </w:p>
              </w:tc>
              <w:tc>
                <w:tcPr>
                  <w:tcW w:w="82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卸油、加油、储罐呼吸</w:t>
                  </w:r>
                </w:p>
              </w:tc>
              <w:tc>
                <w:tcPr>
                  <w:tcW w:w="67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60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油气回收</w:t>
                  </w:r>
                </w:p>
              </w:tc>
              <w:tc>
                <w:tcPr>
                  <w:tcW w:w="1062"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《大气污染物综合排放标准》（GB16297-1996）</w:t>
                  </w:r>
                </w:p>
              </w:tc>
              <w:tc>
                <w:tcPr>
                  <w:tcW w:w="65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574" w:type="pct"/>
                  <w:vAlign w:val="center"/>
                </w:tcPr>
                <w:p>
                  <w:pPr>
                    <w:jc w:val="center"/>
                    <w:rPr>
                      <w:rFonts w:ascii="Times New Roman" w:hAnsi="Times New Roman"/>
                      <w:color w:val="000000" w:themeColor="text1"/>
                      <w:szCs w:val="21"/>
                      <w:u w:val="single"/>
                      <w14:textFill>
                        <w14:solidFill>
                          <w14:schemeClr w14:val="tx1"/>
                        </w14:solidFill>
                      </w14:textFill>
                    </w:rPr>
                  </w:pPr>
                  <w:r>
                    <w:rPr>
                      <w:rFonts w:hint="eastAsia" w:ascii="Times New Roman" w:hAnsi="Times New Roman"/>
                      <w:color w:val="000000" w:themeColor="text1"/>
                      <w:szCs w:val="21"/>
                      <w:u w:val="single"/>
                      <w14:textFill>
                        <w14:solidFill>
                          <w14:schemeClr w14:val="tx1"/>
                        </w14:solidFill>
                      </w14:textFill>
                    </w:rPr>
                    <w:t>2.005</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②大气污染物年排放量核算</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表7-9  大气污染物年排放量核算</w:t>
            </w:r>
          </w:p>
          <w:tbl>
            <w:tblPr>
              <w:tblStyle w:val="2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92"/>
              <w:gridCol w:w="2813"/>
              <w:gridCol w:w="30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6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50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污染物</w:t>
                  </w:r>
                </w:p>
              </w:tc>
              <w:tc>
                <w:tcPr>
                  <w:tcW w:w="162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年排放量/（</w:t>
                  </w:r>
                  <w:r>
                    <w:rPr>
                      <w:rFonts w:hint="eastAsia"/>
                      <w:color w:val="000000" w:themeColor="text1"/>
                      <w14:textFill>
                        <w14:solidFill>
                          <w14:schemeClr w14:val="tx1"/>
                        </w14:solidFill>
                      </w14:textFill>
                    </w:rPr>
                    <w:t>t</w:t>
                  </w:r>
                  <w:r>
                    <w:rPr>
                      <w:color w:val="000000" w:themeColor="text1"/>
                      <w14:textFill>
                        <w14:solidFill>
                          <w14:schemeClr w14:val="tx1"/>
                        </w14:solidFill>
                      </w14:textFill>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6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150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1626" w:type="pct"/>
                  <w:vAlign w:val="center"/>
                </w:tcPr>
                <w:p>
                  <w:pPr>
                    <w:pStyle w:val="79"/>
                    <w:rPr>
                      <w:color w:val="000000" w:themeColor="text1"/>
                      <w14:textFill>
                        <w14:solidFill>
                          <w14:schemeClr w14:val="tx1"/>
                        </w14:solidFill>
                      </w14:textFill>
                    </w:rPr>
                  </w:pPr>
                  <w:r>
                    <w:rPr>
                      <w:rFonts w:hint="eastAsia"/>
                      <w:color w:val="000000" w:themeColor="text1"/>
                      <w:szCs w:val="21"/>
                      <w:u w:val="single"/>
                      <w14:textFill>
                        <w14:solidFill>
                          <w14:schemeClr w14:val="tx1"/>
                        </w14:solidFill>
                      </w14:textFill>
                    </w:rPr>
                    <w:t>2.005</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经预测，</w:t>
            </w:r>
            <w:r>
              <w:rPr>
                <w:color w:val="000000" w:themeColor="text1"/>
                <w14:textFill>
                  <w14:solidFill>
                    <w14:schemeClr w14:val="tx1"/>
                  </w14:solidFill>
                </w14:textFill>
              </w:rPr>
              <w:t>本项目无组织排放废气均无超标点，故无需设置大气环境防护距离。</w:t>
            </w:r>
            <w:r>
              <w:rPr>
                <w:rFonts w:hint="eastAsia"/>
                <w:color w:val="000000" w:themeColor="text1"/>
                <w14:textFill>
                  <w14:solidFill>
                    <w14:schemeClr w14:val="tx1"/>
                  </w14:solidFill>
                </w14:textFill>
              </w:rPr>
              <w:t>但还需采取以下环保措施。</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对卸油、加油以及储油的环保要求</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rFonts w:hint="eastAsia"/>
                <w:color w:val="000000" w:themeColor="text1"/>
                <w14:textFill>
                  <w14:solidFill>
                    <w14:schemeClr w14:val="tx1"/>
                  </w14:solidFill>
                </w14:textFill>
              </w:rPr>
              <w:t>卸油环保要求</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应采用浸没式卸油方式，卸油管出油口距罐底高度应小于200mm；卸油和油气回收接口应安装DN100的截流阀、密封式快速接头和帽盖；连接软管应采用DN100的密封式快速接头与卸油车连接，卸油后连接软管内不能存留残油；连接排气管的地下管线应坡向油罐，坡度不应小于1%，管线直径不小于DN50mm。</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rFonts w:hint="eastAsia"/>
                <w:color w:val="000000" w:themeColor="text1"/>
                <w14:textFill>
                  <w14:solidFill>
                    <w14:schemeClr w14:val="tx1"/>
                  </w14:solidFill>
                </w14:textFill>
              </w:rPr>
              <w:t>加油环保要求</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加油产生的汽油油气应采用真空辅助方式密闭收集；油气回收管线应坡向油罐，坡度不应小于1%；加油站在油气管线覆土、地面硬化施工之前，应向管线内注入10L汽油并检测液阻；加油软管应配备拉断截止阀，加油时应防止溢油和滴油；油气回收系统供应商应向有关设计、管理和使用单位提供技术评估报告、操作规程和其他相关技术资料；应严格按规程操作和管理油气回收设施，定期检查、维护并记录备查；当汽车油箱油面达到自动停止加油高度时，不应再向油箱内加油。</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rFonts w:hint="eastAsia"/>
                <w:color w:val="000000" w:themeColor="text1"/>
                <w14:textFill>
                  <w14:solidFill>
                    <w14:schemeClr w14:val="tx1"/>
                  </w14:solidFill>
                </w14:textFill>
              </w:rPr>
              <w:t>储油环保要求</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所有影响储油油气密闭性的部件，包括油气管线和所联接的法兰、阀门、快接头以及其他相关部件都应保证在小于750Pa时不漏气；埋地油罐应采用电子式液位计进行汽油密闭测量，宜选择具有测漏功能的电子式液位测量系统；应采用符合相关规定的溢油控制措施。</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减少油气蒸发损耗的环保措施</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上文所述，油气蒸发损耗主要是由“小呼吸”、“大呼吸”及“加油作业”引起，对加油站最有效的减小蒸发损耗的措施就是对蒸发的油气进行回收（上文已阐述），除此之外，还应限制油料蒸发的条件，如：使用高压油罐，提高油罐呼吸阀控制的正负压力，</w:t>
            </w:r>
            <w:r>
              <w:rPr>
                <w:bCs/>
                <w:color w:val="000000" w:themeColor="text1"/>
                <w14:textFill>
                  <w14:solidFill>
                    <w14:schemeClr w14:val="tx1"/>
                  </w14:solidFill>
                </w14:textFill>
              </w:rPr>
              <w:t>控制油气回收气液比，</w:t>
            </w:r>
            <w:r>
              <w:rPr>
                <w:color w:val="000000" w:themeColor="text1"/>
                <w14:textFill>
                  <w14:solidFill>
                    <w14:schemeClr w14:val="tx1"/>
                  </w14:solidFill>
                </w14:textFill>
              </w:rPr>
              <w:t>降低油罐的呼吸损耗。</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减少残漏损耗（跑、冒、滴、漏）的环保措施</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残漏损耗的发生，一是油液在油罐体内壁上的少量黏附、储运设备不可避免的微量渗漏及容器底部无法卸净的底部余油等；其二就是与储运和计量操作完成的质量有关。滴洒、渗漏、溅油、串油，应该卸净而未能卸净的底部余油等，都与油罐及加油机设备不完善以及操作不当或疏忽大意有关。因此，保持设备完好、提高技术水平、规范操作，是降低残漏损耗的有效措施。油罐收油时，要注意监控装油高度，并将容器底部余油卸尽；使用鹤管等设备装油，防止溢油和油液滴洒喷溅。</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（2）汽车尾气分析</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项目营运期加油车辆进出时将产生少量的汽车尾气，主要污染物为THC、NO</w:t>
            </w:r>
            <w:r>
              <w:rPr>
                <w:color w:val="000000" w:themeColor="text1"/>
                <w:szCs w:val="24"/>
                <w:vertAlign w:val="subscript"/>
                <w14:textFill>
                  <w14:solidFill>
                    <w14:schemeClr w14:val="tx1"/>
                  </w14:solidFill>
                </w14:textFill>
              </w:rPr>
              <w:t>X</w:t>
            </w:r>
            <w:r>
              <w:rPr>
                <w:color w:val="000000" w:themeColor="text1"/>
                <w:szCs w:val="24"/>
                <w14:textFill>
                  <w14:solidFill>
                    <w14:schemeClr w14:val="tx1"/>
                  </w14:solidFill>
                </w14:textFill>
              </w:rPr>
              <w:t>和CO。由于进出加油站的车辆行驶路程短，速度慢，因此尾气排放量较少，汽车尾气为间歇无组织排放。项目周围设置一定的绿化带，通过空气自然流通扩散及绿化吸收净化的作用，项目内产生的机动车尾气，很快就能被稀释扩散，对周围环境影响较小。</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）柴油发电机尾气</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项目厂内设一台备用柴油发电机，发电机采用低含硫率的优质柴油。柴油发电机运行会产生SO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、NOx、烟尘等污染物，发电机只是作为项目应急电源，产生废气收集后通过发电机配套排气筒外排，对大气环境影响较小。</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7.2.2 地表</w:t>
            </w:r>
            <w:r>
              <w:rPr>
                <w:color w:val="000000" w:themeColor="text1"/>
                <w14:textFill>
                  <w14:solidFill>
                    <w14:schemeClr w14:val="tx1"/>
                  </w14:solidFill>
                </w14:textFill>
              </w:rPr>
              <w:t>水环境影响分析</w:t>
            </w:r>
            <w:bookmarkEnd w:id="36"/>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运营期间产生的外排废水主要是生活污水及地面冲洗废水，生活污水经化粪池处理、地面冲洗废水经隔油池处理后经城西路的市政污水管网排入祁东县渔陂污水处理厂处理，达标后外排至白河。根据《建设项目环境影响评价技术导则  地表水环境》（HJ2.3-2018）表1可知，本项目地表水评价等级为三级B。</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本项目废水排放信息如下表所示：</w:t>
            </w:r>
          </w:p>
        </w:tc>
      </w:tr>
    </w:tbl>
    <w:p>
      <w:pPr>
        <w:widowControl/>
        <w:jc w:val="left"/>
        <w:rPr>
          <w:rFonts w:ascii="Times New Roman" w:hAnsi="Times New Roman"/>
          <w:b/>
          <w:bCs/>
          <w:color w:val="000000" w:themeColor="text1"/>
          <w:kern w:val="44"/>
          <w:sz w:val="28"/>
          <w:szCs w:val="28"/>
          <w14:textFill>
            <w14:solidFill>
              <w14:schemeClr w14:val="tx1"/>
            </w14:solidFill>
          </w14:textFill>
        </w:rPr>
        <w:sectPr>
          <w:footerReference r:id="rId5" w:type="default"/>
          <w:pgSz w:w="11906" w:h="16838"/>
          <w:pgMar w:top="1440" w:right="1247" w:bottom="1440" w:left="1247" w:header="851" w:footer="992" w:gutter="0"/>
          <w:cols w:space="720" w:num="1"/>
          <w:docGrid w:type="lines" w:linePitch="312" w:charSpace="0"/>
        </w:sectPr>
      </w:pPr>
      <w:bookmarkStart w:id="37" w:name="_Toc287535156"/>
    </w:p>
    <w:tbl>
      <w:tblPr>
        <w:tblStyle w:val="2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表7-10  废水类别、污染物及污染治理设施信息表</w:t>
            </w:r>
          </w:p>
          <w:tbl>
            <w:tblPr>
              <w:tblStyle w:val="29"/>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15"/>
              <w:gridCol w:w="1021"/>
              <w:gridCol w:w="1273"/>
              <w:gridCol w:w="1414"/>
              <w:gridCol w:w="1273"/>
              <w:gridCol w:w="1273"/>
              <w:gridCol w:w="1131"/>
              <w:gridCol w:w="991"/>
              <w:gridCol w:w="1555"/>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415"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废水类别</w:t>
                  </w:r>
                  <w:r>
                    <w:rPr>
                      <w:rFonts w:hint="eastAsia"/>
                      <w:color w:val="000000" w:themeColor="text1"/>
                      <w:vertAlign w:val="superscript"/>
                      <w14:textFill>
                        <w14:solidFill>
                          <w14:schemeClr w14:val="tx1"/>
                        </w14:solidFill>
                      </w14:textFill>
                    </w:rPr>
                    <w:t>（a）</w:t>
                  </w:r>
                </w:p>
              </w:tc>
              <w:tc>
                <w:tcPr>
                  <w:tcW w:w="1021"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污染物种类</w:t>
                  </w:r>
                  <w:r>
                    <w:rPr>
                      <w:rFonts w:hint="eastAsia"/>
                      <w:color w:val="000000" w:themeColor="text1"/>
                      <w:vertAlign w:val="superscript"/>
                      <w14:textFill>
                        <w14:solidFill>
                          <w14:schemeClr w14:val="tx1"/>
                        </w14:solidFill>
                      </w14:textFill>
                    </w:rPr>
                    <w:t>（b）</w:t>
                  </w:r>
                </w:p>
              </w:tc>
              <w:tc>
                <w:tcPr>
                  <w:tcW w:w="1273"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排放去向</w:t>
                  </w:r>
                  <w:r>
                    <w:rPr>
                      <w:rFonts w:hint="eastAsia"/>
                      <w:color w:val="000000" w:themeColor="text1"/>
                      <w:vertAlign w:val="superscript"/>
                      <w14:textFill>
                        <w14:solidFill>
                          <w14:schemeClr w14:val="tx1"/>
                        </w14:solidFill>
                      </w14:textFill>
                    </w:rPr>
                    <w:t>（c）</w:t>
                  </w:r>
                </w:p>
              </w:tc>
              <w:tc>
                <w:tcPr>
                  <w:tcW w:w="1414"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排放规律</w:t>
                  </w:r>
                  <w:r>
                    <w:rPr>
                      <w:rFonts w:hint="eastAsia"/>
                      <w:color w:val="000000" w:themeColor="text1"/>
                      <w:vertAlign w:val="superscript"/>
                      <w14:textFill>
                        <w14:solidFill>
                          <w14:schemeClr w14:val="tx1"/>
                        </w14:solidFill>
                      </w14:textFill>
                    </w:rPr>
                    <w:t>（d）</w:t>
                  </w:r>
                </w:p>
              </w:tc>
              <w:tc>
                <w:tcPr>
                  <w:tcW w:w="3677" w:type="dxa"/>
                  <w:gridSpan w:val="3"/>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污染治理设施</w:t>
                  </w:r>
                </w:p>
              </w:tc>
              <w:tc>
                <w:tcPr>
                  <w:tcW w:w="991"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排放口编号</w:t>
                  </w:r>
                  <w:r>
                    <w:rPr>
                      <w:rFonts w:hint="eastAsia"/>
                      <w:color w:val="000000" w:themeColor="text1"/>
                      <w:vertAlign w:val="superscript"/>
                      <w14:textFill>
                        <w14:solidFill>
                          <w14:schemeClr w14:val="tx1"/>
                        </w14:solidFill>
                      </w14:textFill>
                    </w:rPr>
                    <w:t>（f）</w:t>
                  </w:r>
                </w:p>
              </w:tc>
              <w:tc>
                <w:tcPr>
                  <w:tcW w:w="1555"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排放口设置是否符合要求</w:t>
                  </w:r>
                  <w:r>
                    <w:rPr>
                      <w:rFonts w:hint="eastAsia"/>
                      <w:color w:val="000000" w:themeColor="text1"/>
                      <w:vertAlign w:val="superscript"/>
                      <w14:textFill>
                        <w14:solidFill>
                          <w14:schemeClr w14:val="tx1"/>
                        </w14:solidFill>
                      </w14:textFill>
                    </w:rPr>
                    <w:t>（g）</w:t>
                  </w:r>
                </w:p>
              </w:tc>
              <w:tc>
                <w:tcPr>
                  <w:tcW w:w="1899"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vMerge w:val="continue"/>
                  <w:vAlign w:val="center"/>
                </w:tcPr>
                <w:p>
                  <w:pPr>
                    <w:pStyle w:val="79"/>
                    <w:rPr>
                      <w:color w:val="000000" w:themeColor="text1"/>
                      <w14:textFill>
                        <w14:solidFill>
                          <w14:schemeClr w14:val="tx1"/>
                        </w14:solidFill>
                      </w14:textFill>
                    </w:rPr>
                  </w:pPr>
                </w:p>
              </w:tc>
              <w:tc>
                <w:tcPr>
                  <w:tcW w:w="1415" w:type="dxa"/>
                  <w:vMerge w:val="continue"/>
                  <w:vAlign w:val="center"/>
                </w:tcPr>
                <w:p>
                  <w:pPr>
                    <w:pStyle w:val="79"/>
                    <w:rPr>
                      <w:color w:val="000000" w:themeColor="text1"/>
                      <w14:textFill>
                        <w14:solidFill>
                          <w14:schemeClr w14:val="tx1"/>
                        </w14:solidFill>
                      </w14:textFill>
                    </w:rPr>
                  </w:pPr>
                </w:p>
              </w:tc>
              <w:tc>
                <w:tcPr>
                  <w:tcW w:w="1021" w:type="dxa"/>
                  <w:vMerge w:val="continue"/>
                  <w:vAlign w:val="center"/>
                </w:tcPr>
                <w:p>
                  <w:pPr>
                    <w:pStyle w:val="79"/>
                    <w:rPr>
                      <w:color w:val="000000" w:themeColor="text1"/>
                      <w14:textFill>
                        <w14:solidFill>
                          <w14:schemeClr w14:val="tx1"/>
                        </w14:solidFill>
                      </w14:textFill>
                    </w:rPr>
                  </w:pPr>
                </w:p>
              </w:tc>
              <w:tc>
                <w:tcPr>
                  <w:tcW w:w="1273" w:type="dxa"/>
                  <w:vMerge w:val="continue"/>
                  <w:vAlign w:val="center"/>
                </w:tcPr>
                <w:p>
                  <w:pPr>
                    <w:pStyle w:val="79"/>
                    <w:rPr>
                      <w:color w:val="000000" w:themeColor="text1"/>
                      <w14:textFill>
                        <w14:solidFill>
                          <w14:schemeClr w14:val="tx1"/>
                        </w14:solidFill>
                      </w14:textFill>
                    </w:rPr>
                  </w:pPr>
                </w:p>
              </w:tc>
              <w:tc>
                <w:tcPr>
                  <w:tcW w:w="1414" w:type="dxa"/>
                  <w:vMerge w:val="continue"/>
                  <w:vAlign w:val="center"/>
                </w:tcPr>
                <w:p>
                  <w:pPr>
                    <w:pStyle w:val="79"/>
                    <w:rPr>
                      <w:color w:val="000000" w:themeColor="text1"/>
                      <w14:textFill>
                        <w14:solidFill>
                          <w14:schemeClr w14:val="tx1"/>
                        </w14:solidFill>
                      </w14:textFill>
                    </w:rPr>
                  </w:pPr>
                </w:p>
              </w:tc>
              <w:tc>
                <w:tcPr>
                  <w:tcW w:w="127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污染治理设施编号</w:t>
                  </w:r>
                </w:p>
              </w:tc>
              <w:tc>
                <w:tcPr>
                  <w:tcW w:w="127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污染治理设施名称</w:t>
                  </w:r>
                  <w:r>
                    <w:rPr>
                      <w:rFonts w:hint="eastAsia"/>
                      <w:color w:val="000000" w:themeColor="text1"/>
                      <w:vertAlign w:val="superscript"/>
                      <w14:textFill>
                        <w14:solidFill>
                          <w14:schemeClr w14:val="tx1"/>
                        </w14:solidFill>
                      </w14:textFill>
                    </w:rPr>
                    <w:t>（e）</w:t>
                  </w:r>
                </w:p>
              </w:tc>
              <w:tc>
                <w:tcPr>
                  <w:tcW w:w="113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污染治理设施工艺</w:t>
                  </w:r>
                </w:p>
              </w:tc>
              <w:tc>
                <w:tcPr>
                  <w:tcW w:w="991" w:type="dxa"/>
                  <w:vMerge w:val="continue"/>
                  <w:vAlign w:val="center"/>
                </w:tcPr>
                <w:p>
                  <w:pPr>
                    <w:pStyle w:val="79"/>
                    <w:rPr>
                      <w:color w:val="000000" w:themeColor="text1"/>
                      <w14:textFill>
                        <w14:solidFill>
                          <w14:schemeClr w14:val="tx1"/>
                        </w14:solidFill>
                      </w14:textFill>
                    </w:rPr>
                  </w:pPr>
                </w:p>
              </w:tc>
              <w:tc>
                <w:tcPr>
                  <w:tcW w:w="1555" w:type="dxa"/>
                  <w:vMerge w:val="continue"/>
                  <w:vAlign w:val="center"/>
                </w:tcPr>
                <w:p>
                  <w:pPr>
                    <w:pStyle w:val="79"/>
                    <w:rPr>
                      <w:color w:val="000000" w:themeColor="text1"/>
                      <w14:textFill>
                        <w14:solidFill>
                          <w14:schemeClr w14:val="tx1"/>
                        </w14:solidFill>
                      </w14:textFill>
                    </w:rPr>
                  </w:pPr>
                </w:p>
              </w:tc>
              <w:tc>
                <w:tcPr>
                  <w:tcW w:w="1899"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1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生活污水</w:t>
                  </w:r>
                </w:p>
              </w:tc>
              <w:tc>
                <w:tcPr>
                  <w:tcW w:w="102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COD、BOD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、NH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-N、SS</w:t>
                  </w:r>
                </w:p>
              </w:tc>
              <w:tc>
                <w:tcPr>
                  <w:tcW w:w="127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化粪池</w:t>
                  </w:r>
                  <w:r>
                    <w:rPr>
                      <w:rFonts w:hint="eastAsia" w:ascii="宋体" w:hAnsi="宋体"/>
                      <w:color w:val="000000" w:themeColor="text1"/>
                      <w14:textFill>
                        <w14:solidFill>
                          <w14:schemeClr w14:val="tx1"/>
                        </w14:solidFill>
                      </w14:textFill>
                    </w:rPr>
                    <w:t>→渔陂污水处理厂→</w:t>
                  </w:r>
                  <w:r>
                    <w:rPr>
                      <w:rFonts w:hint="eastAsia"/>
                      <w:color w:val="000000" w:themeColor="text1"/>
                      <w14:textFill>
                        <w14:solidFill>
                          <w14:schemeClr w14:val="tx1"/>
                        </w14:solidFill>
                      </w14:textFill>
                    </w:rPr>
                    <w:t>白河</w:t>
                  </w:r>
                </w:p>
              </w:tc>
              <w:tc>
                <w:tcPr>
                  <w:tcW w:w="1414"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间断排放，排放期间流量不稳定且无规律，但不属于冲击型排放</w:t>
                  </w:r>
                </w:p>
              </w:tc>
              <w:tc>
                <w:tcPr>
                  <w:tcW w:w="127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p>
              </w:tc>
              <w:tc>
                <w:tcPr>
                  <w:tcW w:w="127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化粪池</w:t>
                  </w:r>
                </w:p>
              </w:tc>
              <w:tc>
                <w:tcPr>
                  <w:tcW w:w="113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91"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WS1</w:t>
                  </w:r>
                  <w:r>
                    <w:rPr>
                      <w:rFonts w:hint="eastAsia" w:ascii="宋体" w:hAnsi="宋体"/>
                      <w:color w:val="000000" w:themeColor="text1"/>
                      <w14:textFill>
                        <w14:solidFill>
                          <w14:schemeClr w14:val="tx1"/>
                        </w14:solidFill>
                      </w14:textFill>
                    </w:rPr>
                    <w:t>●</w:t>
                  </w:r>
                </w:p>
              </w:tc>
              <w:tc>
                <w:tcPr>
                  <w:tcW w:w="1555"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是</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□否</w:t>
                  </w:r>
                </w:p>
              </w:tc>
              <w:tc>
                <w:tcPr>
                  <w:tcW w:w="1899" w:type="dxa"/>
                  <w:vMerge w:val="restart"/>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企业总排</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□雨水排放</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□清净下水排放</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□温排水排放</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□车间或车间处理设施排放口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1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地面冲洗废水</w:t>
                  </w:r>
                </w:p>
              </w:tc>
              <w:tc>
                <w:tcPr>
                  <w:tcW w:w="102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SS、石油类</w:t>
                  </w:r>
                </w:p>
              </w:tc>
              <w:tc>
                <w:tcPr>
                  <w:tcW w:w="127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隔油池</w:t>
                  </w:r>
                  <w:r>
                    <w:rPr>
                      <w:rFonts w:hint="eastAsia" w:ascii="宋体" w:hAnsi="宋体"/>
                      <w:color w:val="000000" w:themeColor="text1"/>
                      <w14:textFill>
                        <w14:solidFill>
                          <w14:schemeClr w14:val="tx1"/>
                        </w14:solidFill>
                      </w14:textFill>
                    </w:rPr>
                    <w:t>→渔陂污水处理厂→</w:t>
                  </w:r>
                  <w:r>
                    <w:rPr>
                      <w:rFonts w:hint="eastAsia"/>
                      <w:color w:val="000000" w:themeColor="text1"/>
                      <w14:textFill>
                        <w14:solidFill>
                          <w14:schemeClr w14:val="tx1"/>
                        </w14:solidFill>
                      </w14:textFill>
                    </w:rPr>
                    <w:t>白河</w:t>
                  </w:r>
                </w:p>
              </w:tc>
              <w:tc>
                <w:tcPr>
                  <w:tcW w:w="1414" w:type="dxa"/>
                  <w:vMerge w:val="continue"/>
                  <w:vAlign w:val="center"/>
                </w:tcPr>
                <w:p>
                  <w:pPr>
                    <w:pStyle w:val="79"/>
                    <w:rPr>
                      <w:color w:val="000000" w:themeColor="text1"/>
                      <w14:textFill>
                        <w14:solidFill>
                          <w14:schemeClr w14:val="tx1"/>
                        </w14:solidFill>
                      </w14:textFill>
                    </w:rPr>
                  </w:pPr>
                </w:p>
              </w:tc>
              <w:tc>
                <w:tcPr>
                  <w:tcW w:w="127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p>
              </w:tc>
              <w:tc>
                <w:tcPr>
                  <w:tcW w:w="127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隔油池</w:t>
                  </w:r>
                </w:p>
              </w:tc>
              <w:tc>
                <w:tcPr>
                  <w:tcW w:w="113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91" w:type="dxa"/>
                  <w:vMerge w:val="continue"/>
                  <w:vAlign w:val="center"/>
                </w:tcPr>
                <w:p>
                  <w:pPr>
                    <w:pStyle w:val="79"/>
                    <w:rPr>
                      <w:color w:val="000000" w:themeColor="text1"/>
                      <w14:textFill>
                        <w14:solidFill>
                          <w14:schemeClr w14:val="tx1"/>
                        </w14:solidFill>
                      </w14:textFill>
                    </w:rPr>
                  </w:pPr>
                </w:p>
              </w:tc>
              <w:tc>
                <w:tcPr>
                  <w:tcW w:w="1555" w:type="dxa"/>
                  <w:vMerge w:val="continue"/>
                  <w:vAlign w:val="center"/>
                </w:tcPr>
                <w:p>
                  <w:pPr>
                    <w:pStyle w:val="79"/>
                    <w:rPr>
                      <w:color w:val="000000" w:themeColor="text1"/>
                      <w14:textFill>
                        <w14:solidFill>
                          <w14:schemeClr w14:val="tx1"/>
                        </w14:solidFill>
                      </w14:textFill>
                    </w:rPr>
                  </w:pPr>
                </w:p>
              </w:tc>
              <w:tc>
                <w:tcPr>
                  <w:tcW w:w="1899" w:type="dxa"/>
                  <w:vMerge w:val="continue"/>
                  <w:vAlign w:val="center"/>
                </w:tcPr>
                <w:p>
                  <w:pPr>
                    <w:pStyle w:val="79"/>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3948" w:type="dxa"/>
                  <w:gridSpan w:val="11"/>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a指产生废水的工艺、工序，或废水类型的名称。</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b指产生的主要污染物类型，以相应排放标准中确定的污染因子为准。</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c包括不外排；排至厂内综合污水处理站；直接进入海域；直接进入江河、湖、库等水环境；进入城市下水道（再入江河、湖、库）；进入城市下水道（再入沿海海域）；进入城市污水处理厂；直接进入污灌农田；进入地渗或蒸发地；进入其他单位；工业废水集中处理厂；其他（包括回用等）。对于工艺、工序产生的废水，“不外排”指全部在工序内部循环使用，“排至厂内综合污水处理站”指工序废水经处理后排至综合处理站。对于综合污水处理站，“不外排”指全厂废水经处理后全部回用不排放。</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d包括连续排放，流量稳定；连续排放，流量不稳定，但有周期性规律；连续排放，流量不稳定，但有规律，且不属于周期性规律；连续排放，流量不稳定，属于冲击型排放；连续排放，流量不稳定且无规律，但不属于冲击型排放；间断排放，排放期间流量稳定；间断排放，排放期间流量不稳定，但有周期性规律；间断排放，排放期间流量不稳定，但有规律，且不属于非周期性规律；间断排放，排放期间流量不稳定，属于冲击型排放；间断排放，排放期间流量不稳定且无规律，但不属于冲击型排放。</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e指主要污水处理设施名称，如“综合污水处理站”“生活污水处理系统”等。</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f排放口编号可按地方环境管理部门现有编号进行填写或由企业根据国家相关规范进行编制。</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g指排放口设置是否符合排放口规范化整治技术要求等相关文件的规定。</w:t>
                  </w:r>
                </w:p>
              </w:tc>
            </w:tr>
          </w:tbl>
          <w:p>
            <w:pPr>
              <w:pStyle w:val="8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表7-11  废水间接排放口基本情况表</w:t>
            </w:r>
          </w:p>
          <w:tbl>
            <w:tblPr>
              <w:tblStyle w:val="29"/>
              <w:tblW w:w="141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668"/>
              <w:gridCol w:w="426"/>
              <w:gridCol w:w="1521"/>
              <w:gridCol w:w="1424"/>
              <w:gridCol w:w="1104"/>
              <w:gridCol w:w="466"/>
              <w:gridCol w:w="1793"/>
              <w:gridCol w:w="1138"/>
              <w:gridCol w:w="683"/>
              <w:gridCol w:w="976"/>
              <w:gridCol w:w="1521"/>
              <w:gridCol w:w="1424"/>
              <w:gridCol w:w="5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26"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094" w:type="dxa"/>
                  <w:gridSpan w:val="2"/>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排放口编号</w:t>
                  </w:r>
                </w:p>
              </w:tc>
              <w:tc>
                <w:tcPr>
                  <w:tcW w:w="2945"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排放口地理坐标a</w:t>
                  </w:r>
                </w:p>
              </w:tc>
              <w:tc>
                <w:tcPr>
                  <w:tcW w:w="1104"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废水排放量/（万t/a）</w:t>
                  </w:r>
                </w:p>
              </w:tc>
              <w:tc>
                <w:tcPr>
                  <w:tcW w:w="466"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排放去向</w:t>
                  </w:r>
                </w:p>
              </w:tc>
              <w:tc>
                <w:tcPr>
                  <w:tcW w:w="1793"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排放规律</w:t>
                  </w:r>
                </w:p>
              </w:tc>
              <w:tc>
                <w:tcPr>
                  <w:tcW w:w="1138"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间歇排放时段</w:t>
                  </w:r>
                </w:p>
              </w:tc>
              <w:tc>
                <w:tcPr>
                  <w:tcW w:w="1659"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受纳自然水体信息</w:t>
                  </w:r>
                </w:p>
              </w:tc>
              <w:tc>
                <w:tcPr>
                  <w:tcW w:w="2945"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汇入受纳自然水体处地理坐标d</w:t>
                  </w:r>
                </w:p>
              </w:tc>
              <w:tc>
                <w:tcPr>
                  <w:tcW w:w="549"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备注e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26" w:type="dxa"/>
                  <w:vMerge w:val="continue"/>
                  <w:vAlign w:val="center"/>
                </w:tcPr>
                <w:p>
                  <w:pPr>
                    <w:pStyle w:val="79"/>
                    <w:rPr>
                      <w:color w:val="000000" w:themeColor="text1"/>
                      <w14:textFill>
                        <w14:solidFill>
                          <w14:schemeClr w14:val="tx1"/>
                        </w14:solidFill>
                      </w14:textFill>
                    </w:rPr>
                  </w:pPr>
                </w:p>
              </w:tc>
              <w:tc>
                <w:tcPr>
                  <w:tcW w:w="1094" w:type="dxa"/>
                  <w:gridSpan w:val="2"/>
                  <w:vMerge w:val="continue"/>
                  <w:vAlign w:val="center"/>
                </w:tcPr>
                <w:p>
                  <w:pPr>
                    <w:pStyle w:val="79"/>
                    <w:rPr>
                      <w:color w:val="000000" w:themeColor="text1"/>
                      <w14:textFill>
                        <w14:solidFill>
                          <w14:schemeClr w14:val="tx1"/>
                        </w14:solidFill>
                      </w14:textFill>
                    </w:rPr>
                  </w:pPr>
                </w:p>
              </w:tc>
              <w:tc>
                <w:tcPr>
                  <w:tcW w:w="152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经度</w:t>
                  </w:r>
                </w:p>
              </w:tc>
              <w:tc>
                <w:tcPr>
                  <w:tcW w:w="142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纬度</w:t>
                  </w:r>
                </w:p>
              </w:tc>
              <w:tc>
                <w:tcPr>
                  <w:tcW w:w="1104" w:type="dxa"/>
                  <w:vMerge w:val="continue"/>
                  <w:vAlign w:val="center"/>
                </w:tcPr>
                <w:p>
                  <w:pPr>
                    <w:pStyle w:val="79"/>
                    <w:rPr>
                      <w:color w:val="000000" w:themeColor="text1"/>
                      <w14:textFill>
                        <w14:solidFill>
                          <w14:schemeClr w14:val="tx1"/>
                        </w14:solidFill>
                      </w14:textFill>
                    </w:rPr>
                  </w:pPr>
                </w:p>
              </w:tc>
              <w:tc>
                <w:tcPr>
                  <w:tcW w:w="466" w:type="dxa"/>
                  <w:vMerge w:val="continue"/>
                  <w:vAlign w:val="center"/>
                </w:tcPr>
                <w:p>
                  <w:pPr>
                    <w:pStyle w:val="79"/>
                    <w:rPr>
                      <w:color w:val="000000" w:themeColor="text1"/>
                      <w14:textFill>
                        <w14:solidFill>
                          <w14:schemeClr w14:val="tx1"/>
                        </w14:solidFill>
                      </w14:textFill>
                    </w:rPr>
                  </w:pPr>
                </w:p>
              </w:tc>
              <w:tc>
                <w:tcPr>
                  <w:tcW w:w="1793" w:type="dxa"/>
                  <w:vMerge w:val="continue"/>
                  <w:vAlign w:val="center"/>
                </w:tcPr>
                <w:p>
                  <w:pPr>
                    <w:pStyle w:val="79"/>
                    <w:rPr>
                      <w:color w:val="000000" w:themeColor="text1"/>
                      <w14:textFill>
                        <w14:solidFill>
                          <w14:schemeClr w14:val="tx1"/>
                        </w14:solidFill>
                      </w14:textFill>
                    </w:rPr>
                  </w:pPr>
                </w:p>
              </w:tc>
              <w:tc>
                <w:tcPr>
                  <w:tcW w:w="1138" w:type="dxa"/>
                  <w:vMerge w:val="continue"/>
                  <w:vAlign w:val="center"/>
                </w:tcPr>
                <w:p>
                  <w:pPr>
                    <w:pStyle w:val="79"/>
                    <w:rPr>
                      <w:color w:val="000000" w:themeColor="text1"/>
                      <w14:textFill>
                        <w14:solidFill>
                          <w14:schemeClr w14:val="tx1"/>
                        </w14:solidFill>
                      </w14:textFill>
                    </w:rPr>
                  </w:pPr>
                </w:p>
              </w:tc>
              <w:tc>
                <w:tcPr>
                  <w:tcW w:w="6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名称b</w:t>
                  </w:r>
                </w:p>
              </w:tc>
              <w:tc>
                <w:tcPr>
                  <w:tcW w:w="9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受纳水体功能目标c</w:t>
                  </w:r>
                </w:p>
              </w:tc>
              <w:tc>
                <w:tcPr>
                  <w:tcW w:w="152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经度</w:t>
                  </w:r>
                </w:p>
              </w:tc>
              <w:tc>
                <w:tcPr>
                  <w:tcW w:w="142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纬度</w:t>
                  </w:r>
                </w:p>
              </w:tc>
              <w:tc>
                <w:tcPr>
                  <w:tcW w:w="549" w:type="dxa"/>
                  <w:vMerge w:val="continue"/>
                  <w:vAlign w:val="center"/>
                </w:tcPr>
                <w:p>
                  <w:pPr>
                    <w:pStyle w:val="79"/>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6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WS1●</w:t>
                  </w:r>
                </w:p>
              </w:tc>
              <w:tc>
                <w:tcPr>
                  <w:tcW w:w="4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综合废水</w:t>
                  </w:r>
                </w:p>
              </w:tc>
              <w:tc>
                <w:tcPr>
                  <w:tcW w:w="15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112.069912283</w:t>
                  </w:r>
                </w:p>
              </w:tc>
              <w:tc>
                <w:tcPr>
                  <w:tcW w:w="142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26.794891406</w:t>
                  </w:r>
                </w:p>
              </w:tc>
              <w:tc>
                <w:tcPr>
                  <w:tcW w:w="11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0.019644</w:t>
                  </w:r>
                </w:p>
              </w:tc>
              <w:tc>
                <w:tcPr>
                  <w:tcW w:w="46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白河</w:t>
                  </w:r>
                </w:p>
              </w:tc>
              <w:tc>
                <w:tcPr>
                  <w:tcW w:w="17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间断排放，排放期间流量不稳定且无规律，但不属于冲击型排放</w:t>
                  </w:r>
                </w:p>
              </w:tc>
              <w:tc>
                <w:tcPr>
                  <w:tcW w:w="11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0:00-24:00</w:t>
                  </w:r>
                </w:p>
              </w:tc>
              <w:tc>
                <w:tcPr>
                  <w:tcW w:w="6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白河</w:t>
                  </w:r>
                </w:p>
              </w:tc>
              <w:tc>
                <w:tcPr>
                  <w:tcW w:w="976" w:type="dxa"/>
                  <w:vAlign w:val="center"/>
                </w:tcPr>
                <w:p>
                  <w:pPr>
                    <w:pStyle w:val="79"/>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Ⅲ</w:t>
                  </w:r>
                  <w:r>
                    <w:rPr>
                      <w:color w:val="000000" w:themeColor="text1"/>
                      <w14:textFill>
                        <w14:solidFill>
                          <w14:schemeClr w14:val="tx1"/>
                        </w14:solidFill>
                      </w14:textFill>
                    </w:rPr>
                    <w:t>类</w:t>
                  </w:r>
                </w:p>
              </w:tc>
              <w:tc>
                <w:tcPr>
                  <w:tcW w:w="15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112.119596182</w:t>
                  </w:r>
                </w:p>
              </w:tc>
              <w:tc>
                <w:tcPr>
                  <w:tcW w:w="142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26.743623663</w:t>
                  </w:r>
                </w:p>
              </w:tc>
              <w:tc>
                <w:tcPr>
                  <w:tcW w:w="54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119" w:type="dxa"/>
                  <w:gridSpan w:val="14"/>
                  <w:vAlign w:val="center"/>
                </w:tcPr>
                <w:p>
                  <w:pPr>
                    <w:pStyle w:val="79"/>
                    <w:jc w:val="left"/>
                    <w:rPr>
                      <w:color w:val="000000" w:themeColor="text1"/>
                      <w14:textFill>
                        <w14:solidFill>
                          <w14:schemeClr w14:val="tx1"/>
                        </w14:solidFill>
                      </w14:textFill>
                    </w:rPr>
                  </w:pPr>
                  <w:r>
                    <w:rPr>
                      <w:color w:val="000000" w:themeColor="text1"/>
                      <w14:textFill>
                        <w14:solidFill>
                          <w14:schemeClr w14:val="tx1"/>
                        </w14:solidFill>
                      </w14:textFill>
                    </w:rPr>
                    <w:t>a对于直接排放至地表水体的排放口，指废水排出厂界处经纬度坐标；纳入管控的车间或车间处理设施排放口，指废水排出车间或车间处理设施边界处经纬度坐标。</w:t>
                  </w:r>
                </w:p>
                <w:p>
                  <w:pPr>
                    <w:pStyle w:val="79"/>
                    <w:jc w:val="left"/>
                    <w:rPr>
                      <w:color w:val="000000" w:themeColor="text1"/>
                      <w14:textFill>
                        <w14:solidFill>
                          <w14:schemeClr w14:val="tx1"/>
                        </w14:solidFill>
                      </w14:textFill>
                    </w:rPr>
                  </w:pPr>
                  <w:r>
                    <w:rPr>
                      <w:color w:val="000000" w:themeColor="text1"/>
                      <w14:textFill>
                        <w14:solidFill>
                          <w14:schemeClr w14:val="tx1"/>
                        </w14:solidFill>
                      </w14:textFill>
                    </w:rPr>
                    <w:t>b指受纳水体的名称如南沙河、太子河、温榆河等。</w:t>
                  </w:r>
                </w:p>
                <w:p>
                  <w:pPr>
                    <w:pStyle w:val="79"/>
                    <w:jc w:val="left"/>
                    <w:rPr>
                      <w:color w:val="000000" w:themeColor="text1"/>
                      <w14:textFill>
                        <w14:solidFill>
                          <w14:schemeClr w14:val="tx1"/>
                        </w14:solidFill>
                      </w14:textFill>
                    </w:rPr>
                  </w:pPr>
                  <w:r>
                    <w:rPr>
                      <w:color w:val="000000" w:themeColor="text1"/>
                      <w14:textFill>
                        <w14:solidFill>
                          <w14:schemeClr w14:val="tx1"/>
                        </w14:solidFill>
                      </w14:textFill>
                    </w:rPr>
                    <w:t>c指对于直接排放至地表水体的排放口，其所处受纳水体功能类别，如</w:t>
                  </w:r>
                  <w:r>
                    <w:rPr>
                      <w:rFonts w:hint="eastAsia" w:ascii="宋体" w:hAnsi="宋体" w:cs="宋体"/>
                      <w:color w:val="000000" w:themeColor="text1"/>
                      <w14:textFill>
                        <w14:solidFill>
                          <w14:schemeClr w14:val="tx1"/>
                        </w14:solidFill>
                      </w14:textFill>
                    </w:rPr>
                    <w:t>Ⅲ</w:t>
                  </w:r>
                  <w:r>
                    <w:rPr>
                      <w:color w:val="000000" w:themeColor="text1"/>
                      <w14:textFill>
                        <w14:solidFill>
                          <w14:schemeClr w14:val="tx1"/>
                        </w14:solidFill>
                      </w14:textFill>
                    </w:rPr>
                    <w:t>类、</w:t>
                  </w:r>
                  <w:r>
                    <w:rPr>
                      <w:rFonts w:hint="eastAsia" w:ascii="宋体" w:hAnsi="宋体" w:cs="宋体"/>
                      <w:color w:val="000000" w:themeColor="text1"/>
                      <w14:textFill>
                        <w14:solidFill>
                          <w14:schemeClr w14:val="tx1"/>
                        </w14:solidFill>
                      </w14:textFill>
                    </w:rPr>
                    <w:t>Ⅳ</w:t>
                  </w:r>
                  <w:r>
                    <w:rPr>
                      <w:color w:val="000000" w:themeColor="text1"/>
                      <w14:textFill>
                        <w14:solidFill>
                          <w14:schemeClr w14:val="tx1"/>
                        </w14:solidFill>
                      </w14:textFill>
                    </w:rPr>
                    <w:t>类、</w:t>
                  </w:r>
                  <w:r>
                    <w:rPr>
                      <w:rFonts w:hint="eastAsia" w:ascii="宋体" w:hAnsi="宋体" w:cs="宋体"/>
                      <w:color w:val="000000" w:themeColor="text1"/>
                      <w14:textFill>
                        <w14:solidFill>
                          <w14:schemeClr w14:val="tx1"/>
                        </w14:solidFill>
                      </w14:textFill>
                    </w:rPr>
                    <w:t>Ⅴ</w:t>
                  </w:r>
                  <w:r>
                    <w:rPr>
                      <w:color w:val="000000" w:themeColor="text1"/>
                      <w14:textFill>
                        <w14:solidFill>
                          <w14:schemeClr w14:val="tx1"/>
                        </w14:solidFill>
                      </w14:textFill>
                    </w:rPr>
                    <w:t>类等。</w:t>
                  </w:r>
                </w:p>
                <w:p>
                  <w:pPr>
                    <w:pStyle w:val="79"/>
                    <w:jc w:val="left"/>
                    <w:rPr>
                      <w:color w:val="000000" w:themeColor="text1"/>
                      <w14:textFill>
                        <w14:solidFill>
                          <w14:schemeClr w14:val="tx1"/>
                        </w14:solidFill>
                      </w14:textFill>
                    </w:rPr>
                  </w:pPr>
                  <w:r>
                    <w:rPr>
                      <w:color w:val="000000" w:themeColor="text1"/>
                      <w14:textFill>
                        <w14:solidFill>
                          <w14:schemeClr w14:val="tx1"/>
                        </w14:solidFill>
                      </w14:textFill>
                    </w:rPr>
                    <w:t>d对于直接排放至地表水体的排放口，指废水汇入地表水体处经纬度坐标。</w:t>
                  </w:r>
                </w:p>
                <w:p>
                  <w:pPr>
                    <w:pStyle w:val="79"/>
                    <w:jc w:val="left"/>
                    <w:rPr>
                      <w:color w:val="000000" w:themeColor="text1"/>
                      <w14:textFill>
                        <w14:solidFill>
                          <w14:schemeClr w14:val="tx1"/>
                        </w14:solidFill>
                      </w14:textFill>
                    </w:rPr>
                  </w:pPr>
                  <w:r>
                    <w:rPr>
                      <w:color w:val="000000" w:themeColor="text1"/>
                      <w14:textFill>
                        <w14:solidFill>
                          <w14:schemeClr w14:val="tx1"/>
                        </w14:solidFill>
                      </w14:textFill>
                    </w:rPr>
                    <w:t>e废水向海洋排放的，应当填写岸边排放或深海排放。深海排放的，还应说明排放口的深度、与岸线直线距离。在备注中填写。</w:t>
                  </w:r>
                </w:p>
              </w:tc>
            </w:tr>
          </w:tbl>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表7-12  废水污染物排放执行标准表</w:t>
            </w:r>
          </w:p>
          <w:tbl>
            <w:tblPr>
              <w:tblStyle w:val="29"/>
              <w:tblW w:w="13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1630"/>
              <w:gridCol w:w="1630"/>
              <w:gridCol w:w="3221"/>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693"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排放口编号</w:t>
                  </w:r>
                </w:p>
              </w:tc>
              <w:tc>
                <w:tcPr>
                  <w:tcW w:w="3260" w:type="dxa"/>
                  <w:gridSpan w:val="2"/>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污染物种类</w:t>
                  </w:r>
                </w:p>
              </w:tc>
              <w:tc>
                <w:tcPr>
                  <w:tcW w:w="6010" w:type="dxa"/>
                  <w:gridSpan w:val="2"/>
                  <w:vAlign w:val="center"/>
                </w:tcPr>
                <w:p>
                  <w:pPr>
                    <w:pStyle w:val="79"/>
                    <w:rPr>
                      <w:color w:val="000000" w:themeColor="text1"/>
                      <w:vertAlign w:val="superscript"/>
                      <w14:textFill>
                        <w14:solidFill>
                          <w14:schemeClr w14:val="tx1"/>
                        </w14:solidFill>
                      </w14:textFill>
                    </w:rPr>
                  </w:pPr>
                  <w:r>
                    <w:rPr>
                      <w:rFonts w:hint="eastAsia"/>
                      <w:color w:val="000000" w:themeColor="text1"/>
                      <w14:textFill>
                        <w14:solidFill>
                          <w14:schemeClr w14:val="tx1"/>
                        </w14:solidFill>
                      </w14:textFill>
                    </w:rPr>
                    <w:t>国家或地方污染物排放标准及其他按规定商定的排放协议</w:t>
                  </w:r>
                  <w:r>
                    <w:rPr>
                      <w:rFonts w:hint="eastAsia"/>
                      <w:color w:val="000000" w:themeColor="text1"/>
                      <w:vertAlign w:val="superscript"/>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Merge w:val="continue"/>
                  <w:vAlign w:val="center"/>
                </w:tcPr>
                <w:p>
                  <w:pPr>
                    <w:pStyle w:val="79"/>
                    <w:rPr>
                      <w:color w:val="000000" w:themeColor="text1"/>
                      <w14:textFill>
                        <w14:solidFill>
                          <w14:schemeClr w14:val="tx1"/>
                        </w14:solidFill>
                      </w14:textFill>
                    </w:rPr>
                  </w:pPr>
                </w:p>
              </w:tc>
              <w:tc>
                <w:tcPr>
                  <w:tcW w:w="2693" w:type="dxa"/>
                  <w:vMerge w:val="continue"/>
                  <w:vAlign w:val="center"/>
                </w:tcPr>
                <w:p>
                  <w:pPr>
                    <w:pStyle w:val="79"/>
                    <w:rPr>
                      <w:color w:val="000000" w:themeColor="text1"/>
                      <w14:textFill>
                        <w14:solidFill>
                          <w14:schemeClr w14:val="tx1"/>
                        </w14:solidFill>
                      </w14:textFill>
                    </w:rPr>
                  </w:pPr>
                </w:p>
              </w:tc>
              <w:tc>
                <w:tcPr>
                  <w:tcW w:w="3260" w:type="dxa"/>
                  <w:gridSpan w:val="2"/>
                  <w:vMerge w:val="continue"/>
                  <w:vAlign w:val="center"/>
                </w:tcPr>
                <w:p>
                  <w:pPr>
                    <w:pStyle w:val="79"/>
                    <w:rPr>
                      <w:color w:val="000000" w:themeColor="text1"/>
                      <w14:textFill>
                        <w14:solidFill>
                          <w14:schemeClr w14:val="tx1"/>
                        </w14:solidFill>
                      </w14:textFill>
                    </w:rPr>
                  </w:pPr>
                </w:p>
              </w:tc>
              <w:tc>
                <w:tcPr>
                  <w:tcW w:w="322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278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6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WS1</w:t>
                  </w:r>
                  <w:r>
                    <w:rPr>
                      <w:rFonts w:hint="eastAsia" w:ascii="宋体" w:hAnsi="宋体"/>
                      <w:color w:val="000000" w:themeColor="text1"/>
                      <w14:textFill>
                        <w14:solidFill>
                          <w14:schemeClr w14:val="tx1"/>
                        </w14:solidFill>
                      </w14:textFill>
                    </w:rPr>
                    <w:t>●</w:t>
                  </w:r>
                </w:p>
              </w:tc>
              <w:tc>
                <w:tcPr>
                  <w:tcW w:w="163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综合废水</w:t>
                  </w:r>
                </w:p>
              </w:tc>
              <w:tc>
                <w:tcPr>
                  <w:tcW w:w="16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COD</w:t>
                  </w:r>
                </w:p>
                <w:p>
                  <w:pPr>
                    <w:pStyle w:val="79"/>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p>
                  <w:pPr>
                    <w:pStyle w:val="79"/>
                    <w:rPr>
                      <w:color w:val="000000" w:themeColor="text1"/>
                      <w14:textFill>
                        <w14:solidFill>
                          <w14:schemeClr w14:val="tx1"/>
                        </w14:solidFill>
                      </w14:textFill>
                    </w:rPr>
                  </w:pPr>
                  <w:r>
                    <w:rPr>
                      <w:color w:val="000000" w:themeColor="text1"/>
                      <w14:textFill>
                        <w14:solidFill>
                          <w14:schemeClr w14:val="tx1"/>
                        </w14:solidFill>
                      </w14:textFill>
                    </w:rPr>
                    <w:t>SS</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-N</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石油类</w:t>
                  </w:r>
                </w:p>
              </w:tc>
              <w:tc>
                <w:tcPr>
                  <w:tcW w:w="32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《城镇污水处理厂污染物排放标准》一级</w:t>
                  </w:r>
                  <w:r>
                    <w:rPr>
                      <w:rFonts w:hint="eastAsia"/>
                      <w:color w:val="000000" w:themeColor="text1"/>
                      <w14:textFill>
                        <w14:solidFill>
                          <w14:schemeClr w14:val="tx1"/>
                        </w14:solidFill>
                      </w14:textFill>
                    </w:rPr>
                    <w:t>B</w:t>
                  </w:r>
                  <w:r>
                    <w:rPr>
                      <w:color w:val="000000" w:themeColor="text1"/>
                      <w14:textFill>
                        <w14:solidFill>
                          <w14:schemeClr w14:val="tx1"/>
                        </w14:solidFill>
                      </w14:textFill>
                    </w:rPr>
                    <w:t>标准</w:t>
                  </w:r>
                </w:p>
              </w:tc>
              <w:tc>
                <w:tcPr>
                  <w:tcW w:w="278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60mg/L</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20mg/L</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20mg/L</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8.0mg/L</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943" w:type="dxa"/>
                  <w:gridSpan w:val="6"/>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a 指对应排放口须执行的国家或地方污染物排放标准以及其他按规定商定建设项目水污染物排放控制要求的协议，据此确定的排放浓度限值。</w:t>
                  </w:r>
                </w:p>
              </w:tc>
            </w:tr>
          </w:tbl>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表7-13  废水污染物排放信息表</w:t>
            </w:r>
          </w:p>
          <w:tbl>
            <w:tblPr>
              <w:tblStyle w:val="29"/>
              <w:tblW w:w="13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2324"/>
              <w:gridCol w:w="1162"/>
              <w:gridCol w:w="1162"/>
              <w:gridCol w:w="2324"/>
              <w:gridCol w:w="2324"/>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2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32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排放口编号</w:t>
                  </w:r>
                </w:p>
              </w:tc>
              <w:tc>
                <w:tcPr>
                  <w:tcW w:w="2324"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污染物种类</w:t>
                  </w:r>
                </w:p>
              </w:tc>
              <w:tc>
                <w:tcPr>
                  <w:tcW w:w="232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排放浓度/（mg/L）  </w:t>
                  </w:r>
                </w:p>
              </w:tc>
              <w:tc>
                <w:tcPr>
                  <w:tcW w:w="232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日排放量/（t/d）</w:t>
                  </w:r>
                </w:p>
              </w:tc>
              <w:tc>
                <w:tcPr>
                  <w:tcW w:w="232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2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32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WS1</w:t>
                  </w:r>
                  <w:r>
                    <w:rPr>
                      <w:rFonts w:hint="eastAsia" w:ascii="宋体" w:hAnsi="宋体"/>
                      <w:color w:val="000000" w:themeColor="text1"/>
                      <w14:textFill>
                        <w14:solidFill>
                          <w14:schemeClr w14:val="tx1"/>
                        </w14:solidFill>
                      </w14:textFill>
                    </w:rPr>
                    <w:t>●</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综合废水</w:t>
                  </w:r>
                </w:p>
              </w:tc>
              <w:tc>
                <w:tcPr>
                  <w:tcW w:w="116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COD</w:t>
                  </w:r>
                </w:p>
                <w:p>
                  <w:pPr>
                    <w:pStyle w:val="79"/>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p>
                  <w:pPr>
                    <w:pStyle w:val="79"/>
                    <w:rPr>
                      <w:color w:val="000000" w:themeColor="text1"/>
                      <w14:textFill>
                        <w14:solidFill>
                          <w14:schemeClr w14:val="tx1"/>
                        </w14:solidFill>
                      </w14:textFill>
                    </w:rPr>
                  </w:pPr>
                  <w:r>
                    <w:rPr>
                      <w:color w:val="000000" w:themeColor="text1"/>
                      <w14:textFill>
                        <w14:solidFill>
                          <w14:schemeClr w14:val="tx1"/>
                        </w14:solidFill>
                      </w14:textFill>
                    </w:rPr>
                    <w:t>SS</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-N</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石油类</w:t>
                  </w:r>
                </w:p>
              </w:tc>
              <w:tc>
                <w:tcPr>
                  <w:tcW w:w="232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232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2.46×10</w:t>
                  </w:r>
                  <w:r>
                    <w:rPr>
                      <w:rFonts w:hint="eastAsia"/>
                      <w:color w:val="000000" w:themeColor="text1"/>
                      <w:vertAlign w:val="superscript"/>
                      <w14:textFill>
                        <w14:solidFill>
                          <w14:schemeClr w14:val="tx1"/>
                        </w14:solidFill>
                      </w14:textFill>
                    </w:rPr>
                    <w:t>-5</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8.22×10</w:t>
                  </w:r>
                  <w:r>
                    <w:rPr>
                      <w:rFonts w:hint="eastAsia"/>
                      <w:color w:val="000000" w:themeColor="text1"/>
                      <w:vertAlign w:val="superscript"/>
                      <w14:textFill>
                        <w14:solidFill>
                          <w14:schemeClr w14:val="tx1"/>
                        </w14:solidFill>
                      </w14:textFill>
                    </w:rPr>
                    <w:t>-5</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1.09×10</w:t>
                  </w:r>
                  <w:r>
                    <w:rPr>
                      <w:rFonts w:hint="eastAsia"/>
                      <w:color w:val="000000" w:themeColor="text1"/>
                      <w:vertAlign w:val="superscript"/>
                      <w14:textFill>
                        <w14:solidFill>
                          <w14:schemeClr w14:val="tx1"/>
                        </w14:solidFill>
                      </w14:textFill>
                    </w:rPr>
                    <w:t>-5</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3.28×10</w:t>
                  </w:r>
                  <w:r>
                    <w:rPr>
                      <w:rFonts w:hint="eastAsia"/>
                      <w:color w:val="000000" w:themeColor="text1"/>
                      <w:vertAlign w:val="superscript"/>
                      <w14:textFill>
                        <w14:solidFill>
                          <w14:schemeClr w14:val="tx1"/>
                        </w14:solidFill>
                      </w14:textFill>
                    </w:rPr>
                    <w:t>-6</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2.74×10</w:t>
                  </w:r>
                  <w:r>
                    <w:rPr>
                      <w:rFonts w:hint="eastAsia"/>
                      <w:color w:val="000000" w:themeColor="text1"/>
                      <w:vertAlign w:val="superscript"/>
                      <w14:textFill>
                        <w14:solidFill>
                          <w14:schemeClr w14:val="tx1"/>
                        </w14:solidFill>
                      </w14:textFill>
                    </w:rPr>
                    <w:t>-7</w:t>
                  </w:r>
                </w:p>
              </w:tc>
              <w:tc>
                <w:tcPr>
                  <w:tcW w:w="232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0.009</w:t>
                  </w:r>
                </w:p>
                <w:p>
                  <w:pPr>
                    <w:pStyle w:val="79"/>
                    <w:rPr>
                      <w:color w:val="000000" w:themeColor="text1"/>
                      <w14:textFill>
                        <w14:solidFill>
                          <w14:schemeClr w14:val="tx1"/>
                        </w14:solidFill>
                      </w14:textFill>
                    </w:rPr>
                  </w:pPr>
                  <w:r>
                    <w:rPr>
                      <w:color w:val="000000" w:themeColor="text1"/>
                      <w14:textFill>
                        <w14:solidFill>
                          <w14:schemeClr w14:val="tx1"/>
                        </w14:solidFill>
                      </w14:textFill>
                    </w:rPr>
                    <w:t>0.0030</w:t>
                  </w:r>
                </w:p>
                <w:p>
                  <w:pPr>
                    <w:pStyle w:val="79"/>
                    <w:rPr>
                      <w:color w:val="000000" w:themeColor="text1"/>
                      <w14:textFill>
                        <w14:solidFill>
                          <w14:schemeClr w14:val="tx1"/>
                        </w14:solidFill>
                      </w14:textFill>
                    </w:rPr>
                  </w:pPr>
                  <w:r>
                    <w:rPr>
                      <w:color w:val="000000" w:themeColor="text1"/>
                      <w14:textFill>
                        <w14:solidFill>
                          <w14:schemeClr w14:val="tx1"/>
                        </w14:solidFill>
                      </w14:textFill>
                    </w:rPr>
                    <w:t>0.00</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0</w:t>
                  </w:r>
                </w:p>
                <w:p>
                  <w:pPr>
                    <w:pStyle w:val="79"/>
                    <w:rPr>
                      <w:color w:val="000000" w:themeColor="text1"/>
                      <w14:textFill>
                        <w14:solidFill>
                          <w14:schemeClr w14:val="tx1"/>
                        </w14:solidFill>
                      </w14:textFill>
                    </w:rPr>
                  </w:pPr>
                  <w:r>
                    <w:rPr>
                      <w:color w:val="000000" w:themeColor="text1"/>
                      <w14:textFill>
                        <w14:solidFill>
                          <w14:schemeClr w14:val="tx1"/>
                        </w14:solidFill>
                      </w14:textFill>
                    </w:rPr>
                    <w:t>0.0012</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7" w:type="dxa"/>
                  <w:gridSpan w:val="2"/>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全厂排放口合计</w:t>
                  </w:r>
                </w:p>
              </w:tc>
              <w:tc>
                <w:tcPr>
                  <w:tcW w:w="6972" w:type="dxa"/>
                  <w:gridSpan w:val="4"/>
                  <w:vAlign w:val="center"/>
                </w:tcPr>
                <w:p>
                  <w:pPr>
                    <w:pStyle w:val="79"/>
                    <w:rPr>
                      <w:color w:val="000000" w:themeColor="text1"/>
                      <w:szCs w:val="21"/>
                      <w14:textFill>
                        <w14:solidFill>
                          <w14:schemeClr w14:val="tx1"/>
                        </w14:solidFill>
                      </w14:textFill>
                    </w:rPr>
                  </w:pPr>
                  <w:r>
                    <w:rPr>
                      <w:color w:val="000000" w:themeColor="text1"/>
                      <w14:textFill>
                        <w14:solidFill>
                          <w14:schemeClr w14:val="tx1"/>
                        </w14:solidFill>
                      </w14:textFill>
                    </w:rPr>
                    <w:t>COD</w:t>
                  </w:r>
                </w:p>
              </w:tc>
              <w:tc>
                <w:tcPr>
                  <w:tcW w:w="232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w:t>
                  </w:r>
                  <w:r>
                    <w:rPr>
                      <w:rFonts w:hint="eastAsia"/>
                      <w:color w:val="000000" w:themeColor="text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7" w:type="dxa"/>
                  <w:gridSpan w:val="2"/>
                  <w:vMerge w:val="continue"/>
                  <w:vAlign w:val="center"/>
                </w:tcPr>
                <w:p>
                  <w:pPr>
                    <w:pStyle w:val="79"/>
                    <w:rPr>
                      <w:color w:val="000000" w:themeColor="text1"/>
                      <w14:textFill>
                        <w14:solidFill>
                          <w14:schemeClr w14:val="tx1"/>
                        </w14:solidFill>
                      </w14:textFill>
                    </w:rPr>
                  </w:pPr>
                </w:p>
              </w:tc>
              <w:tc>
                <w:tcPr>
                  <w:tcW w:w="6972" w:type="dxa"/>
                  <w:gridSpan w:val="4"/>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232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7" w:type="dxa"/>
                  <w:gridSpan w:val="2"/>
                  <w:vMerge w:val="continue"/>
                  <w:vAlign w:val="center"/>
                </w:tcPr>
                <w:p>
                  <w:pPr>
                    <w:pStyle w:val="79"/>
                    <w:rPr>
                      <w:color w:val="000000" w:themeColor="text1"/>
                      <w14:textFill>
                        <w14:solidFill>
                          <w14:schemeClr w14:val="tx1"/>
                        </w14:solidFill>
                      </w14:textFill>
                    </w:rPr>
                  </w:pPr>
                </w:p>
              </w:tc>
              <w:tc>
                <w:tcPr>
                  <w:tcW w:w="6972" w:type="dxa"/>
                  <w:gridSpan w:val="4"/>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SS</w:t>
                  </w:r>
                </w:p>
              </w:tc>
              <w:tc>
                <w:tcPr>
                  <w:tcW w:w="232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7" w:type="dxa"/>
                  <w:gridSpan w:val="2"/>
                  <w:vMerge w:val="continue"/>
                  <w:vAlign w:val="center"/>
                </w:tcPr>
                <w:p>
                  <w:pPr>
                    <w:pStyle w:val="79"/>
                    <w:rPr>
                      <w:color w:val="000000" w:themeColor="text1"/>
                      <w14:textFill>
                        <w14:solidFill>
                          <w14:schemeClr w14:val="tx1"/>
                        </w14:solidFill>
                      </w14:textFill>
                    </w:rPr>
                  </w:pPr>
                </w:p>
              </w:tc>
              <w:tc>
                <w:tcPr>
                  <w:tcW w:w="6972" w:type="dxa"/>
                  <w:gridSpan w:val="4"/>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p>
              </w:tc>
              <w:tc>
                <w:tcPr>
                  <w:tcW w:w="232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7" w:type="dxa"/>
                  <w:gridSpan w:val="2"/>
                  <w:vMerge w:val="continue"/>
                  <w:vAlign w:val="center"/>
                </w:tcPr>
                <w:p>
                  <w:pPr>
                    <w:pStyle w:val="79"/>
                    <w:rPr>
                      <w:color w:val="000000" w:themeColor="text1"/>
                      <w14:textFill>
                        <w14:solidFill>
                          <w14:schemeClr w14:val="tx1"/>
                        </w14:solidFill>
                      </w14:textFill>
                    </w:rPr>
                  </w:pPr>
                </w:p>
              </w:tc>
              <w:tc>
                <w:tcPr>
                  <w:tcW w:w="6972" w:type="dxa"/>
                  <w:gridSpan w:val="4"/>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石油类</w:t>
                  </w:r>
                </w:p>
              </w:tc>
              <w:tc>
                <w:tcPr>
                  <w:tcW w:w="232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0.0001</w:t>
                  </w:r>
                </w:p>
              </w:tc>
            </w:tr>
          </w:tbl>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表7-14  环境监测计划及记录信息表</w:t>
            </w:r>
          </w:p>
          <w:tbl>
            <w:tblPr>
              <w:tblStyle w:val="29"/>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276"/>
              <w:gridCol w:w="992"/>
              <w:gridCol w:w="1276"/>
              <w:gridCol w:w="2126"/>
              <w:gridCol w:w="992"/>
              <w:gridCol w:w="1276"/>
              <w:gridCol w:w="1276"/>
              <w:gridCol w:w="85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排放口编号</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污染物名称</w:t>
                  </w:r>
                </w:p>
              </w:tc>
              <w:tc>
                <w:tcPr>
                  <w:tcW w:w="99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监测设施</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自动监测设</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施安装位置</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自动监测设施的安装、运行、维护等相关管理要求</w:t>
                  </w:r>
                </w:p>
              </w:tc>
              <w:tc>
                <w:tcPr>
                  <w:tcW w:w="99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自动监测是否联网</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自动监测仪器名称</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手工监测采样方法及个数（a）</w:t>
                  </w:r>
                </w:p>
              </w:tc>
              <w:tc>
                <w:tcPr>
                  <w:tcW w:w="85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手工监测频次（b）</w:t>
                  </w:r>
                </w:p>
              </w:tc>
              <w:tc>
                <w:tcPr>
                  <w:tcW w:w="204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手工测定方法（c）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WS1</w:t>
                  </w:r>
                  <w:r>
                    <w:rPr>
                      <w:rFonts w:hint="eastAsia" w:ascii="宋体" w:hAnsi="宋体"/>
                      <w:color w:val="000000" w:themeColor="text1"/>
                      <w14:textFill>
                        <w14:solidFill>
                          <w14:schemeClr w14:val="tx1"/>
                        </w14:solidFill>
                      </w14:textFill>
                    </w:rPr>
                    <w:t>●</w:t>
                  </w:r>
                </w:p>
              </w:tc>
              <w:tc>
                <w:tcPr>
                  <w:tcW w:w="127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COD</w:t>
                  </w:r>
                </w:p>
                <w:p>
                  <w:pPr>
                    <w:pStyle w:val="79"/>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p>
                  <w:pPr>
                    <w:pStyle w:val="79"/>
                    <w:rPr>
                      <w:color w:val="000000" w:themeColor="text1"/>
                      <w14:textFill>
                        <w14:solidFill>
                          <w14:schemeClr w14:val="tx1"/>
                        </w14:solidFill>
                      </w14:textFill>
                    </w:rPr>
                  </w:pPr>
                  <w:r>
                    <w:rPr>
                      <w:color w:val="000000" w:themeColor="text1"/>
                      <w14:textFill>
                        <w14:solidFill>
                          <w14:schemeClr w14:val="tx1"/>
                        </w14:solidFill>
                      </w14:textFill>
                    </w:rPr>
                    <w:t>SS</w:t>
                  </w:r>
                </w:p>
                <w:p>
                  <w:pPr>
                    <w:pStyle w:val="79"/>
                    <w:rPr>
                      <w:color w:val="000000" w:themeColor="text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石油类</w:t>
                  </w:r>
                </w:p>
              </w:tc>
              <w:tc>
                <w:tcPr>
                  <w:tcW w:w="99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□自动</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手工</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9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混合采样（4个混合）</w:t>
                  </w:r>
                </w:p>
              </w:tc>
              <w:tc>
                <w:tcPr>
                  <w:tcW w:w="85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1次/周</w:t>
                  </w:r>
                </w:p>
              </w:tc>
              <w:tc>
                <w:tcPr>
                  <w:tcW w:w="204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重铬酸钾法、稀释与接种法、</w:t>
                  </w:r>
                  <w:r>
                    <w:rPr>
                      <w:color w:val="000000" w:themeColor="text1"/>
                      <w:szCs w:val="21"/>
                      <w14:textFill>
                        <w14:solidFill>
                          <w14:schemeClr w14:val="tx1"/>
                        </w14:solidFill>
                      </w14:textFill>
                    </w:rPr>
                    <w:t>重量法</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水杨酸分光光度法、红外分光光度法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8" w:type="dxa"/>
                  <w:gridSpan w:val="11"/>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a指污染物采样方法，如 “混合采样（3 个、4个或5个混合）”“瞬时采样（3 个、4个或5个瞬时样）”。</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b  指一段时期内的监测次数要求，如 1次/周、1次/月等。</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c  指污染物浓度测定方法，如测定化学需氧量的重铬酸钾法、测定氨氮的水杨酸分光光度法等。</w:t>
                  </w:r>
                </w:p>
              </w:tc>
            </w:tr>
          </w:tbl>
          <w:p>
            <w:pPr>
              <w:widowControl/>
              <w:jc w:val="left"/>
              <w:rPr>
                <w:rFonts w:ascii="Times New Roman" w:hAnsi="Times New Roman"/>
                <w:b/>
                <w:bCs/>
                <w:color w:val="000000" w:themeColor="text1"/>
                <w:kern w:val="44"/>
                <w:sz w:val="28"/>
                <w:szCs w:val="28"/>
                <w14:textFill>
                  <w14:solidFill>
                    <w14:schemeClr w14:val="tx1"/>
                  </w14:solidFill>
                </w14:textFill>
              </w:rPr>
            </w:pPr>
          </w:p>
        </w:tc>
      </w:tr>
    </w:tbl>
    <w:p>
      <w:pPr>
        <w:widowControl/>
        <w:jc w:val="left"/>
        <w:rPr>
          <w:rFonts w:ascii="Times New Roman" w:hAnsi="Times New Roman"/>
          <w:b/>
          <w:bCs/>
          <w:color w:val="000000" w:themeColor="text1"/>
          <w:kern w:val="44"/>
          <w:sz w:val="28"/>
          <w:szCs w:val="28"/>
          <w14:textFill>
            <w14:solidFill>
              <w14:schemeClr w14:val="tx1"/>
            </w14:solidFill>
          </w14:textFill>
        </w:rPr>
        <w:sectPr>
          <w:pgSz w:w="16838" w:h="11906" w:orient="landscape"/>
          <w:pgMar w:top="1247" w:right="1440" w:bottom="1247" w:left="1440" w:header="851" w:footer="992" w:gutter="0"/>
          <w:cols w:space="720" w:num="1"/>
          <w:docGrid w:type="lines" w:linePitch="312" w:charSpace="0"/>
        </w:sectPr>
      </w:pP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（1）本项目废水进祁东县渔陂污水处理厂可行性分析</w:t>
            </w:r>
          </w:p>
          <w:p>
            <w:pPr>
              <w:pStyle w:val="54"/>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祁东县渔陂污水处理厂，厂区具体位于湖南衡阳市祁东县洪桥镇渔陂村，</w:t>
            </w:r>
            <w:r>
              <w:rPr>
                <w:rFonts w:hint="eastAsia"/>
                <w:color w:val="000000" w:themeColor="text1"/>
                <w:u w:val="single"/>
                <w14:textFill>
                  <w14:solidFill>
                    <w14:schemeClr w14:val="tx1"/>
                  </w14:solidFill>
                </w14:textFill>
              </w:rPr>
              <w:t>距离县城5.5公里，一期工程</w:t>
            </w:r>
            <w:r>
              <w:rPr>
                <w:color w:val="000000" w:themeColor="text1"/>
                <w:u w:val="single"/>
                <w14:textFill>
                  <w14:solidFill>
                    <w14:schemeClr w14:val="tx1"/>
                  </w14:solidFill>
                </w14:textFill>
              </w:rPr>
              <w:t>设计处理能力为日处理污水2万立方米</w:t>
            </w:r>
            <w:r>
              <w:rPr>
                <w:rFonts w:hint="eastAsia"/>
                <w:color w:val="000000" w:themeColor="text1"/>
                <w:u w:val="single"/>
                <w14:textFill>
                  <w14:solidFill>
                    <w14:schemeClr w14:val="tx1"/>
                  </w14:solidFill>
                </w14:textFill>
              </w:rPr>
              <w:t>，配套管网长54公里，服务面积16.5平方公里，主要服务</w:t>
            </w:r>
            <w:r>
              <w:rPr>
                <w:color w:val="000000" w:themeColor="text1"/>
                <w:u w:val="single"/>
                <w14:textFill>
                  <w14:solidFill>
                    <w14:schemeClr w14:val="tx1"/>
                  </w14:solidFill>
                </w14:textFill>
              </w:rPr>
              <w:t>祁东</w:t>
            </w:r>
            <w:r>
              <w:rPr>
                <w:rFonts w:hint="eastAsia"/>
                <w:color w:val="000000" w:themeColor="text1"/>
                <w:u w:val="single"/>
                <w14:textFill>
                  <w14:solidFill>
                    <w14:schemeClr w14:val="tx1"/>
                  </w14:solidFill>
                </w14:textFill>
              </w:rPr>
              <w:t>县城城区人口15万人</w:t>
            </w:r>
            <w:r>
              <w:rPr>
                <w:color w:val="000000" w:themeColor="text1"/>
                <w:u w:val="single"/>
                <w14:textFill>
                  <w14:solidFill>
                    <w14:schemeClr w14:val="tx1"/>
                  </w14:solidFill>
                </w14:textFill>
              </w:rPr>
              <w:t>。祁东县渔陂污水处理厂自2009年11月正式投入运行以来，污水处理设备运转良好。该项目采用先进的污水处理设备，厂区主体工艺采用氧化沟处理工艺，经处理后的污水水质排放标准为《城镇污水处理厂污染物排放标准》（GB18918-2002）一级B标准</w:t>
            </w:r>
            <w:r>
              <w:rPr>
                <w:rFonts w:hint="eastAsia"/>
                <w:color w:val="000000" w:themeColor="text1"/>
                <w:u w:val="single"/>
                <w14:textFill>
                  <w14:solidFill>
                    <w14:schemeClr w14:val="tx1"/>
                  </w14:solidFill>
                </w14:textFill>
              </w:rPr>
              <w:t>，最终排入白河</w:t>
            </w:r>
            <w:r>
              <w:rPr>
                <w:color w:val="000000" w:themeColor="text1"/>
                <w:u w:val="single"/>
                <w14:textFill>
                  <w14:solidFill>
                    <w14:schemeClr w14:val="tx1"/>
                  </w14:solidFill>
                </w14:textFill>
              </w:rPr>
              <w:t>。</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但近年来，随着</w:t>
            </w:r>
            <w:r>
              <w:rPr>
                <w:color w:val="000000" w:themeColor="text1"/>
                <w:u w:val="single"/>
                <w14:textFill>
                  <w14:solidFill>
                    <w14:schemeClr w14:val="tx1"/>
                  </w14:solidFill>
                </w14:textFill>
              </w:rPr>
              <w:t>祁东</w:t>
            </w:r>
            <w:r>
              <w:rPr>
                <w:rFonts w:hint="eastAsia"/>
                <w:color w:val="000000" w:themeColor="text1"/>
                <w:u w:val="single"/>
                <w14:textFill>
                  <w14:solidFill>
                    <w14:schemeClr w14:val="tx1"/>
                  </w14:solidFill>
                </w14:textFill>
              </w:rPr>
              <w:t>县经济快速发展，城区面积和人口激增，原有污水处理厂已不能满足实际需要。</w:t>
            </w:r>
            <w:r>
              <w:rPr>
                <w:color w:val="000000" w:themeColor="text1"/>
                <w:u w:val="single"/>
                <w14:textFill>
                  <w14:solidFill>
                    <w14:schemeClr w14:val="tx1"/>
                  </w14:solidFill>
                </w14:textFill>
              </w:rPr>
              <w:t>渔陂污水处理厂</w:t>
            </w:r>
            <w:r>
              <w:rPr>
                <w:rFonts w:hint="eastAsia"/>
                <w:color w:val="000000" w:themeColor="text1"/>
                <w:u w:val="single"/>
                <w14:textFill>
                  <w14:solidFill>
                    <w14:schemeClr w14:val="tx1"/>
                  </w14:solidFill>
                </w14:textFill>
              </w:rPr>
              <w:t>二期工程</w:t>
            </w:r>
            <w:r>
              <w:rPr>
                <w:color w:val="000000" w:themeColor="text1"/>
                <w:u w:val="single"/>
                <w14:textFill>
                  <w14:solidFill>
                    <w14:schemeClr w14:val="tx1"/>
                  </w14:solidFill>
                </w14:textFill>
              </w:rPr>
              <w:t>设计处理能力为日处理污水2万立方米</w:t>
            </w:r>
            <w:r>
              <w:rPr>
                <w:rFonts w:hint="eastAsia"/>
                <w:color w:val="000000" w:themeColor="text1"/>
                <w:u w:val="single"/>
                <w14:textFill>
                  <w14:solidFill>
                    <w14:schemeClr w14:val="tx1"/>
                  </w14:solidFill>
                </w14:textFill>
              </w:rPr>
              <w:t>，分厂区工程和配套管网工程两块，厂区工程投资概算为4500万元，配套网管投资概算1.26亿元。二期工程一期项目将建成厂区工程和配套主干网工程，完成投资7500万元，工程建设主要内容包：括氧化沟二座、二沉池二座、剩余回流污泥泵站一座，主干网建设里程7公里左右，主要收集县城新区生活污水</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工程建成投产后，</w:t>
            </w:r>
            <w:r>
              <w:rPr>
                <w:color w:val="000000" w:themeColor="text1"/>
                <w:u w:val="single"/>
                <w14:textFill>
                  <w14:solidFill>
                    <w14:schemeClr w14:val="tx1"/>
                  </w14:solidFill>
                </w14:textFill>
              </w:rPr>
              <w:t>渔陂</w:t>
            </w:r>
            <w:r>
              <w:fldChar w:fldCharType="begin"/>
            </w:r>
            <w:r>
              <w:instrText xml:space="preserve"> HYPERLINK "http://www.hengchengxinsheng.com/" \t "_blank" </w:instrText>
            </w:r>
            <w:r>
              <w:fldChar w:fldCharType="separate"/>
            </w:r>
            <w:r>
              <w:rPr>
                <w:rFonts w:hint="eastAsia"/>
                <w:color w:val="000000" w:themeColor="text1"/>
                <w:u w:val="single"/>
                <w14:textFill>
                  <w14:solidFill>
                    <w14:schemeClr w14:val="tx1"/>
                  </w14:solidFill>
                </w14:textFill>
              </w:rPr>
              <w:t>污水处理</w:t>
            </w:r>
            <w:r>
              <w:rPr>
                <w:color w:val="000000" w:themeColor="text1"/>
                <w:u w:val="single"/>
                <w14:textFill>
                  <w14:solidFill>
                    <w14:schemeClr w14:val="tx1"/>
                  </w14:solidFill>
                </w14:textFill>
              </w:rPr>
              <w:fldChar w:fldCharType="end"/>
            </w:r>
            <w:r>
              <w:rPr>
                <w:rFonts w:hint="eastAsia"/>
                <w:color w:val="000000" w:themeColor="text1"/>
                <w:u w:val="single"/>
                <w14:textFill>
                  <w14:solidFill>
                    <w14:schemeClr w14:val="tx1"/>
                  </w14:solidFill>
                </w14:textFill>
              </w:rPr>
              <w:t>厂日处理规模达4万吨，县城污水收集率达85%以上，年消减COD300吨左右。</w:t>
            </w:r>
          </w:p>
          <w:p>
            <w:pPr>
              <w:pStyle w:val="54"/>
              <w:ind w:firstLine="480"/>
              <w:rPr>
                <w:color w:val="000000" w:themeColor="text1"/>
                <w:u w:val="single"/>
                <w14:textFill>
                  <w14:solidFill>
                    <w14:schemeClr w14:val="tx1"/>
                  </w14:solidFill>
                </w14:textFill>
              </w:rPr>
            </w:pPr>
            <w:r>
              <w:rPr>
                <w:color w:val="000000" w:themeColor="text1"/>
                <w:szCs w:val="24"/>
                <w:u w:val="single"/>
                <w14:textFill>
                  <w14:solidFill>
                    <w14:schemeClr w14:val="tx1"/>
                  </w14:solidFill>
                </w14:textFill>
              </w:rPr>
              <w:t>渔陂污</w:t>
            </w:r>
            <w:r>
              <w:rPr>
                <w:color w:val="000000" w:themeColor="text1"/>
                <w:u w:val="single"/>
                <w14:textFill>
                  <w14:solidFill>
                    <w14:schemeClr w14:val="tx1"/>
                  </w14:solidFill>
                </w14:textFill>
              </w:rPr>
              <w:t>水处理厂</w:t>
            </w:r>
            <w:r>
              <w:rPr>
                <w:rFonts w:hint="eastAsia"/>
                <w:color w:val="000000" w:themeColor="text1"/>
                <w:u w:val="single"/>
                <w14:textFill>
                  <w14:solidFill>
                    <w14:schemeClr w14:val="tx1"/>
                  </w14:solidFill>
                </w14:textFill>
              </w:rPr>
              <w:t>二期工程</w:t>
            </w:r>
            <w:r>
              <w:rPr>
                <w:color w:val="000000" w:themeColor="text1"/>
                <w:u w:val="single"/>
                <w14:textFill>
                  <w14:solidFill>
                    <w14:schemeClr w14:val="tx1"/>
                  </w14:solidFill>
                </w14:textFill>
              </w:rPr>
              <w:t>设计处理能力为日处理污水2万立方米</w:t>
            </w:r>
            <w:r>
              <w:rPr>
                <w:rFonts w:hint="eastAsia"/>
                <w:color w:val="000000" w:themeColor="text1"/>
                <w:u w:val="single"/>
                <w14:textFill>
                  <w14:solidFill>
                    <w14:schemeClr w14:val="tx1"/>
                  </w14:solidFill>
                </w14:textFill>
              </w:rPr>
              <w:t>，分厂区工程和配套管网工程两块建设，主要收集县城新区生活污水，工程建成投产后，县城污水收集率达85%以上，进一步完善祁东县城区的污水处理能力，总处理规模4</w:t>
            </w:r>
            <w:r>
              <w:rPr>
                <w:color w:val="000000" w:themeColor="text1"/>
                <w:u w:val="single"/>
                <w14:textFill>
                  <w14:solidFill>
                    <w14:schemeClr w14:val="tx1"/>
                  </w14:solidFill>
                </w14:textFill>
              </w:rPr>
              <w:t>万立方米</w:t>
            </w:r>
            <w:r>
              <w:rPr>
                <w:rFonts w:hint="eastAsia"/>
                <w:color w:val="000000" w:themeColor="text1"/>
                <w:u w:val="single"/>
                <w14:textFill>
                  <w14:solidFill>
                    <w14:schemeClr w14:val="tx1"/>
                  </w14:solidFill>
                </w14:textFill>
              </w:rPr>
              <w:t>。本项目位于祁东县城区主干路祁丰路及城西路交叉口，污水管网排放城西路市政污水管网，最终进入污水总干管排放渔陂污水污水处理厂，详见附图5。本项目所排废水水质简单，完全可以达到渔陂污水处理厂废水纳管要求，日</w:t>
            </w:r>
            <w:r>
              <w:rPr>
                <w:rFonts w:hint="eastAsia"/>
                <w:color w:val="000000" w:themeColor="text1"/>
                <w:szCs w:val="24"/>
                <w:u w:val="single"/>
                <w14:textFill>
                  <w14:solidFill>
                    <w14:schemeClr w14:val="tx1"/>
                  </w14:solidFill>
                </w14:textFill>
              </w:rPr>
              <w:t>排水量为0.54m</w:t>
            </w:r>
            <w:r>
              <w:rPr>
                <w:color w:val="000000" w:themeColor="text1"/>
                <w:szCs w:val="24"/>
                <w:u w:val="single"/>
                <w:vertAlign w:val="superscript"/>
                <w14:textFill>
                  <w14:solidFill>
                    <w14:schemeClr w14:val="tx1"/>
                  </w14:solidFill>
                </w14:textFill>
              </w:rPr>
              <w:t>3</w:t>
            </w:r>
            <w:r>
              <w:rPr>
                <w:color w:val="000000" w:themeColor="text1"/>
                <w:szCs w:val="24"/>
                <w:u w:val="single"/>
                <w14:textFill>
                  <w14:solidFill>
                    <w14:schemeClr w14:val="tx1"/>
                  </w14:solidFill>
                </w14:textFill>
              </w:rPr>
              <w:t>/</w:t>
            </w:r>
            <w:r>
              <w:rPr>
                <w:rFonts w:hint="eastAsia"/>
                <w:color w:val="000000" w:themeColor="text1"/>
                <w:szCs w:val="24"/>
                <w:u w:val="single"/>
                <w14:textFill>
                  <w14:solidFill>
                    <w14:schemeClr w14:val="tx1"/>
                  </w14:solidFill>
                </w14:textFill>
              </w:rPr>
              <w:t>d，所占比例较小，不会对污水厂处理水量造成冲击。由以上可知项目所排污水可以得到有效处置，对</w:t>
            </w:r>
            <w:r>
              <w:rPr>
                <w:rFonts w:hint="eastAsia"/>
                <w:color w:val="000000" w:themeColor="text1"/>
                <w:u w:val="single"/>
                <w14:textFill>
                  <w14:solidFill>
                    <w14:schemeClr w14:val="tx1"/>
                  </w14:solidFill>
                </w14:textFill>
              </w:rPr>
              <w:t>周边地表水环境不利影响很小。</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（2）本项目废水处理措施可行性分析</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本项目排水系统采用雨污分流制；雨水由站内雨水管收集后，排入市政雨水管网中；项目西侧拟设置1个6m</w:t>
            </w:r>
            <w:r>
              <w:rPr>
                <w:color w:val="000000" w:themeColor="text1"/>
                <w:u w:val="single"/>
                <w14:textFill>
                  <w14:solidFill>
                    <w14:schemeClr w14:val="tx1"/>
                  </w14:solidFill>
                </w14:textFill>
              </w:rPr>
              <w:t>³</w:t>
            </w:r>
            <w:r>
              <w:rPr>
                <w:rFonts w:hint="eastAsia"/>
                <w:color w:val="000000" w:themeColor="text1"/>
                <w:u w:val="single"/>
                <w14:textFill>
                  <w14:solidFill>
                    <w14:schemeClr w14:val="tx1"/>
                  </w14:solidFill>
                </w14:textFill>
              </w:rPr>
              <w:t>的化粪池，生活污水经化粪池处理后经市政污水管网排入鱼陂污水处理厂；站房西南侧设置1个5m</w:t>
            </w:r>
            <w:r>
              <w:rPr>
                <w:color w:val="000000" w:themeColor="text1"/>
                <w:u w:val="single"/>
                <w14:textFill>
                  <w14:solidFill>
                    <w14:schemeClr w14:val="tx1"/>
                  </w14:solidFill>
                </w14:textFill>
              </w:rPr>
              <w:t>³</w:t>
            </w:r>
            <w:r>
              <w:rPr>
                <w:rFonts w:hint="eastAsia"/>
                <w:color w:val="000000" w:themeColor="text1"/>
                <w:u w:val="single"/>
                <w14:textFill>
                  <w14:solidFill>
                    <w14:schemeClr w14:val="tx1"/>
                  </w14:solidFill>
                </w14:textFill>
              </w:rPr>
              <w:t>的隔油池，站区内地面冲洗废水经站区周边截水沟引入隔油池内处理，处理后的废水经市政污水管网排入鱼陂污水处理厂。</w:t>
            </w:r>
          </w:p>
          <w:p>
            <w:pPr>
              <w:pStyle w:val="54"/>
              <w:ind w:firstLine="48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综上，本项目废水经采用上述措施处理后可达标外排，对地表水环境影响较小。</w:t>
            </w:r>
          </w:p>
          <w:p>
            <w:pPr>
              <w:pStyle w:val="4"/>
              <w:rPr>
                <w:color w:val="000000" w:themeColor="text1"/>
                <w14:textFill>
                  <w14:solidFill>
                    <w14:schemeClr w14:val="tx1"/>
                  </w14:solidFill>
                </w14:textFill>
              </w:rPr>
            </w:pPr>
            <w:bookmarkStart w:id="38" w:name="_Toc287535140"/>
            <w:r>
              <w:rPr>
                <w:rFonts w:hint="eastAsia"/>
                <w:color w:val="000000" w:themeColor="text1"/>
                <w14:textFill>
                  <w14:solidFill>
                    <w14:schemeClr w14:val="tx1"/>
                  </w14:solidFill>
                </w14:textFill>
              </w:rPr>
              <w:t>7.2.3 地下水环境影响分析</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项目周边居民均使用小水井，根据现场调查，项目区油罐区设有监测井。加油站储油罐和输油管线的泄漏或渗漏，将会对地下水、土壤产生严重的污染，因此加油站储油罐区对油罐</w:t>
            </w:r>
            <w:r>
              <w:rPr>
                <w:color w:val="000000" w:themeColor="text1"/>
                <w:lang w:val="en-GB"/>
                <w14:textFill>
                  <w14:solidFill>
                    <w14:schemeClr w14:val="tx1"/>
                  </w14:solidFill>
                </w14:textFill>
              </w:rPr>
              <w:t>的防漏和土壤的防渗问题最为关键，防止油站的油料跑、冒、滴、漏产生的渗漏进入土壤和区域地下水而造成污染影响，储油罐和输油管线的泄漏或渗漏对地下水的污染是相当的严重，地下水一旦遭到燃料油的污染，使地下水产生严重异味，并具有较强的致畸致癌性，根本无法饮用。又由于这种渗漏必然穿过较厚的土壤层，使土壤层中吸附了大量的燃料油，土壤层吸附的燃料油不仅会造成植物生物的死亡，而且土壤层吸附的燃料油还会随着地表水的下渗对土壤层的冲刷作用补充到地下水，这样尽管污染源得到及时控制，但这种污染仅靠地表雨水入渗的冲刷，含水层的自净降解将是一个长期的过程。</w:t>
            </w:r>
            <w:r>
              <w:rPr>
                <w:color w:val="000000" w:themeColor="text1"/>
                <w14:textFill>
                  <w14:solidFill>
                    <w14:schemeClr w14:val="tx1"/>
                  </w14:solidFill>
                </w14:textFill>
              </w:rPr>
              <w:t>石油类渗入区域土壤以及地下水产生的污染将是不可逆转的，其污染的影响将是长期的。因此站区的油料存放地的防漏、防渗问题必须在设计中加以解决。为防止地下水受污染，根据《石油化工工程防渗技术规范》(GBT50934-2013)、《汽车加油加气站设计与施工规范》（GB50156-2012）、《石油化工设备和管道涂料防腐蚀技术规范》（SH3022）及《钢质管道外腐蚀控制规范》（GB/T21447），本项目采取如下防渗漏措施：</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1）建设项目应采取防止和降低污染物跑、冒、滴、漏的措施。</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2）防渗设计依据污染防治分区采取相应的防渗方案。根据装置、单元的特点和所处的区域及部位，可将建设场地划分为非污染防治区、一般污染防治区和重点污染防治区。</w:t>
            </w:r>
            <w:r>
              <w:rPr>
                <w:rFonts w:hint="eastAsia"/>
                <w:color w:val="000000" w:themeColor="text1"/>
                <w:szCs w:val="24"/>
                <w14:textFill>
                  <w14:solidFill>
                    <w14:schemeClr w14:val="tx1"/>
                  </w14:solidFill>
                </w14:textFill>
              </w:rPr>
              <w:t>本项目防渗分区详见下表。</w:t>
            </w:r>
            <w:r>
              <w:rPr>
                <w:color w:val="000000" w:themeColor="text1"/>
                <w:szCs w:val="24"/>
                <w14:textFill>
                  <w14:solidFill>
                    <w14:schemeClr w14:val="tx1"/>
                  </w14:solidFill>
                </w14:textFill>
              </w:rPr>
              <w:t>污染防治区应采取防止污染物慢流到非污染防治区的措施。</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15  项目分区防渗一览</w:t>
            </w:r>
          </w:p>
          <w:tbl>
            <w:tblPr>
              <w:tblStyle w:val="29"/>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3968"/>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223" w:type="pct"/>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装置、单元名称</w:t>
                  </w:r>
                </w:p>
              </w:tc>
              <w:tc>
                <w:tcPr>
                  <w:tcW w:w="2110" w:type="pct"/>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污染防治区域及部位</w:t>
                  </w:r>
                </w:p>
              </w:tc>
              <w:tc>
                <w:tcPr>
                  <w:tcW w:w="1667" w:type="pct"/>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污染防治区类别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223" w:type="pct"/>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埋地油罐</w:t>
                  </w:r>
                </w:p>
              </w:tc>
              <w:tc>
                <w:tcPr>
                  <w:tcW w:w="2110" w:type="pct"/>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罐基础</w:t>
                  </w:r>
                </w:p>
              </w:tc>
              <w:tc>
                <w:tcPr>
                  <w:tcW w:w="1667" w:type="pct"/>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重点污染防治区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223" w:type="pct"/>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油泵及油品计量站</w:t>
                  </w:r>
                </w:p>
              </w:tc>
              <w:tc>
                <w:tcPr>
                  <w:tcW w:w="2110" w:type="pct"/>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地面</w:t>
                  </w:r>
                </w:p>
              </w:tc>
              <w:tc>
                <w:tcPr>
                  <w:tcW w:w="1667" w:type="pct"/>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一般污染防治区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223" w:type="pct"/>
                  <w:tcBorders>
                    <w:bottom w:val="single" w:color="auto" w:sz="4" w:space="0"/>
                  </w:tcBorders>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油品回收设施</w:t>
                  </w:r>
                </w:p>
              </w:tc>
              <w:tc>
                <w:tcPr>
                  <w:tcW w:w="2110" w:type="pct"/>
                  <w:tcBorders>
                    <w:bottom w:val="single" w:color="auto" w:sz="4" w:space="0"/>
                  </w:tcBorders>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地面</w:t>
                  </w:r>
                </w:p>
              </w:tc>
              <w:tc>
                <w:tcPr>
                  <w:tcW w:w="1667" w:type="pct"/>
                  <w:tcBorders>
                    <w:bottom w:val="single" w:color="auto" w:sz="4" w:space="0"/>
                  </w:tcBorders>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一般污染防治区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223"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污水沟</w:t>
                  </w:r>
                </w:p>
              </w:tc>
              <w:tc>
                <w:tcPr>
                  <w:tcW w:w="211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地面清洗废水沟的底板及壁板</w:t>
                  </w:r>
                </w:p>
              </w:tc>
              <w:tc>
                <w:tcPr>
                  <w:tcW w:w="166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一般污染防治区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223"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污水池</w:t>
                  </w:r>
                </w:p>
              </w:tc>
              <w:tc>
                <w:tcPr>
                  <w:tcW w:w="211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隔油沉淀池底板及壁板</w:t>
                  </w:r>
                </w:p>
              </w:tc>
              <w:tc>
                <w:tcPr>
                  <w:tcW w:w="166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重点污染防治区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223"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绿化生活区</w:t>
                  </w:r>
                </w:p>
              </w:tc>
              <w:tc>
                <w:tcPr>
                  <w:tcW w:w="211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地面</w:t>
                  </w:r>
                </w:p>
              </w:tc>
              <w:tc>
                <w:tcPr>
                  <w:tcW w:w="166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非污染防治区</w:t>
                  </w:r>
                </w:p>
              </w:tc>
            </w:tr>
          </w:tbl>
          <w:p>
            <w:pPr>
              <w:pStyle w:val="54"/>
              <w:spacing w:before="156" w:beforeLines="50"/>
              <w:ind w:firstLine="480"/>
              <w:rPr>
                <w:color w:val="000000" w:themeColor="text1"/>
                <w14:textFill>
                  <w14:solidFill>
                    <w14:schemeClr w14:val="tx1"/>
                  </w14:solidFill>
                </w14:textFill>
              </w:rPr>
            </w:pPr>
            <w:r>
              <w:rPr>
                <w:color w:val="000000" w:themeColor="text1"/>
                <w14:textFill>
                  <w14:solidFill>
                    <w14:schemeClr w14:val="tx1"/>
                  </w14:solidFill>
                </w14:textFill>
              </w:rPr>
              <w:t>3）一般污染防治区防渗层材料的渗透性能不应低于1.5m厚渗透系数为1.0×10</w:t>
            </w:r>
            <w:r>
              <w:rPr>
                <w:color w:val="000000" w:themeColor="text1"/>
                <w:vertAlign w:val="superscript"/>
                <w14:textFill>
                  <w14:solidFill>
                    <w14:schemeClr w14:val="tx1"/>
                  </w14:solidFill>
                </w14:textFill>
              </w:rPr>
              <w:t>-7</w:t>
            </w:r>
            <w:r>
              <w:rPr>
                <w:color w:val="000000" w:themeColor="text1"/>
                <w14:textFill>
                  <w14:solidFill>
                    <w14:schemeClr w14:val="tx1"/>
                  </w14:solidFill>
                </w14:textFill>
              </w:rPr>
              <w:t>cm/s的黏土层的防渗性能，重点污染防治区防渗层的防渗性能不应低于6.0m厚渗透系数为1.0×10</w:t>
            </w:r>
            <w:r>
              <w:rPr>
                <w:color w:val="000000" w:themeColor="text1"/>
                <w:vertAlign w:val="superscript"/>
                <w14:textFill>
                  <w14:solidFill>
                    <w14:schemeClr w14:val="tx1"/>
                  </w14:solidFill>
                </w14:textFill>
              </w:rPr>
              <w:t>-7</w:t>
            </w:r>
            <w:r>
              <w:rPr>
                <w:color w:val="000000" w:themeColor="text1"/>
                <w14:textFill>
                  <w14:solidFill>
                    <w14:schemeClr w14:val="tx1"/>
                  </w14:solidFill>
                </w14:textFill>
              </w:rPr>
              <w:t>cm/s的黏土层的防渗性能，且应与所接触的物料或污染物相兼容。防渗层的地基应均匀。采用的防渗材料与施工工艺应符合健康、安全、环保的要求。</w:t>
            </w:r>
          </w:p>
          <w:p>
            <w:pPr>
              <w:pStyle w:val="54"/>
              <w:ind w:firstLine="480"/>
              <w:rPr>
                <w:color w:val="000000" w:themeColor="text1"/>
                <w:spacing w:val="4"/>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油罐区</w:t>
            </w:r>
            <w:r>
              <w:rPr>
                <w:color w:val="000000" w:themeColor="text1"/>
                <w14:textFill>
                  <w14:solidFill>
                    <w14:schemeClr w14:val="tx1"/>
                  </w14:solidFill>
                </w14:textFill>
              </w:rPr>
              <w:t>防渗池采用防渗钢筋混凝土整体浇筑，并应符合现行国家标准《地下工程防水技术规范》（GB 50108）的有关规定。</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5）防渗池应根据油罐的数量设置隔池。一个隔池内的油罐不应多于两座，尽量减少油污的溢出和渗漏，一旦发生溢出和渗漏事故，油品将由于防渗层的保护作用，积聚在储油区。</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6）防渗池的池壁顶应高于池内罐顶标高，池底宜低于罐底设计标高200mm，墙面与罐壁之间的间距不应小于500mm。</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7）防渗池的内表面应衬玻璃钢或其他材料防渗层。防渗池内的空间，应采用中性沙回填。防渗池的上部，应采取防止雨水、地表水和外部泄漏油品渗入池内的措施。</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8）在防渗池的各隔池内应设检测立管，检测立管的设置应符合下列规定：</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检测立管应采用耐油、耐腐蚀的管材制作，直径宜为100mm，壁厚不应小于4mm。</w:t>
            </w: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检测立管的下端应置于防渗池的最低处，上部管口应高出罐区设计地面 200mm（油罐设置在车道下的除外）。</w:t>
            </w: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t>检测立管与池内罐顶标高以下范围应为过滤管段。过滤管段应能允许池内任何层面的渗漏液体（油或水）进入检测管，并应能阻止泥沙侵入。</w:t>
            </w:r>
            <w:r>
              <w:rPr>
                <w:rFonts w:hint="eastAsia" w:ascii="宋体" w:hAnsi="宋体" w:cs="宋体"/>
                <w:color w:val="000000" w:themeColor="text1"/>
                <w14:textFill>
                  <w14:solidFill>
                    <w14:schemeClr w14:val="tx1"/>
                  </w14:solidFill>
                </w14:textFill>
              </w:rPr>
              <w:t>④</w:t>
            </w:r>
            <w:r>
              <w:rPr>
                <w:color w:val="000000" w:themeColor="text1"/>
                <w14:textFill>
                  <w14:solidFill>
                    <w14:schemeClr w14:val="tx1"/>
                  </w14:solidFill>
                </w14:textFill>
              </w:rPr>
              <w:t>检测立管周围应回填粒径为 10～30mm的砾石。</w:t>
            </w:r>
            <w:r>
              <w:rPr>
                <w:rFonts w:hint="eastAsia" w:ascii="宋体" w:hAnsi="宋体" w:cs="宋体"/>
                <w:color w:val="000000" w:themeColor="text1"/>
                <w14:textFill>
                  <w14:solidFill>
                    <w14:schemeClr w14:val="tx1"/>
                  </w14:solidFill>
                </w14:textFill>
              </w:rPr>
              <w:t>⑤</w:t>
            </w:r>
            <w:r>
              <w:rPr>
                <w:color w:val="000000" w:themeColor="text1"/>
                <w14:textFill>
                  <w14:solidFill>
                    <w14:schemeClr w14:val="tx1"/>
                  </w14:solidFill>
                </w14:textFill>
              </w:rPr>
              <w:t>检测口应有防止雨水、油污、杂物侵入的保护盖和标识。</w:t>
            </w:r>
          </w:p>
          <w:p>
            <w:pPr>
              <w:pStyle w:val="54"/>
              <w:ind w:firstLine="480"/>
              <w:rPr>
                <w:color w:val="000000" w:themeColor="text1"/>
                <w:spacing w:val="4"/>
                <w14:textFill>
                  <w14:solidFill>
                    <w14:schemeClr w14:val="tx1"/>
                  </w14:solidFill>
                </w14:textFill>
              </w:rPr>
            </w:pPr>
            <w:r>
              <w:rPr>
                <w:color w:val="000000" w:themeColor="text1"/>
                <w14:textFill>
                  <w14:solidFill>
                    <w14:schemeClr w14:val="tx1"/>
                  </w14:solidFill>
                </w14:textFill>
              </w:rPr>
              <w:t>9）根据《加油站地下水防治技术指南（试行）文号：环办水体函【2017】323号》要求，改造为双层油罐时，可采用玻璃纤维增加塑料等满足强度和防渗要求的材料进行衬里改造；需要开展渗漏检测，建议将项目区内</w:t>
            </w:r>
            <w:r>
              <w:rPr>
                <w:rFonts w:hint="eastAsia"/>
                <w:color w:val="000000" w:themeColor="text1"/>
                <w14:textFill>
                  <w14:solidFill>
                    <w14:schemeClr w14:val="tx1"/>
                  </w14:solidFill>
                </w14:textFill>
              </w:rPr>
              <w:t>观察井</w:t>
            </w:r>
            <w:r>
              <w:rPr>
                <w:color w:val="000000" w:themeColor="text1"/>
                <w14:textFill>
                  <w14:solidFill>
                    <w14:schemeClr w14:val="tx1"/>
                  </w14:solidFill>
                </w14:textFill>
              </w:rPr>
              <w:t>作为常规地下水监测井（详见附图4），定期开展地下水常规监测，双层油罐和双层管道系统的渗漏检测宜采用在线检测系统。采用液体传感器监测，传感器的检测精度不应大于3.5mm。其他设置要求可参见《汽车加油加气站设计与施工规范》（GB50156）及《石油化工防渗工程技术规范》（GB/T50934）。</w:t>
            </w:r>
          </w:p>
          <w:p>
            <w:pPr>
              <w:pStyle w:val="54"/>
              <w:ind w:firstLine="496"/>
              <w:rPr>
                <w:color w:val="000000" w:themeColor="text1"/>
                <w:spacing w:val="4"/>
                <w14:textFill>
                  <w14:solidFill>
                    <w14:schemeClr w14:val="tx1"/>
                  </w14:solidFill>
                </w14:textFill>
              </w:rPr>
            </w:pPr>
            <w:r>
              <w:rPr>
                <w:color w:val="000000" w:themeColor="text1"/>
                <w:spacing w:val="4"/>
                <w14:textFill>
                  <w14:solidFill>
                    <w14:schemeClr w14:val="tx1"/>
                  </w14:solidFill>
                </w14:textFill>
              </w:rPr>
              <w:t>经采取以上措施后，项目运营过程中不会发生地下水污染的问题，对地下水环境影响不大。</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7.2.4 </w:t>
            </w:r>
            <w:r>
              <w:rPr>
                <w:color w:val="000000" w:themeColor="text1"/>
                <w14:textFill>
                  <w14:solidFill>
                    <w14:schemeClr w14:val="tx1"/>
                  </w14:solidFill>
                </w14:textFill>
              </w:rPr>
              <w:t>声环境影响分析</w:t>
            </w:r>
            <w:bookmarkEnd w:id="38"/>
            <w:r>
              <w:rPr>
                <w:color w:val="000000" w:themeColor="text1"/>
                <w14:textFill>
                  <w14:solidFill>
                    <w14:schemeClr w14:val="tx1"/>
                  </w14:solidFill>
                </w14:textFill>
              </w:rPr>
              <w:t>及污染防治措施</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的噪声源主要为加油泵等设备运行时产生的设备噪声以及加油车辆在进出加油站时产生的交通噪声。根据相关资料，加油泵等设备运行噪声值一般为60～65dB（A），车辆进出加油站行驶噪声一般为65～80dB（A）。加油泵运行噪声较低，且布置在地下，噪声传至地面后对外环境影响较小；车辆进出加油站时，行驶速度慢，噪声一般不高，经距离衰减后对周边环境影响不大。</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本项目加油站在运营过程中，机械设备采取隔声、消声、吸声及基础减振等措施，加上空间衰减等因素，同时加强交通管理，限制车辆的车速，禁止在区域内鸣喇叭。其噪声可得到有效控制，</w:t>
            </w:r>
            <w:r>
              <w:rPr>
                <w:rFonts w:hint="eastAsia"/>
                <w:color w:val="000000" w:themeColor="text1"/>
                <w14:textFill>
                  <w14:solidFill>
                    <w14:schemeClr w14:val="tx1"/>
                  </w14:solidFill>
                </w14:textFill>
              </w:rPr>
              <w:t>根据原有加油站正常运行期厂界噪声监测结果可知，项目正常运行时，厂界四周噪声监测结果均能满足</w:t>
            </w:r>
            <w:r>
              <w:rPr>
                <w:color w:val="000000" w:themeColor="text1"/>
                <w14:textFill>
                  <w14:solidFill>
                    <w14:schemeClr w14:val="tx1"/>
                  </w14:solidFill>
                </w14:textFill>
              </w:rPr>
              <w:t>《工业企业厂界环境噪声排放标准》（GB12348-2008）中2类、4类标准要求，厂界各点的噪声监测结果见下表。</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7-16</w:t>
            </w:r>
            <w:r>
              <w:rPr>
                <w:color w:val="000000" w:themeColor="text1"/>
                <w14:textFill>
                  <w14:solidFill>
                    <w14:schemeClr w14:val="tx1"/>
                  </w14:solidFill>
                </w14:textFill>
              </w:rPr>
              <w:t xml:space="preserve">  噪声环境质量监测结果</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40"/>
              <w:gridCol w:w="3120"/>
              <w:gridCol w:w="1146"/>
              <w:gridCol w:w="1146"/>
              <w:gridCol w:w="928"/>
              <w:gridCol w:w="930"/>
              <w:gridCol w:w="7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3"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监测日期</w:t>
                  </w:r>
                </w:p>
              </w:tc>
              <w:tc>
                <w:tcPr>
                  <w:tcW w:w="1660"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监测点位</w:t>
                  </w:r>
                </w:p>
              </w:tc>
              <w:tc>
                <w:tcPr>
                  <w:tcW w:w="610"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昼间dB(A)</w:t>
                  </w:r>
                </w:p>
              </w:tc>
              <w:tc>
                <w:tcPr>
                  <w:tcW w:w="610"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夜间dB(A)</w:t>
                  </w:r>
                </w:p>
              </w:tc>
              <w:tc>
                <w:tcPr>
                  <w:tcW w:w="989"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标准限值dB(A)</w:t>
                  </w:r>
                </w:p>
              </w:tc>
              <w:tc>
                <w:tcPr>
                  <w:tcW w:w="419"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3" w:type="pct"/>
                  <w:vMerge w:val="continue"/>
                  <w:vAlign w:val="center"/>
                </w:tcPr>
                <w:p>
                  <w:pPr>
                    <w:pStyle w:val="79"/>
                    <w:rPr>
                      <w:color w:val="000000" w:themeColor="text1"/>
                      <w14:textFill>
                        <w14:solidFill>
                          <w14:schemeClr w14:val="tx1"/>
                        </w14:solidFill>
                      </w14:textFill>
                    </w:rPr>
                  </w:pPr>
                </w:p>
              </w:tc>
              <w:tc>
                <w:tcPr>
                  <w:tcW w:w="1660" w:type="pct"/>
                  <w:vMerge w:val="continue"/>
                  <w:vAlign w:val="center"/>
                </w:tcPr>
                <w:p>
                  <w:pPr>
                    <w:pStyle w:val="79"/>
                    <w:rPr>
                      <w:color w:val="000000" w:themeColor="text1"/>
                      <w14:textFill>
                        <w14:solidFill>
                          <w14:schemeClr w14:val="tx1"/>
                        </w14:solidFill>
                      </w14:textFill>
                    </w:rPr>
                  </w:pPr>
                </w:p>
              </w:tc>
              <w:tc>
                <w:tcPr>
                  <w:tcW w:w="610" w:type="pct"/>
                  <w:vMerge w:val="continue"/>
                  <w:vAlign w:val="center"/>
                </w:tcPr>
                <w:p>
                  <w:pPr>
                    <w:pStyle w:val="79"/>
                    <w:rPr>
                      <w:color w:val="000000" w:themeColor="text1"/>
                      <w14:textFill>
                        <w14:solidFill>
                          <w14:schemeClr w14:val="tx1"/>
                        </w14:solidFill>
                      </w14:textFill>
                    </w:rPr>
                  </w:pPr>
                </w:p>
              </w:tc>
              <w:tc>
                <w:tcPr>
                  <w:tcW w:w="610" w:type="pct"/>
                  <w:vMerge w:val="continue"/>
                  <w:vAlign w:val="center"/>
                </w:tcPr>
                <w:p>
                  <w:pPr>
                    <w:pStyle w:val="79"/>
                    <w:rPr>
                      <w:color w:val="000000" w:themeColor="text1"/>
                      <w14:textFill>
                        <w14:solidFill>
                          <w14:schemeClr w14:val="tx1"/>
                        </w14:solidFill>
                      </w14:textFill>
                    </w:rPr>
                  </w:pP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昼间</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夜间</w:t>
                  </w:r>
                </w:p>
              </w:tc>
              <w:tc>
                <w:tcPr>
                  <w:tcW w:w="419" w:type="pct"/>
                  <w:vMerge w:val="continue"/>
                  <w:vAlign w:val="center"/>
                </w:tcPr>
                <w:p>
                  <w:pPr>
                    <w:pStyle w:val="79"/>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3"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2018.12.26</w:t>
                  </w:r>
                </w:p>
              </w:tc>
              <w:tc>
                <w:tcPr>
                  <w:tcW w:w="166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N1项目区东侧厂界外1m处</w:t>
                  </w:r>
                </w:p>
              </w:tc>
              <w:tc>
                <w:tcPr>
                  <w:tcW w:w="61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52</w:t>
                  </w:r>
                </w:p>
              </w:tc>
              <w:tc>
                <w:tcPr>
                  <w:tcW w:w="61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41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3" w:type="pct"/>
                  <w:vMerge w:val="continue"/>
                  <w:vAlign w:val="center"/>
                </w:tcPr>
                <w:p>
                  <w:pPr>
                    <w:pStyle w:val="79"/>
                    <w:rPr>
                      <w:color w:val="000000" w:themeColor="text1"/>
                      <w14:textFill>
                        <w14:solidFill>
                          <w14:schemeClr w14:val="tx1"/>
                        </w14:solidFill>
                      </w14:textFill>
                    </w:rPr>
                  </w:pPr>
                </w:p>
              </w:tc>
              <w:tc>
                <w:tcPr>
                  <w:tcW w:w="166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N2项目区南侧厂界外1m处</w:t>
                  </w:r>
                </w:p>
              </w:tc>
              <w:tc>
                <w:tcPr>
                  <w:tcW w:w="61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62</w:t>
                  </w:r>
                </w:p>
              </w:tc>
              <w:tc>
                <w:tcPr>
                  <w:tcW w:w="61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41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3" w:type="pct"/>
                  <w:vMerge w:val="continue"/>
                  <w:vAlign w:val="center"/>
                </w:tcPr>
                <w:p>
                  <w:pPr>
                    <w:pStyle w:val="79"/>
                    <w:rPr>
                      <w:color w:val="000000" w:themeColor="text1"/>
                      <w14:textFill>
                        <w14:solidFill>
                          <w14:schemeClr w14:val="tx1"/>
                        </w14:solidFill>
                      </w14:textFill>
                    </w:rPr>
                  </w:pPr>
                </w:p>
              </w:tc>
              <w:tc>
                <w:tcPr>
                  <w:tcW w:w="166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N3项目区西侧厂界外1m处</w:t>
                  </w:r>
                </w:p>
              </w:tc>
              <w:tc>
                <w:tcPr>
                  <w:tcW w:w="61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53</w:t>
                  </w:r>
                </w:p>
              </w:tc>
              <w:tc>
                <w:tcPr>
                  <w:tcW w:w="61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42</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41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3" w:type="pct"/>
                  <w:vMerge w:val="continue"/>
                  <w:vAlign w:val="center"/>
                </w:tcPr>
                <w:p>
                  <w:pPr>
                    <w:pStyle w:val="79"/>
                    <w:rPr>
                      <w:color w:val="000000" w:themeColor="text1"/>
                      <w14:textFill>
                        <w14:solidFill>
                          <w14:schemeClr w14:val="tx1"/>
                        </w14:solidFill>
                      </w14:textFill>
                    </w:rPr>
                  </w:pPr>
                </w:p>
              </w:tc>
              <w:tc>
                <w:tcPr>
                  <w:tcW w:w="166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N4项目区北侧厂界外1m处</w:t>
                  </w:r>
                </w:p>
              </w:tc>
              <w:tc>
                <w:tcPr>
                  <w:tcW w:w="61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c>
                <w:tcPr>
                  <w:tcW w:w="61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49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41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bl>
          <w:p>
            <w:pPr>
              <w:pStyle w:val="54"/>
              <w:spacing w:before="156" w:beforeLines="50"/>
              <w:ind w:firstLine="480"/>
              <w:rPr>
                <w:color w:val="000000" w:themeColor="text1"/>
                <w14:textFill>
                  <w14:solidFill>
                    <w14:schemeClr w14:val="tx1"/>
                  </w14:solidFill>
                </w14:textFill>
              </w:rPr>
            </w:pPr>
            <w:r>
              <w:rPr>
                <w:color w:val="000000" w:themeColor="text1"/>
                <w14:textFill>
                  <w14:solidFill>
                    <w14:schemeClr w14:val="tx1"/>
                  </w14:solidFill>
                </w14:textFill>
              </w:rPr>
              <w:t>结果显示，本项目昼间、夜间厂界</w:t>
            </w:r>
            <w:r>
              <w:rPr>
                <w:rFonts w:hint="eastAsia"/>
                <w:color w:val="000000" w:themeColor="text1"/>
                <w14:textFill>
                  <w14:solidFill>
                    <w14:schemeClr w14:val="tx1"/>
                  </w14:solidFill>
                </w14:textFill>
              </w:rPr>
              <w:t>噪声</w:t>
            </w:r>
            <w:r>
              <w:rPr>
                <w:color w:val="000000" w:themeColor="text1"/>
                <w14:textFill>
                  <w14:solidFill>
                    <w14:schemeClr w14:val="tx1"/>
                  </w14:solidFill>
                </w14:textFill>
              </w:rPr>
              <w:t>均能满足《工业企业厂界环境噪声排放标准》（GB12348-2008）中2类、4类标准要求。</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综上，本项目运营期间</w:t>
            </w:r>
            <w:r>
              <w:rPr>
                <w:color w:val="000000" w:themeColor="text1"/>
                <w14:textFill>
                  <w14:solidFill>
                    <w14:schemeClr w14:val="tx1"/>
                  </w14:solidFill>
                </w14:textFill>
              </w:rPr>
              <w:t>场界噪声影响值不会改变建设项目所在区域声环境功能要求，对周围环境的影响较小。</w:t>
            </w:r>
          </w:p>
          <w:p>
            <w:pPr>
              <w:pStyle w:val="4"/>
              <w:rPr>
                <w:color w:val="000000" w:themeColor="text1"/>
                <w14:textFill>
                  <w14:solidFill>
                    <w14:schemeClr w14:val="tx1"/>
                  </w14:solidFill>
                </w14:textFill>
              </w:rPr>
            </w:pPr>
            <w:bookmarkStart w:id="39" w:name="_Toc287535141"/>
            <w:r>
              <w:rPr>
                <w:rFonts w:hint="eastAsia"/>
                <w:color w:val="000000" w:themeColor="text1"/>
                <w14:textFill>
                  <w14:solidFill>
                    <w14:schemeClr w14:val="tx1"/>
                  </w14:solidFill>
                </w14:textFill>
              </w:rPr>
              <w:t xml:space="preserve">7.2.5 </w:t>
            </w:r>
            <w:r>
              <w:rPr>
                <w:color w:val="000000" w:themeColor="text1"/>
                <w14:textFill>
                  <w14:solidFill>
                    <w14:schemeClr w14:val="tx1"/>
                  </w14:solidFill>
                </w14:textFill>
              </w:rPr>
              <w:t>固体废弃物环境影响分析</w:t>
            </w:r>
            <w:bookmarkEnd w:id="39"/>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项目营运期固体废物产生及处置情况说明如下：</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（1）生活垃圾</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职工生活垃圾：本项目有职工8人，生活垃圾人均产量以0.5kg/人，生活垃圾产生量为4.0kg/d</w:t>
            </w:r>
            <w:r>
              <w:rPr>
                <w:rFonts w:hint="eastAsia"/>
                <w:color w:val="000000" w:themeColor="text1"/>
                <w14:textFill>
                  <w14:solidFill>
                    <w14:schemeClr w14:val="tx1"/>
                  </w14:solidFill>
                </w14:textFill>
              </w:rPr>
              <w:t>（1.46t/a）</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顾客生活垃圾：加油站日均顾客50人/d，生活垃圾产生系数以0.1kg/人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d计，则产生的垃圾量为5kg/d</w:t>
            </w:r>
            <w:r>
              <w:rPr>
                <w:rFonts w:hint="eastAsia"/>
                <w:color w:val="000000" w:themeColor="text1"/>
                <w14:textFill>
                  <w14:solidFill>
                    <w14:schemeClr w14:val="tx1"/>
                  </w14:solidFill>
                </w14:textFill>
              </w:rPr>
              <w:t>（1.825t/a）</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则项目生活垃圾总产生量为9.0kg/d（</w:t>
            </w:r>
            <w:r>
              <w:rPr>
                <w:rFonts w:hint="eastAsia"/>
                <w:color w:val="000000" w:themeColor="text1"/>
                <w14:textFill>
                  <w14:solidFill>
                    <w14:schemeClr w14:val="tx1"/>
                  </w14:solidFill>
                </w14:textFill>
              </w:rPr>
              <w:t>3.285</w:t>
            </w:r>
            <w:r>
              <w:rPr>
                <w:color w:val="000000" w:themeColor="text1"/>
                <w14:textFill>
                  <w14:solidFill>
                    <w14:schemeClr w14:val="tx1"/>
                  </w14:solidFill>
                </w14:textFill>
              </w:rPr>
              <w:t>t/a）。</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（2）油罐</w:t>
            </w:r>
            <w:r>
              <w:rPr>
                <w:rFonts w:hint="eastAsia"/>
                <w:color w:val="000000" w:themeColor="text1"/>
                <w14:textFill>
                  <w14:solidFill>
                    <w14:schemeClr w14:val="tx1"/>
                  </w14:solidFill>
                </w14:textFill>
              </w:rPr>
              <w:t>油泥</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加油站</w:t>
            </w:r>
            <w:r>
              <w:rPr>
                <w:rFonts w:hint="eastAsia"/>
                <w:color w:val="000000" w:themeColor="text1"/>
                <w14:textFill>
                  <w14:solidFill>
                    <w14:schemeClr w14:val="tx1"/>
                  </w14:solidFill>
                </w14:textFill>
              </w:rPr>
              <w:t>油罐</w:t>
            </w:r>
            <w:r>
              <w:rPr>
                <w:color w:val="000000" w:themeColor="text1"/>
                <w14:textFill>
                  <w14:solidFill>
                    <w14:schemeClr w14:val="tx1"/>
                  </w14:solidFill>
                </w14:textFill>
              </w:rPr>
              <w:t>在装油时间较长</w:t>
            </w:r>
            <w:r>
              <w:rPr>
                <w:rFonts w:hint="eastAsia"/>
                <w:color w:val="000000" w:themeColor="text1"/>
                <w14:textFill>
                  <w14:solidFill>
                    <w14:schemeClr w14:val="tx1"/>
                  </w14:solidFill>
                </w14:textFill>
              </w:rPr>
              <w:t>后需定期对油罐内油泥进行清理</w:t>
            </w:r>
            <w:r>
              <w:rPr>
                <w:color w:val="000000" w:themeColor="text1"/>
                <w14:textFill>
                  <w14:solidFill>
                    <w14:schemeClr w14:val="tx1"/>
                  </w14:solidFill>
                </w14:textFill>
              </w:rPr>
              <w:t>。油罐区清洗油罐采用干洗法（干洗法程序：排除罐内存油；通风排除罐内油气；人员进罐清扫油污、水及其它沉淀物；用锯末干洗；清除锯末，用铜制工具除去局部锈蚀；用拖布彻底擦净）。加油站要委托有资质专业</w:t>
            </w:r>
            <w:r>
              <w:rPr>
                <w:rFonts w:hint="eastAsia"/>
                <w:color w:val="000000" w:themeColor="text1"/>
                <w14:textFill>
                  <w14:solidFill>
                    <w14:schemeClr w14:val="tx1"/>
                  </w14:solidFill>
                </w14:textFill>
              </w:rPr>
              <w:t>油罐</w:t>
            </w:r>
            <w:r>
              <w:rPr>
                <w:color w:val="000000" w:themeColor="text1"/>
                <w14:textFill>
                  <w14:solidFill>
                    <w14:schemeClr w14:val="tx1"/>
                  </w14:solidFill>
                </w14:textFill>
              </w:rPr>
              <w:t>清洗公司对</w:t>
            </w:r>
            <w:r>
              <w:rPr>
                <w:rFonts w:hint="eastAsia"/>
                <w:color w:val="000000" w:themeColor="text1"/>
                <w14:textFill>
                  <w14:solidFill>
                    <w14:schemeClr w14:val="tx1"/>
                  </w14:solidFill>
                </w14:textFill>
              </w:rPr>
              <w:t>油罐</w:t>
            </w:r>
            <w:r>
              <w:rPr>
                <w:color w:val="000000" w:themeColor="text1"/>
                <w14:textFill>
                  <w14:solidFill>
                    <w14:schemeClr w14:val="tx1"/>
                  </w14:solidFill>
                </w14:textFill>
              </w:rPr>
              <w:t>进行</w:t>
            </w:r>
            <w:r>
              <w:rPr>
                <w:rFonts w:hint="eastAsia"/>
                <w:color w:val="000000" w:themeColor="text1"/>
                <w14:textFill>
                  <w14:solidFill>
                    <w14:schemeClr w14:val="tx1"/>
                  </w14:solidFill>
                </w14:textFill>
              </w:rPr>
              <w:t>清理</w:t>
            </w:r>
            <w:r>
              <w:rPr>
                <w:color w:val="000000" w:themeColor="text1"/>
                <w14:textFill>
                  <w14:solidFill>
                    <w14:schemeClr w14:val="tx1"/>
                  </w14:solidFill>
                </w14:textFill>
              </w:rPr>
              <w:t>，储油罐3-5年</w:t>
            </w:r>
            <w:r>
              <w:rPr>
                <w:rFonts w:hint="eastAsia"/>
                <w:color w:val="000000" w:themeColor="text1"/>
                <w14:textFill>
                  <w14:solidFill>
                    <w14:schemeClr w14:val="tx1"/>
                  </w14:solidFill>
                </w14:textFill>
              </w:rPr>
              <w:t>清理</w:t>
            </w:r>
            <w:r>
              <w:rPr>
                <w:color w:val="000000" w:themeColor="text1"/>
                <w14:textFill>
                  <w14:solidFill>
                    <w14:schemeClr w14:val="tx1"/>
                  </w14:solidFill>
                </w14:textFill>
              </w:rPr>
              <w:t>1次，每</w:t>
            </w:r>
            <w:r>
              <w:rPr>
                <w:rFonts w:hint="eastAsia"/>
                <w:color w:val="000000" w:themeColor="text1"/>
                <w14:textFill>
                  <w14:solidFill>
                    <w14:schemeClr w14:val="tx1"/>
                  </w14:solidFill>
                </w14:textFill>
              </w:rPr>
              <w:t>个油罐每</w:t>
            </w:r>
            <w:r>
              <w:rPr>
                <w:color w:val="000000" w:themeColor="text1"/>
                <w14:textFill>
                  <w14:solidFill>
                    <w14:schemeClr w14:val="tx1"/>
                  </w14:solidFill>
                </w14:textFill>
              </w:rPr>
              <w:t>次</w:t>
            </w:r>
            <w:r>
              <w:rPr>
                <w:rFonts w:hint="eastAsia"/>
                <w:color w:val="000000" w:themeColor="text1"/>
                <w14:textFill>
                  <w14:solidFill>
                    <w14:schemeClr w14:val="tx1"/>
                  </w14:solidFill>
                </w14:textFill>
              </w:rPr>
              <w:t>清理油泥</w:t>
            </w:r>
            <w:r>
              <w:rPr>
                <w:color w:val="000000" w:themeColor="text1"/>
                <w14:textFill>
                  <w14:solidFill>
                    <w14:schemeClr w14:val="tx1"/>
                  </w14:solidFill>
                </w14:textFill>
              </w:rPr>
              <w:t>产生量约15kg，则4个储油罐产生油渣60kg/次。根据的《国家危险废物名录》（2016版），属于危险废物（</w:t>
            </w:r>
            <w:r>
              <w:rPr>
                <w:rFonts w:hint="eastAsia"/>
                <w:color w:val="000000" w:themeColor="text1"/>
                <w14:textFill>
                  <w14:solidFill>
                    <w14:schemeClr w14:val="tx1"/>
                  </w14:solidFill>
                </w14:textFill>
              </w:rPr>
              <w:t>危废类别HW08，危废代码</w:t>
            </w:r>
            <w:r>
              <w:rPr>
                <w:color w:val="000000" w:themeColor="text1"/>
                <w14:textFill>
                  <w14:solidFill>
                    <w14:schemeClr w14:val="tx1"/>
                  </w14:solidFill>
                </w14:textFill>
              </w:rPr>
              <w:t>900-221-08</w:t>
            </w:r>
            <w:r>
              <w:rPr>
                <w:rFonts w:hint="eastAsia"/>
                <w:color w:val="000000" w:themeColor="text1"/>
                <w14:textFill>
                  <w14:solidFill>
                    <w14:schemeClr w14:val="tx1"/>
                  </w14:solidFill>
                </w14:textFill>
              </w:rPr>
              <w:t>，废燃料油及燃料油储存过程中产生的油泥</w:t>
            </w:r>
            <w:r>
              <w:rPr>
                <w:color w:val="000000" w:themeColor="text1"/>
                <w14:textFill>
                  <w14:solidFill>
                    <w14:schemeClr w14:val="tx1"/>
                  </w14:solidFill>
                </w14:textFill>
              </w:rPr>
              <w:t>），由</w:t>
            </w:r>
            <w:r>
              <w:rPr>
                <w:rFonts w:hint="eastAsia"/>
                <w:color w:val="000000" w:themeColor="text1"/>
                <w14:textFill>
                  <w14:solidFill>
                    <w14:schemeClr w14:val="tx1"/>
                  </w14:solidFill>
                </w14:textFill>
              </w:rPr>
              <w:t>清罐公司带走处置</w:t>
            </w:r>
            <w:r>
              <w:rPr>
                <w:color w:val="000000" w:themeColor="text1"/>
                <w14:textFill>
                  <w14:solidFill>
                    <w14:schemeClr w14:val="tx1"/>
                  </w14:solidFill>
                </w14:textFill>
              </w:rPr>
              <w:t>，不在站内暂存。</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）隔油池</w:t>
            </w:r>
            <w:r>
              <w:rPr>
                <w:rFonts w:hint="eastAsia"/>
                <w:color w:val="000000" w:themeColor="text1"/>
                <w14:textFill>
                  <w14:solidFill>
                    <w14:schemeClr w14:val="tx1"/>
                  </w14:solidFill>
                </w14:textFill>
              </w:rPr>
              <w:t>污泥</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项目场地含油废水设隔油池除油，隔油池</w:t>
            </w:r>
            <w:r>
              <w:rPr>
                <w:rFonts w:hint="eastAsia"/>
                <w:color w:val="000000" w:themeColor="text1"/>
                <w14:textFill>
                  <w14:solidFill>
                    <w14:schemeClr w14:val="tx1"/>
                  </w14:solidFill>
                </w14:textFill>
              </w:rPr>
              <w:t>污泥</w:t>
            </w:r>
            <w:r>
              <w:rPr>
                <w:color w:val="000000" w:themeColor="text1"/>
                <w14:textFill>
                  <w14:solidFill>
                    <w14:schemeClr w14:val="tx1"/>
                  </w14:solidFill>
                </w14:textFill>
              </w:rPr>
              <w:t>产生量约为</w:t>
            </w:r>
            <w:r>
              <w:rPr>
                <w:rFonts w:hint="eastAsia"/>
                <w:color w:val="000000" w:themeColor="text1"/>
                <w14:textFill>
                  <w14:solidFill>
                    <w14:schemeClr w14:val="tx1"/>
                  </w14:solidFill>
                </w14:textFill>
              </w:rPr>
              <w:t>50kg/次</w:t>
            </w:r>
            <w:r>
              <w:rPr>
                <w:color w:val="000000" w:themeColor="text1"/>
                <w14:textFill>
                  <w14:solidFill>
                    <w14:schemeClr w14:val="tx1"/>
                  </w14:solidFill>
                </w14:textFill>
              </w:rPr>
              <w:t>，根据《国家危险废物名录》（2016版），</w:t>
            </w:r>
            <w:r>
              <w:rPr>
                <w:rFonts w:hint="eastAsia"/>
                <w:color w:val="000000" w:themeColor="text1"/>
                <w14:textFill>
                  <w14:solidFill>
                    <w14:schemeClr w14:val="tx1"/>
                  </w14:solidFill>
                </w14:textFill>
              </w:rPr>
              <w:t>该部分固废</w:t>
            </w:r>
            <w:r>
              <w:rPr>
                <w:color w:val="000000" w:themeColor="text1"/>
                <w14:textFill>
                  <w14:solidFill>
                    <w14:schemeClr w14:val="tx1"/>
                  </w14:solidFill>
                </w14:textFill>
              </w:rPr>
              <w:t>属于危险废物（</w:t>
            </w:r>
            <w:r>
              <w:rPr>
                <w:rFonts w:hint="eastAsia"/>
                <w:color w:val="000000" w:themeColor="text1"/>
                <w14:textFill>
                  <w14:solidFill>
                    <w14:schemeClr w14:val="tx1"/>
                  </w14:solidFill>
                </w14:textFill>
              </w:rPr>
              <w:t>危废类别HW08，危废代码</w:t>
            </w:r>
            <w:r>
              <w:rPr>
                <w:color w:val="000000" w:themeColor="text1"/>
                <w14:textFill>
                  <w14:solidFill>
                    <w14:schemeClr w14:val="tx1"/>
                  </w14:solidFill>
                </w14:textFill>
              </w:rPr>
              <w:t>900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08</w:t>
            </w:r>
            <w:r>
              <w:rPr>
                <w:rFonts w:hint="eastAsia"/>
                <w:color w:val="000000" w:themeColor="text1"/>
                <w14:textFill>
                  <w14:solidFill>
                    <w14:schemeClr w14:val="tx1"/>
                  </w14:solidFill>
                </w14:textFill>
              </w:rPr>
              <w:t>，油/水分离设施产生的废油、油泥及废水处理产生的浮渣和污泥（不包括废水生化处理污泥）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清理频次同</w:t>
            </w:r>
            <w:r>
              <w:rPr>
                <w:color w:val="000000" w:themeColor="text1"/>
                <w14:textFill>
                  <w14:solidFill>
                    <w14:schemeClr w14:val="tx1"/>
                  </w14:solidFill>
                </w14:textFill>
              </w:rPr>
              <w:t>油罐</w:t>
            </w:r>
            <w:r>
              <w:rPr>
                <w:rFonts w:hint="eastAsia"/>
                <w:color w:val="000000" w:themeColor="text1"/>
                <w14:textFill>
                  <w14:solidFill>
                    <w14:schemeClr w14:val="tx1"/>
                  </w14:solidFill>
                </w14:textFill>
              </w:rPr>
              <w:t>清理频次，清理产生的污泥交由清罐公司处理，不在站区内暂存</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本评价根据《建设项目危险废物环境影响评价指南》（公告2017年 第43号）对本项目营运期产生的危险废物进行评价，评价过程如下：</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1、工程分析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根据《国家危险废物名录》，本项目营运期产生的危险废物为</w:t>
            </w:r>
            <w:r>
              <w:rPr>
                <w:color w:val="000000" w:themeColor="text1"/>
                <w14:textFill>
                  <w14:solidFill>
                    <w14:schemeClr w14:val="tx1"/>
                  </w14:solidFill>
                </w14:textFill>
              </w:rPr>
              <w:t>油罐</w:t>
            </w:r>
            <w:r>
              <w:rPr>
                <w:rFonts w:hint="eastAsia"/>
                <w:color w:val="000000" w:themeColor="text1"/>
                <w14:textFill>
                  <w14:solidFill>
                    <w14:schemeClr w14:val="tx1"/>
                  </w14:solidFill>
                </w14:textFill>
              </w:rPr>
              <w:t>油泥（</w:t>
            </w:r>
            <w:r>
              <w:rPr>
                <w:color w:val="000000" w:themeColor="text1"/>
                <w14:textFill>
                  <w14:solidFill>
                    <w14:schemeClr w14:val="tx1"/>
                  </w14:solidFill>
                </w14:textFill>
              </w:rPr>
              <w:t>900-221-08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隔油池</w:t>
            </w:r>
            <w:r>
              <w:rPr>
                <w:rFonts w:hint="eastAsia"/>
                <w:color w:val="000000" w:themeColor="text1"/>
                <w14:textFill>
                  <w14:solidFill>
                    <w14:schemeClr w14:val="tx1"/>
                  </w14:solidFill>
                </w14:textFill>
              </w:rPr>
              <w:t>污泥（</w:t>
            </w:r>
            <w:r>
              <w:rPr>
                <w:color w:val="000000" w:themeColor="text1"/>
                <w14:textFill>
                  <w14:solidFill>
                    <w14:schemeClr w14:val="tx1"/>
                  </w14:solidFill>
                </w14:textFill>
              </w:rPr>
              <w:t>900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08</w:t>
            </w:r>
            <w:r>
              <w:rPr>
                <w:rFonts w:hint="eastAsia"/>
                <w:color w:val="000000" w:themeColor="text1"/>
                <w14:textFill>
                  <w14:solidFill>
                    <w14:schemeClr w14:val="tx1"/>
                  </w14:solidFill>
                </w14:textFill>
              </w:rPr>
              <w:t>），危险废物名称、产生量、危险类别及危险废物拟采取的处置措施详见下表。</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表7-17  危险废物汇总表</w:t>
            </w:r>
          </w:p>
          <w:tbl>
            <w:tblPr>
              <w:tblStyle w:val="29"/>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844"/>
              <w:gridCol w:w="1196"/>
              <w:gridCol w:w="965"/>
              <w:gridCol w:w="1067"/>
              <w:gridCol w:w="426"/>
              <w:gridCol w:w="682"/>
              <w:gridCol w:w="688"/>
              <w:gridCol w:w="68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危险废物名称</w:t>
                  </w:r>
                </w:p>
              </w:tc>
              <w:tc>
                <w:tcPr>
                  <w:tcW w:w="8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危险废物类别</w:t>
                  </w:r>
                </w:p>
              </w:tc>
              <w:tc>
                <w:tcPr>
                  <w:tcW w:w="85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危险废物代码</w:t>
                  </w:r>
                </w:p>
              </w:tc>
              <w:tc>
                <w:tcPr>
                  <w:tcW w:w="9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产生量</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产生工序及装置</w:t>
                  </w:r>
                </w:p>
              </w:tc>
              <w:tc>
                <w:tcPr>
                  <w:tcW w:w="4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形态</w:t>
                  </w:r>
                </w:p>
              </w:tc>
              <w:tc>
                <w:tcPr>
                  <w:tcW w:w="7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主要成分</w:t>
                  </w:r>
                </w:p>
              </w:tc>
              <w:tc>
                <w:tcPr>
                  <w:tcW w:w="70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产废周期</w:t>
                  </w:r>
                </w:p>
              </w:tc>
              <w:tc>
                <w:tcPr>
                  <w:tcW w:w="7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危险特性</w:t>
                  </w:r>
                </w:p>
              </w:tc>
              <w:tc>
                <w:tcPr>
                  <w:tcW w:w="173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油罐</w:t>
                  </w:r>
                  <w:r>
                    <w:rPr>
                      <w:rFonts w:hint="eastAsia"/>
                      <w:color w:val="000000" w:themeColor="text1"/>
                      <w14:textFill>
                        <w14:solidFill>
                          <w14:schemeClr w14:val="tx1"/>
                        </w14:solidFill>
                      </w14:textFill>
                    </w:rPr>
                    <w:t>油泥</w:t>
                  </w:r>
                </w:p>
              </w:tc>
              <w:tc>
                <w:tcPr>
                  <w:tcW w:w="8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HW08</w:t>
                  </w:r>
                </w:p>
              </w:tc>
              <w:tc>
                <w:tcPr>
                  <w:tcW w:w="85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900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08</w:t>
                  </w:r>
                </w:p>
              </w:tc>
              <w:tc>
                <w:tcPr>
                  <w:tcW w:w="9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60kg/次</w:t>
                  </w:r>
                </w:p>
              </w:tc>
              <w:tc>
                <w:tcPr>
                  <w:tcW w:w="1134" w:type="dxa"/>
                  <w:vAlign w:val="center"/>
                </w:tcPr>
                <w:p>
                  <w:pPr>
                    <w:pStyle w:val="79"/>
                    <w:rPr>
                      <w:bCs/>
                      <w:color w:val="000000" w:themeColor="text1"/>
                      <w:lang w:val="zh-CN" w:bidi="ar"/>
                      <w14:textFill>
                        <w14:solidFill>
                          <w14:schemeClr w14:val="tx1"/>
                        </w14:solidFill>
                      </w14:textFill>
                    </w:rPr>
                  </w:pPr>
                  <w:r>
                    <w:rPr>
                      <w:rFonts w:hint="eastAsia"/>
                      <w:color w:val="000000" w:themeColor="text1"/>
                      <w14:textFill>
                        <w14:solidFill>
                          <w14:schemeClr w14:val="tx1"/>
                        </w14:solidFill>
                      </w14:textFill>
                    </w:rPr>
                    <w:t>油罐清渣</w:t>
                  </w:r>
                </w:p>
              </w:tc>
              <w:tc>
                <w:tcPr>
                  <w:tcW w:w="4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液</w:t>
                  </w:r>
                </w:p>
              </w:tc>
              <w:tc>
                <w:tcPr>
                  <w:tcW w:w="709"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废矿物油</w:t>
                  </w:r>
                </w:p>
              </w:tc>
              <w:tc>
                <w:tcPr>
                  <w:tcW w:w="708"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3-5年/次</w:t>
                  </w:r>
                </w:p>
              </w:tc>
              <w:tc>
                <w:tcPr>
                  <w:tcW w:w="7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T</w:t>
                  </w:r>
                </w:p>
              </w:tc>
              <w:tc>
                <w:tcPr>
                  <w:tcW w:w="1730"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由有资质的清罐单位清理后带走处置，不在厂区内暂存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隔油池</w:t>
                  </w:r>
                  <w:r>
                    <w:rPr>
                      <w:rFonts w:hint="eastAsia"/>
                      <w:color w:val="000000" w:themeColor="text1"/>
                      <w14:textFill>
                        <w14:solidFill>
                          <w14:schemeClr w14:val="tx1"/>
                        </w14:solidFill>
                      </w14:textFill>
                    </w:rPr>
                    <w:t>污泥</w:t>
                  </w:r>
                </w:p>
              </w:tc>
              <w:tc>
                <w:tcPr>
                  <w:tcW w:w="8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HW08</w:t>
                  </w:r>
                </w:p>
              </w:tc>
              <w:tc>
                <w:tcPr>
                  <w:tcW w:w="85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900-221-08</w:t>
                  </w:r>
                </w:p>
              </w:tc>
              <w:tc>
                <w:tcPr>
                  <w:tcW w:w="9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50kg/次</w:t>
                  </w:r>
                </w:p>
              </w:tc>
              <w:tc>
                <w:tcPr>
                  <w:tcW w:w="1134" w:type="dxa"/>
                  <w:vAlign w:val="center"/>
                </w:tcPr>
                <w:p>
                  <w:pPr>
                    <w:pStyle w:val="79"/>
                    <w:rPr>
                      <w:bCs/>
                      <w:color w:val="000000" w:themeColor="text1"/>
                      <w:lang w:val="zh-CN" w:bidi="ar"/>
                      <w14:textFill>
                        <w14:solidFill>
                          <w14:schemeClr w14:val="tx1"/>
                        </w14:solidFill>
                      </w14:textFill>
                    </w:rPr>
                  </w:pPr>
                  <w:r>
                    <w:rPr>
                      <w:rFonts w:hint="eastAsia"/>
                      <w:bCs/>
                      <w:color w:val="000000" w:themeColor="text1"/>
                      <w:lang w:val="zh-CN" w:bidi="ar"/>
                      <w14:textFill>
                        <w14:solidFill>
                          <w14:schemeClr w14:val="tx1"/>
                        </w14:solidFill>
                      </w14:textFill>
                    </w:rPr>
                    <w:t>隔油池清理</w:t>
                  </w:r>
                </w:p>
              </w:tc>
              <w:tc>
                <w:tcPr>
                  <w:tcW w:w="4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固</w:t>
                  </w:r>
                </w:p>
              </w:tc>
              <w:tc>
                <w:tcPr>
                  <w:tcW w:w="709" w:type="dxa"/>
                  <w:vMerge w:val="continue"/>
                  <w:vAlign w:val="center"/>
                </w:tcPr>
                <w:p>
                  <w:pPr>
                    <w:pStyle w:val="79"/>
                    <w:rPr>
                      <w:color w:val="000000" w:themeColor="text1"/>
                      <w14:textFill>
                        <w14:solidFill>
                          <w14:schemeClr w14:val="tx1"/>
                        </w14:solidFill>
                      </w14:textFill>
                    </w:rPr>
                  </w:pPr>
                </w:p>
              </w:tc>
              <w:tc>
                <w:tcPr>
                  <w:tcW w:w="708" w:type="dxa"/>
                  <w:vMerge w:val="continue"/>
                  <w:vAlign w:val="center"/>
                </w:tcPr>
                <w:p>
                  <w:pPr>
                    <w:pStyle w:val="79"/>
                    <w:rPr>
                      <w:color w:val="000000" w:themeColor="text1"/>
                      <w14:textFill>
                        <w14:solidFill>
                          <w14:schemeClr w14:val="tx1"/>
                        </w14:solidFill>
                      </w14:textFill>
                    </w:rPr>
                  </w:pPr>
                </w:p>
              </w:tc>
              <w:tc>
                <w:tcPr>
                  <w:tcW w:w="7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T</w:t>
                  </w:r>
                </w:p>
              </w:tc>
              <w:tc>
                <w:tcPr>
                  <w:tcW w:w="1730" w:type="dxa"/>
                  <w:vMerge w:val="continue"/>
                  <w:vAlign w:val="center"/>
                </w:tcPr>
                <w:p>
                  <w:pPr>
                    <w:pStyle w:val="79"/>
                    <w:rPr>
                      <w:color w:val="000000" w:themeColor="text1"/>
                      <w14:textFill>
                        <w14:solidFill>
                          <w14:schemeClr w14:val="tx1"/>
                        </w14:solidFill>
                      </w14:textFill>
                    </w:rPr>
                  </w:pP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2、环境影响分析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营运期产生的危险废物主要是油罐油泥及隔油池污泥，来源于油罐清理及隔油池地面冲洗废水处理过程中，项目油罐委托有资质的单位3-5年清理一次，隔油池在清罐过程中进行清理，产生的油泥及污泥由清罐公司带走处理，不在站区内暂存，项目内不设危险废物暂存间，故本项目营运期产生的危险废物对环境影响很小。</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3、危险废物环境影响评价结论与建议</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本项目营运期产生的油泥及污泥由清罐公司带走处理，不在站区内暂存，项目内不设危险废物暂存间，且危险废物产生频次为3-5年产生一次，产生量很小。</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经采取上述处理措施后，项目营运期产生的危险废物均可得到妥善处置，对环境影响较小。</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7.2.6 土壤环境影响分析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（1）土壤影响类型及影响途径判定</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根据《环境影响评价技术导则  土壤环境（试行）》（HJ964-2018），本项目</w:t>
            </w:r>
            <w:r>
              <w:rPr>
                <w:rFonts w:hint="eastAsia"/>
                <w:color w:val="000000" w:themeColor="text1"/>
                <w14:textFill>
                  <w14:solidFill>
                    <w14:schemeClr w14:val="tx1"/>
                  </w14:solidFill>
                </w14:textFill>
              </w:rPr>
              <w:t>属于</w:t>
            </w:r>
            <w:r>
              <w:rPr>
                <w:color w:val="000000" w:themeColor="text1"/>
                <w14:textFill>
                  <w14:solidFill>
                    <w14:schemeClr w14:val="tx1"/>
                  </w14:solidFill>
                </w14:textFill>
              </w:rPr>
              <w:t>附录A</w:t>
            </w:r>
            <w:r>
              <w:rPr>
                <w:rFonts w:hint="eastAsia"/>
                <w:color w:val="000000" w:themeColor="text1"/>
                <w14:textFill>
                  <w14:solidFill>
                    <w14:schemeClr w14:val="tx1"/>
                  </w14:solidFill>
                </w14:textFill>
              </w:rPr>
              <w:t>“交通运输仓储邮政业”中的“公路的加油站；铁路的维修场所”，</w:t>
            </w:r>
            <w:r>
              <w:rPr>
                <w:color w:val="000000" w:themeColor="text1"/>
                <w14:textFill>
                  <w14:solidFill>
                    <w14:schemeClr w14:val="tx1"/>
                  </w14:solidFill>
                </w14:textFill>
              </w:rPr>
              <w:t>属</w:t>
            </w:r>
            <w:r>
              <w:rPr>
                <w:rFonts w:hint="eastAsia" w:hAnsi="宋体"/>
                <w:color w:val="000000" w:themeColor="text1"/>
                <w14:textFill>
                  <w14:solidFill>
                    <w14:schemeClr w14:val="tx1"/>
                  </w14:solidFill>
                </w14:textFill>
              </w:rPr>
              <w:t>III</w:t>
            </w:r>
            <w:r>
              <w:rPr>
                <w:color w:val="000000" w:themeColor="text1"/>
                <w14:textFill>
                  <w14:solidFill>
                    <w14:schemeClr w14:val="tx1"/>
                  </w14:solidFill>
                </w14:textFill>
              </w:rPr>
              <w:t>类项目。</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根据《环境影响评价技术导则  土壤环境（试行）》（HJ964-2018）附录B对建设项目土壤环境影响类型、影响途径、影响源和影响因子进行识别，具体情况见表</w:t>
            </w:r>
            <w:r>
              <w:rPr>
                <w:rFonts w:hint="eastAsia"/>
                <w:color w:val="000000" w:themeColor="text1"/>
                <w14:textFill>
                  <w14:solidFill>
                    <w14:schemeClr w14:val="tx1"/>
                  </w14:solidFill>
                </w14:textFill>
              </w:rPr>
              <w:t>7-18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7-19</w:t>
            </w:r>
            <w:r>
              <w:rPr>
                <w:color w:val="000000" w:themeColor="text1"/>
                <w14:textFill>
                  <w14:solidFill>
                    <w14:schemeClr w14:val="tx1"/>
                  </w14:solidFill>
                </w14:textFill>
              </w:rPr>
              <w:t>。</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7-18</w:t>
            </w:r>
            <w:r>
              <w:rPr>
                <w:color w:val="000000" w:themeColor="text1"/>
                <w14:textFill>
                  <w14:solidFill>
                    <w14:schemeClr w14:val="tx1"/>
                  </w14:solidFill>
                </w14:textFill>
              </w:rPr>
              <w:t xml:space="preserve">  建设项目土壤环境影响类型与影响途径表</w:t>
            </w:r>
          </w:p>
          <w:tbl>
            <w:tblPr>
              <w:tblStyle w:val="2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9"/>
              <w:gridCol w:w="1879"/>
              <w:gridCol w:w="1879"/>
              <w:gridCol w:w="1880"/>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0" w:type="pct"/>
                  <w:vMerge w:val="restar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不同时段</w:t>
                  </w:r>
                </w:p>
              </w:tc>
              <w:tc>
                <w:tcPr>
                  <w:tcW w:w="4000" w:type="pct"/>
                  <w:gridSpan w:val="4"/>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污染影响型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0" w:type="pct"/>
                  <w:vMerge w:val="continue"/>
                  <w:shd w:val="clear" w:color="auto" w:fill="auto"/>
                  <w:vAlign w:val="center"/>
                </w:tcPr>
                <w:p>
                  <w:pPr>
                    <w:pStyle w:val="79"/>
                    <w:rPr>
                      <w:color w:val="000000" w:themeColor="text1"/>
                      <w14:textFill>
                        <w14:solidFill>
                          <w14:schemeClr w14:val="tx1"/>
                        </w14:solidFill>
                      </w14:textFill>
                    </w:rPr>
                  </w:pPr>
                </w:p>
              </w:tc>
              <w:tc>
                <w:tcPr>
                  <w:tcW w:w="1000"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大气沉降</w:t>
                  </w:r>
                </w:p>
              </w:tc>
              <w:tc>
                <w:tcPr>
                  <w:tcW w:w="1000"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地面漫流</w:t>
                  </w:r>
                </w:p>
              </w:tc>
              <w:tc>
                <w:tcPr>
                  <w:tcW w:w="1000"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垂直入渗</w:t>
                  </w:r>
                </w:p>
              </w:tc>
              <w:tc>
                <w:tcPr>
                  <w:tcW w:w="1000"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0"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建设期</w:t>
                  </w:r>
                </w:p>
              </w:tc>
              <w:tc>
                <w:tcPr>
                  <w:tcW w:w="1000" w:type="pct"/>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00" w:type="pct"/>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00" w:type="pct"/>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00" w:type="pct"/>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0"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运行期</w:t>
                  </w:r>
                </w:p>
              </w:tc>
              <w:tc>
                <w:tcPr>
                  <w:tcW w:w="1000" w:type="pct"/>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00" w:type="pct"/>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00"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00" w:type="pct"/>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88"/>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7-19</w:t>
            </w:r>
            <w:r>
              <w:rPr>
                <w:color w:val="000000" w:themeColor="text1"/>
                <w14:textFill>
                  <w14:solidFill>
                    <w14:schemeClr w14:val="tx1"/>
                  </w14:solidFill>
                </w14:textFill>
              </w:rPr>
              <w:t xml:space="preserve">  污染影响型建设项目土壤环境影响源及影响因子识别表</w:t>
            </w:r>
          </w:p>
          <w:tbl>
            <w:tblPr>
              <w:tblStyle w:val="2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12"/>
              <w:gridCol w:w="1223"/>
              <w:gridCol w:w="1832"/>
              <w:gridCol w:w="1998"/>
              <w:gridCol w:w="1566"/>
              <w:gridCol w:w="1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45"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污染源</w:t>
                  </w:r>
                </w:p>
              </w:tc>
              <w:tc>
                <w:tcPr>
                  <w:tcW w:w="651"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工艺流程/节点</w:t>
                  </w:r>
                </w:p>
              </w:tc>
              <w:tc>
                <w:tcPr>
                  <w:tcW w:w="975"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污染途径</w:t>
                  </w:r>
                </w:p>
              </w:tc>
              <w:tc>
                <w:tcPr>
                  <w:tcW w:w="1063"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全部污染物指标</w:t>
                  </w:r>
                </w:p>
              </w:tc>
              <w:tc>
                <w:tcPr>
                  <w:tcW w:w="833"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特征因子</w:t>
                  </w:r>
                </w:p>
              </w:tc>
              <w:tc>
                <w:tcPr>
                  <w:tcW w:w="833"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45" w:type="pct"/>
                  <w:vMerge w:val="restart"/>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办公生活污水及保洁废水</w:t>
                  </w:r>
                </w:p>
              </w:tc>
              <w:tc>
                <w:tcPr>
                  <w:tcW w:w="651" w:type="pct"/>
                  <w:vMerge w:val="restar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正常运行</w:t>
                  </w:r>
                </w:p>
              </w:tc>
              <w:tc>
                <w:tcPr>
                  <w:tcW w:w="975"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大气沉降</w:t>
                  </w:r>
                </w:p>
              </w:tc>
              <w:tc>
                <w:tcPr>
                  <w:tcW w:w="1063"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833"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833"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45" w:type="pct"/>
                  <w:vMerge w:val="continue"/>
                  <w:shd w:val="clear" w:color="auto" w:fill="auto"/>
                  <w:vAlign w:val="center"/>
                </w:tcPr>
                <w:p>
                  <w:pPr>
                    <w:pStyle w:val="79"/>
                    <w:rPr>
                      <w:color w:val="000000" w:themeColor="text1"/>
                      <w14:textFill>
                        <w14:solidFill>
                          <w14:schemeClr w14:val="tx1"/>
                        </w14:solidFill>
                      </w14:textFill>
                    </w:rPr>
                  </w:pPr>
                </w:p>
              </w:tc>
              <w:tc>
                <w:tcPr>
                  <w:tcW w:w="651" w:type="pct"/>
                  <w:vMerge w:val="continue"/>
                  <w:shd w:val="clear" w:color="auto" w:fill="auto"/>
                  <w:vAlign w:val="center"/>
                </w:tcPr>
                <w:p>
                  <w:pPr>
                    <w:pStyle w:val="79"/>
                    <w:rPr>
                      <w:color w:val="000000" w:themeColor="text1"/>
                      <w14:textFill>
                        <w14:solidFill>
                          <w14:schemeClr w14:val="tx1"/>
                        </w14:solidFill>
                      </w14:textFill>
                    </w:rPr>
                  </w:pPr>
                </w:p>
              </w:tc>
              <w:tc>
                <w:tcPr>
                  <w:tcW w:w="975"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地面漫流</w:t>
                  </w:r>
                </w:p>
              </w:tc>
              <w:tc>
                <w:tcPr>
                  <w:tcW w:w="1063"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833"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833"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45" w:type="pct"/>
                  <w:vMerge w:val="continue"/>
                  <w:shd w:val="clear" w:color="auto" w:fill="auto"/>
                  <w:vAlign w:val="center"/>
                </w:tcPr>
                <w:p>
                  <w:pPr>
                    <w:pStyle w:val="79"/>
                    <w:rPr>
                      <w:color w:val="000000" w:themeColor="text1"/>
                      <w14:textFill>
                        <w14:solidFill>
                          <w14:schemeClr w14:val="tx1"/>
                        </w14:solidFill>
                      </w14:textFill>
                    </w:rPr>
                  </w:pPr>
                </w:p>
              </w:tc>
              <w:tc>
                <w:tcPr>
                  <w:tcW w:w="651" w:type="pct"/>
                  <w:vMerge w:val="continue"/>
                  <w:shd w:val="clear" w:color="auto" w:fill="auto"/>
                  <w:vAlign w:val="center"/>
                </w:tcPr>
                <w:p>
                  <w:pPr>
                    <w:pStyle w:val="79"/>
                    <w:rPr>
                      <w:color w:val="000000" w:themeColor="text1"/>
                      <w14:textFill>
                        <w14:solidFill>
                          <w14:schemeClr w14:val="tx1"/>
                        </w14:solidFill>
                      </w14:textFill>
                    </w:rPr>
                  </w:pPr>
                </w:p>
              </w:tc>
              <w:tc>
                <w:tcPr>
                  <w:tcW w:w="975"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垂直入渗</w:t>
                  </w:r>
                </w:p>
              </w:tc>
              <w:tc>
                <w:tcPr>
                  <w:tcW w:w="1063"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pH、COD、BOD</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、氨氮</w:t>
                  </w:r>
                </w:p>
              </w:tc>
              <w:tc>
                <w:tcPr>
                  <w:tcW w:w="833" w:type="pct"/>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33"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45" w:type="pct"/>
                  <w:vMerge w:val="continue"/>
                  <w:shd w:val="clear" w:color="auto" w:fill="auto"/>
                  <w:vAlign w:val="center"/>
                </w:tcPr>
                <w:p>
                  <w:pPr>
                    <w:pStyle w:val="79"/>
                    <w:rPr>
                      <w:color w:val="000000" w:themeColor="text1"/>
                      <w14:textFill>
                        <w14:solidFill>
                          <w14:schemeClr w14:val="tx1"/>
                        </w14:solidFill>
                      </w14:textFill>
                    </w:rPr>
                  </w:pPr>
                </w:p>
              </w:tc>
              <w:tc>
                <w:tcPr>
                  <w:tcW w:w="651" w:type="pct"/>
                  <w:vMerge w:val="continue"/>
                  <w:shd w:val="clear" w:color="auto" w:fill="auto"/>
                  <w:vAlign w:val="center"/>
                </w:tcPr>
                <w:p>
                  <w:pPr>
                    <w:pStyle w:val="79"/>
                    <w:rPr>
                      <w:color w:val="000000" w:themeColor="text1"/>
                      <w14:textFill>
                        <w14:solidFill>
                          <w14:schemeClr w14:val="tx1"/>
                        </w14:solidFill>
                      </w14:textFill>
                    </w:rPr>
                  </w:pPr>
                </w:p>
              </w:tc>
              <w:tc>
                <w:tcPr>
                  <w:tcW w:w="975"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其他</w:t>
                  </w:r>
                </w:p>
              </w:tc>
              <w:tc>
                <w:tcPr>
                  <w:tcW w:w="1063"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833"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833" w:type="pc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（2）评价工作等级、评价范围确定及敏感目标</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①评价等级</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根据《环境影响评价技术导则  土壤环境（试行）》（HJ964-2018），本项目</w:t>
            </w:r>
            <w:r>
              <w:rPr>
                <w:rFonts w:hint="eastAsia"/>
                <w:color w:val="000000" w:themeColor="text1"/>
                <w14:textFill>
                  <w14:solidFill>
                    <w14:schemeClr w14:val="tx1"/>
                  </w14:solidFill>
                </w14:textFill>
              </w:rPr>
              <w:t>属于</w:t>
            </w:r>
            <w:r>
              <w:rPr>
                <w:color w:val="000000" w:themeColor="text1"/>
                <w14:textFill>
                  <w14:solidFill>
                    <w14:schemeClr w14:val="tx1"/>
                  </w14:solidFill>
                </w14:textFill>
              </w:rPr>
              <w:t>附录A</w:t>
            </w:r>
            <w:r>
              <w:rPr>
                <w:rFonts w:hint="eastAsia"/>
                <w:color w:val="000000" w:themeColor="text1"/>
                <w14:textFill>
                  <w14:solidFill>
                    <w14:schemeClr w14:val="tx1"/>
                  </w14:solidFill>
                </w14:textFill>
              </w:rPr>
              <w:t>“交通运输仓储邮政业”中的“公路的加油站；铁路的维修场所”，</w:t>
            </w:r>
            <w:r>
              <w:rPr>
                <w:color w:val="000000" w:themeColor="text1"/>
                <w14:textFill>
                  <w14:solidFill>
                    <w14:schemeClr w14:val="tx1"/>
                  </w14:solidFill>
                </w14:textFill>
              </w:rPr>
              <w:t>属</w:t>
            </w:r>
            <w:r>
              <w:rPr>
                <w:rFonts w:hint="eastAsia" w:hAnsi="宋体"/>
                <w:color w:val="000000" w:themeColor="text1"/>
                <w14:textFill>
                  <w14:solidFill>
                    <w14:schemeClr w14:val="tx1"/>
                  </w14:solidFill>
                </w14:textFill>
              </w:rPr>
              <w:t>III</w:t>
            </w:r>
            <w:r>
              <w:rPr>
                <w:color w:val="000000" w:themeColor="text1"/>
                <w14:textFill>
                  <w14:solidFill>
                    <w14:schemeClr w14:val="tx1"/>
                  </w14:solidFill>
                </w14:textFill>
              </w:rPr>
              <w:t>类项目；项目</w:t>
            </w:r>
            <w:r>
              <w:rPr>
                <w:rFonts w:hint="eastAsia"/>
                <w:color w:val="000000" w:themeColor="text1"/>
                <w14:textFill>
                  <w14:solidFill>
                    <w14:schemeClr w14:val="tx1"/>
                  </w14:solidFill>
                </w14:textFill>
              </w:rPr>
              <w:t>位于</w:t>
            </w:r>
            <w:r>
              <w:rPr>
                <w:color w:val="000000" w:themeColor="text1"/>
                <w:szCs w:val="22"/>
                <w14:textFill>
                  <w14:solidFill>
                    <w14:schemeClr w14:val="tx1"/>
                  </w14:solidFill>
                </w14:textFill>
              </w:rPr>
              <w:t>祁东县洪桥镇洪丰村G322线北侧</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项目占地面积为</w:t>
            </w:r>
            <w:r>
              <w:rPr>
                <w:color w:val="000000" w:themeColor="text1"/>
                <w:szCs w:val="22"/>
                <w14:textFill>
                  <w14:solidFill>
                    <w14:schemeClr w14:val="tx1"/>
                  </w14:solidFill>
                </w14:textFill>
              </w:rPr>
              <w:t>4000</w:t>
            </w:r>
            <w:r>
              <w:rPr>
                <w:rFonts w:hint="eastAsia"/>
                <w:color w:val="000000" w:themeColor="text1"/>
                <w:szCs w:val="22"/>
                <w14:textFill>
                  <w14:solidFill>
                    <w14:schemeClr w14:val="tx1"/>
                  </w14:solidFill>
                </w14:textFill>
              </w:rPr>
              <w:t>m</w:t>
            </w:r>
            <w:r>
              <w:rPr>
                <w:rFonts w:hint="eastAsia"/>
                <w:color w:val="000000" w:themeColor="text1"/>
                <w:szCs w:val="22"/>
                <w:vertAlign w:val="superscript"/>
                <w14:textFill>
                  <w14:solidFill>
                    <w14:schemeClr w14:val="tx1"/>
                  </w14:solidFill>
                </w14:textFill>
              </w:rPr>
              <w:t>2</w:t>
            </w:r>
            <w:r>
              <w:rPr>
                <w:rFonts w:hint="eastAsia"/>
                <w:color w:val="000000" w:themeColor="text1"/>
                <w:szCs w:val="22"/>
                <w14:textFill>
                  <w14:solidFill>
                    <w14:schemeClr w14:val="tx1"/>
                  </w14:solidFill>
                </w14:textFill>
              </w:rPr>
              <w:t>≤5hm</w:t>
            </w:r>
            <w:r>
              <w:rPr>
                <w:rFonts w:hint="eastAsia"/>
                <w:color w:val="000000" w:themeColor="text1"/>
                <w:szCs w:val="22"/>
                <w:vertAlign w:val="superscript"/>
                <w14:textFill>
                  <w14:solidFill>
                    <w14:schemeClr w14:val="tx1"/>
                  </w14:solidFill>
                </w14:textFill>
              </w:rPr>
              <w:t>2</w:t>
            </w:r>
            <w:r>
              <w:rPr>
                <w:rFonts w:hint="eastAsia"/>
                <w:color w:val="000000" w:themeColor="text1"/>
                <w:szCs w:val="22"/>
                <w14:textFill>
                  <w14:solidFill>
                    <w14:schemeClr w14:val="tx1"/>
                  </w14:solidFill>
                </w14:textFill>
              </w:rPr>
              <w:t>，属于小型占地规模，</w:t>
            </w:r>
            <w:r>
              <w:rPr>
                <w:color w:val="000000" w:themeColor="text1"/>
                <w14:textFill>
                  <w14:solidFill>
                    <w14:schemeClr w14:val="tx1"/>
                  </w14:solidFill>
                </w14:textFill>
              </w:rPr>
              <w:t>建设项目周边</w:t>
            </w:r>
            <w:r>
              <w:rPr>
                <w:rFonts w:hint="eastAsia"/>
                <w:color w:val="000000" w:themeColor="text1"/>
                <w14:textFill>
                  <w14:solidFill>
                    <w14:schemeClr w14:val="tx1"/>
                  </w14:solidFill>
                </w14:textFill>
              </w:rPr>
              <w:t>均为祁东县城镇建筑，无环境敏感及较敏感目标</w:t>
            </w:r>
            <w:r>
              <w:rPr>
                <w:color w:val="000000" w:themeColor="text1"/>
                <w14:textFill>
                  <w14:solidFill>
                    <w14:schemeClr w14:val="tx1"/>
                  </w14:solidFill>
                </w14:textFill>
              </w:rPr>
              <w:t>，综上所述，本项目土壤评价等级</w:t>
            </w:r>
            <w:r>
              <w:rPr>
                <w:rFonts w:hint="eastAsia"/>
                <w:color w:val="000000" w:themeColor="text1"/>
                <w14:textFill>
                  <w14:solidFill>
                    <w14:schemeClr w14:val="tx1"/>
                  </w14:solidFill>
                </w14:textFill>
              </w:rPr>
              <w:t>无需设定评价等级</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②评价范围及敏感目标分布</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根据《环境影响评价技术导则--土壤环境（试行）》（HJ964-2018），本项目无土壤环境评价范围，无土壤环境敏感目标。</w:t>
            </w:r>
          </w:p>
          <w:p>
            <w:pPr>
              <w:pStyle w:val="3"/>
              <w:rPr>
                <w:color w:val="000000" w:themeColor="text1"/>
                <w14:textFill>
                  <w14:solidFill>
                    <w14:schemeClr w14:val="tx1"/>
                  </w14:solidFill>
                </w14:textFill>
              </w:rPr>
            </w:pPr>
            <w:r>
              <w:rPr>
                <w:color w:val="000000" w:themeColor="text1"/>
                <w14:textFill>
                  <w14:solidFill>
                    <w14:schemeClr w14:val="tx1"/>
                  </w14:solidFill>
                </w14:textFill>
              </w:rPr>
              <w:t>7.3 环境风险分析</w:t>
            </w:r>
          </w:p>
          <w:p>
            <w:pPr>
              <w:pStyle w:val="4"/>
              <w:rPr>
                <w:color w:val="000000" w:themeColor="text1"/>
                <w14:textFill>
                  <w14:solidFill>
                    <w14:schemeClr w14:val="tx1"/>
                  </w14:solidFill>
                </w14:textFill>
              </w:rPr>
            </w:pPr>
            <w:r>
              <w:rPr>
                <w:color w:val="000000" w:themeColor="text1"/>
                <w14:textFill>
                  <w14:solidFill>
                    <w14:schemeClr w14:val="tx1"/>
                  </w14:solidFill>
                </w14:textFill>
              </w:rPr>
              <w:t>7.3.1评价依据</w:t>
            </w:r>
          </w:p>
          <w:p>
            <w:pPr>
              <w:pStyle w:val="5"/>
              <w:rPr>
                <w:color w:val="000000" w:themeColor="text1"/>
                <w14:textFill>
                  <w14:solidFill>
                    <w14:schemeClr w14:val="tx1"/>
                  </w14:solidFill>
                </w14:textFill>
              </w:rPr>
            </w:pPr>
            <w:r>
              <w:rPr>
                <w:color w:val="000000" w:themeColor="text1"/>
                <w14:textFill>
                  <w14:solidFill>
                    <w14:schemeClr w14:val="tx1"/>
                  </w14:solidFill>
                </w14:textFill>
              </w:rPr>
              <w:t>7.3.1.1风险调查</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（1）物料危险性识别</w:t>
            </w:r>
          </w:p>
          <w:p>
            <w:pPr>
              <w:pStyle w:val="136"/>
              <w:ind w:firstLine="480"/>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主要是进行燃油销售，</w:t>
            </w:r>
            <w:r>
              <w:rPr>
                <w:color w:val="000000" w:themeColor="text1"/>
                <w14:textFill>
                  <w14:solidFill>
                    <w14:schemeClr w14:val="tx1"/>
                  </w14:solidFill>
                </w14:textFill>
              </w:rPr>
              <w:t>参考《建设项目环境风险评价技术导则》（HJ169－2018）附录B进行对比，</w:t>
            </w:r>
            <w:r>
              <w:rPr>
                <w:rFonts w:hint="eastAsia"/>
                <w:color w:val="000000" w:themeColor="text1"/>
                <w14:textFill>
                  <w14:solidFill>
                    <w14:schemeClr w14:val="tx1"/>
                  </w14:solidFill>
                </w14:textFill>
              </w:rPr>
              <w:t>本项目涉及到的主要风险物料为汽油、柴油。</w:t>
            </w:r>
          </w:p>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（2）环境风险识别</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主要提供柴油/汽油的零售服务，项目涉及的危险物质仅包括柴油和汽油，环境风险主要集中在运输、存储及加/卸油节点，由于柴油/汽油运输均委托专业单位负责，故柴油/汽油运输风险不包括在本项目的评价范围内，项目重点关注柴油/汽油卸油、存储和加油节点的环境风险，项目环境风险统计如下表。</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表7-20  建设项目环境风险识别表</w:t>
            </w:r>
          </w:p>
          <w:tbl>
            <w:tblPr>
              <w:tblStyle w:val="2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754"/>
              <w:gridCol w:w="1304"/>
              <w:gridCol w:w="1276"/>
              <w:gridCol w:w="2409"/>
              <w:gridCol w:w="138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75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危险单元</w:t>
                  </w:r>
                </w:p>
              </w:tc>
              <w:tc>
                <w:tcPr>
                  <w:tcW w:w="13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风险源</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主要危</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险物质</w:t>
                  </w:r>
                </w:p>
              </w:tc>
              <w:tc>
                <w:tcPr>
                  <w:tcW w:w="24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环境风险类型</w:t>
                  </w:r>
                </w:p>
              </w:tc>
              <w:tc>
                <w:tcPr>
                  <w:tcW w:w="138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环境影</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响途径</w:t>
                  </w:r>
                </w:p>
              </w:tc>
              <w:tc>
                <w:tcPr>
                  <w:tcW w:w="17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可能受影响的</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5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储罐区</w:t>
                  </w:r>
                </w:p>
              </w:tc>
              <w:tc>
                <w:tcPr>
                  <w:tcW w:w="13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储罐破裂、遇明火</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柴油/汽油</w:t>
                  </w:r>
                </w:p>
              </w:tc>
              <w:tc>
                <w:tcPr>
                  <w:tcW w:w="24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泄露、火灾、爆炸等事故引发的次生环境污染</w:t>
                  </w:r>
                </w:p>
              </w:tc>
              <w:tc>
                <w:tcPr>
                  <w:tcW w:w="138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大气、地下水</w:t>
                  </w:r>
                </w:p>
              </w:tc>
              <w:tc>
                <w:tcPr>
                  <w:tcW w:w="17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周边居民/周边地下水环境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75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加油罩棚</w:t>
                  </w:r>
                </w:p>
              </w:tc>
              <w:tc>
                <w:tcPr>
                  <w:tcW w:w="13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人为操作失误、遇明火</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柴油/汽油</w:t>
                  </w:r>
                </w:p>
              </w:tc>
              <w:tc>
                <w:tcPr>
                  <w:tcW w:w="24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泄露、火灾、爆炸等事故引发的次生环境污染</w:t>
                  </w:r>
                </w:p>
              </w:tc>
              <w:tc>
                <w:tcPr>
                  <w:tcW w:w="138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大气、地下水</w:t>
                  </w:r>
                </w:p>
              </w:tc>
              <w:tc>
                <w:tcPr>
                  <w:tcW w:w="17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周边居民/周边地下水环境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75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卸油点</w:t>
                  </w:r>
                </w:p>
              </w:tc>
              <w:tc>
                <w:tcPr>
                  <w:tcW w:w="13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卸油管道破损、遇明火</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柴油/汽油</w:t>
                  </w:r>
                </w:p>
              </w:tc>
              <w:tc>
                <w:tcPr>
                  <w:tcW w:w="24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泄露、火灾、爆炸等事故引发的次生环境污染</w:t>
                  </w:r>
                </w:p>
              </w:tc>
              <w:tc>
                <w:tcPr>
                  <w:tcW w:w="138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大气、地下水</w:t>
                  </w:r>
                </w:p>
              </w:tc>
              <w:tc>
                <w:tcPr>
                  <w:tcW w:w="17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周边居民/周边地下水环境</w:t>
                  </w:r>
                </w:p>
              </w:tc>
            </w:tr>
          </w:tbl>
          <w:p>
            <w:pPr>
              <w:pStyle w:val="5"/>
              <w:rPr>
                <w:color w:val="000000" w:themeColor="text1"/>
                <w14:textFill>
                  <w14:solidFill>
                    <w14:schemeClr w14:val="tx1"/>
                  </w14:solidFill>
                </w14:textFill>
              </w:rPr>
            </w:pPr>
            <w:r>
              <w:rPr>
                <w:color w:val="000000" w:themeColor="text1"/>
                <w14:textFill>
                  <w14:solidFill>
                    <w14:schemeClr w14:val="tx1"/>
                  </w14:solidFill>
                </w14:textFill>
              </w:rPr>
              <w:t>7.3.1.2风险潜势初判</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根据《建设项目环境风险技术导则》附录B中的危险物名称及临界量情况，重大危险源识别情况见下表。</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表7-21  危险物质储存情况一览表</w:t>
            </w:r>
          </w:p>
          <w:tbl>
            <w:tblPr>
              <w:tblStyle w:val="29"/>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8"/>
              <w:gridCol w:w="1843"/>
              <w:gridCol w:w="1874"/>
              <w:gridCol w:w="1566"/>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储存场所</w:t>
                  </w:r>
                </w:p>
              </w:tc>
              <w:tc>
                <w:tcPr>
                  <w:tcW w:w="14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储存方式</w:t>
                  </w:r>
                </w:p>
              </w:tc>
              <w:tc>
                <w:tcPr>
                  <w:tcW w:w="187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最大储存量qi/t</w:t>
                  </w:r>
                </w:p>
              </w:tc>
              <w:tc>
                <w:tcPr>
                  <w:tcW w:w="156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临界量Qi/t</w:t>
                  </w:r>
                </w:p>
              </w:tc>
              <w:tc>
                <w:tcPr>
                  <w:tcW w:w="156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qi/Qi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w:t>
                  </w:r>
                </w:p>
              </w:tc>
              <w:tc>
                <w:tcPr>
                  <w:tcW w:w="14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汽油</w:t>
                  </w:r>
                </w:p>
              </w:tc>
              <w:tc>
                <w:tcPr>
                  <w:tcW w:w="1843"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SF双层地埋油罐</w:t>
                  </w:r>
                </w:p>
              </w:tc>
              <w:tc>
                <w:tcPr>
                  <w:tcW w:w="187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66.51</w:t>
                  </w:r>
                </w:p>
              </w:tc>
              <w:tc>
                <w:tcPr>
                  <w:tcW w:w="156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2500</w:t>
                  </w:r>
                </w:p>
              </w:tc>
              <w:tc>
                <w:tcPr>
                  <w:tcW w:w="1567" w:type="dxa"/>
                  <w:vAlign w:val="center"/>
                </w:tcPr>
                <w:p>
                  <w:pPr>
                    <w:pStyle w:val="79"/>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0.026604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continue"/>
                  <w:vAlign w:val="center"/>
                </w:tcPr>
                <w:p>
                  <w:pPr>
                    <w:pStyle w:val="79"/>
                    <w:rPr>
                      <w:color w:val="000000" w:themeColor="text1"/>
                      <w14:textFill>
                        <w14:solidFill>
                          <w14:schemeClr w14:val="tx1"/>
                        </w14:solidFill>
                      </w14:textFill>
                    </w:rPr>
                  </w:pPr>
                </w:p>
              </w:tc>
              <w:tc>
                <w:tcPr>
                  <w:tcW w:w="14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w:t>
                  </w:r>
                </w:p>
              </w:tc>
              <w:tc>
                <w:tcPr>
                  <w:tcW w:w="1843" w:type="dxa"/>
                  <w:vMerge w:val="continue"/>
                  <w:vAlign w:val="center"/>
                </w:tcPr>
                <w:p>
                  <w:pPr>
                    <w:pStyle w:val="79"/>
                    <w:rPr>
                      <w:color w:val="000000" w:themeColor="text1"/>
                      <w14:textFill>
                        <w14:solidFill>
                          <w14:schemeClr w14:val="tx1"/>
                        </w14:solidFill>
                      </w14:textFill>
                    </w:rPr>
                  </w:pPr>
                </w:p>
              </w:tc>
              <w:tc>
                <w:tcPr>
                  <w:tcW w:w="187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25.8</w:t>
                  </w:r>
                </w:p>
              </w:tc>
              <w:tc>
                <w:tcPr>
                  <w:tcW w:w="156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2500</w:t>
                  </w:r>
                </w:p>
              </w:tc>
              <w:tc>
                <w:tcPr>
                  <w:tcW w:w="1567" w:type="dxa"/>
                  <w:vAlign w:val="center"/>
                </w:tcPr>
                <w:p>
                  <w:pPr>
                    <w:pStyle w:val="79"/>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0.01032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0" w:type="dxa"/>
                  <w:gridSpan w:val="5"/>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156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0.036924</w:t>
                  </w:r>
                </w:p>
              </w:tc>
            </w:tr>
          </w:tbl>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本项目危险化学品与临界量比值Q=0.036924＜1，因此项目风险潜势为Ⅰ。</w:t>
            </w:r>
          </w:p>
          <w:p>
            <w:pPr>
              <w:pStyle w:val="5"/>
              <w:rPr>
                <w:color w:val="000000" w:themeColor="text1"/>
                <w14:textFill>
                  <w14:solidFill>
                    <w14:schemeClr w14:val="tx1"/>
                  </w14:solidFill>
                </w14:textFill>
              </w:rPr>
            </w:pPr>
            <w:r>
              <w:rPr>
                <w:color w:val="000000" w:themeColor="text1"/>
                <w14:textFill>
                  <w14:solidFill>
                    <w14:schemeClr w14:val="tx1"/>
                  </w14:solidFill>
                </w14:textFill>
              </w:rPr>
              <w:t>7.3.1.3评价工作等级</w:t>
            </w:r>
          </w:p>
          <w:p>
            <w:pPr>
              <w:pStyle w:val="136"/>
              <w:ind w:firstLine="480"/>
              <w:rPr>
                <w:color w:val="000000" w:themeColor="text1"/>
                <w14:textFill>
                  <w14:solidFill>
                    <w14:schemeClr w14:val="tx1"/>
                  </w14:solidFill>
                </w14:textFill>
              </w:rPr>
            </w:pPr>
            <w:r>
              <w:rPr>
                <w:color w:val="000000" w:themeColor="text1"/>
                <w14:textFill>
                  <w14:solidFill>
                    <w14:schemeClr w14:val="tx1"/>
                  </w14:solidFill>
                </w14:textFill>
              </w:rPr>
              <w:t>根据项目危险物质数量与临界量的比值Q，对比《建设项目环境风险评价技术导则》（HJ/T169-2018）表1，可知项目环境风险评价工作等级为简单分析。</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表7-</w:t>
            </w:r>
            <w:r>
              <w:rPr>
                <w:rFonts w:hint="eastAsia"/>
                <w:color w:val="000000" w:themeColor="text1"/>
                <w14:textFill>
                  <w14:solidFill>
                    <w14:schemeClr w14:val="tx1"/>
                  </w14:solidFill>
                </w14:textFill>
              </w:rPr>
              <w:t>22</w:t>
            </w:r>
            <w:r>
              <w:rPr>
                <w:color w:val="000000" w:themeColor="text1"/>
                <w14:textFill>
                  <w14:solidFill>
                    <w14:schemeClr w14:val="tx1"/>
                  </w14:solidFill>
                </w14:textFill>
              </w:rPr>
              <w:t xml:space="preserve">  评价工作等级划分</w:t>
            </w:r>
          </w:p>
          <w:tbl>
            <w:tblPr>
              <w:tblStyle w:val="2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1881"/>
              <w:gridCol w:w="1880"/>
              <w:gridCol w:w="188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环境风险潜势</w:t>
                  </w:r>
                </w:p>
              </w:tc>
              <w:tc>
                <w:tcPr>
                  <w:tcW w:w="1881" w:type="dxa"/>
                  <w:vAlign w:val="center"/>
                </w:tcPr>
                <w:p>
                  <w:pPr>
                    <w:pStyle w:val="79"/>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Ⅳ</w:t>
                  </w:r>
                  <w:r>
                    <w:rPr>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Ⅳ</w:t>
                  </w:r>
                  <w:r>
                    <w:rPr>
                      <w:color w:val="000000" w:themeColor="text1"/>
                      <w:vertAlign w:val="superscript"/>
                      <w14:textFill>
                        <w14:solidFill>
                          <w14:schemeClr w14:val="tx1"/>
                        </w14:solidFill>
                      </w14:textFill>
                    </w:rPr>
                    <w:t>+</w:t>
                  </w:r>
                </w:p>
              </w:tc>
              <w:tc>
                <w:tcPr>
                  <w:tcW w:w="1880" w:type="dxa"/>
                  <w:vAlign w:val="center"/>
                </w:tcPr>
                <w:p>
                  <w:pPr>
                    <w:pStyle w:val="79"/>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Ⅲ</w:t>
                  </w:r>
                </w:p>
              </w:tc>
              <w:tc>
                <w:tcPr>
                  <w:tcW w:w="1880" w:type="dxa"/>
                  <w:vAlign w:val="center"/>
                </w:tcPr>
                <w:p>
                  <w:pPr>
                    <w:pStyle w:val="79"/>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Ⅱ</w:t>
                  </w:r>
                </w:p>
              </w:tc>
              <w:tc>
                <w:tcPr>
                  <w:tcW w:w="1880" w:type="dxa"/>
                  <w:vAlign w:val="center"/>
                </w:tcPr>
                <w:p>
                  <w:pPr>
                    <w:pStyle w:val="79"/>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评价工作等级</w:t>
                  </w:r>
                </w:p>
              </w:tc>
              <w:tc>
                <w:tcPr>
                  <w:tcW w:w="188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一</w:t>
                  </w:r>
                </w:p>
              </w:tc>
              <w:tc>
                <w:tcPr>
                  <w:tcW w:w="188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二</w:t>
                  </w:r>
                </w:p>
              </w:tc>
              <w:tc>
                <w:tcPr>
                  <w:tcW w:w="188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三</w:t>
                  </w:r>
                </w:p>
              </w:tc>
              <w:tc>
                <w:tcPr>
                  <w:tcW w:w="188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简单分析</w:t>
                  </w:r>
                  <w:r>
                    <w:rPr>
                      <w:color w:val="000000" w:themeColor="text1"/>
                      <w:vertAlign w:val="superscript"/>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02" w:type="dxa"/>
                  <w:gridSpan w:val="5"/>
                  <w:vAlign w:val="center"/>
                </w:tcPr>
                <w:p>
                  <w:pPr>
                    <w:pStyle w:val="79"/>
                    <w:jc w:val="left"/>
                    <w:rPr>
                      <w:color w:val="000000" w:themeColor="text1"/>
                      <w14:textFill>
                        <w14:solidFill>
                          <w14:schemeClr w14:val="tx1"/>
                        </w14:solidFill>
                      </w14:textFill>
                    </w:rPr>
                  </w:pPr>
                  <w:r>
                    <w:rPr>
                      <w:color w:val="000000" w:themeColor="text1"/>
                      <w14:textFill>
                        <w14:solidFill>
                          <w14:schemeClr w14:val="tx1"/>
                        </w14:solidFill>
                      </w14:textFill>
                    </w:rPr>
                    <w:t>a是相对与详细评价工作内容而言，在描述危险物质、环境影响途径、环境危害后果、风险防范措施等方面给出定性的说明。</w:t>
                  </w:r>
                </w:p>
              </w:tc>
            </w:tr>
          </w:tbl>
          <w:p>
            <w:pPr>
              <w:pStyle w:val="4"/>
              <w:spacing w:before="156" w:beforeLines="50"/>
              <w:rPr>
                <w:color w:val="000000" w:themeColor="text1"/>
                <w14:textFill>
                  <w14:solidFill>
                    <w14:schemeClr w14:val="tx1"/>
                  </w14:solidFill>
                </w14:textFill>
              </w:rPr>
            </w:pPr>
            <w:r>
              <w:rPr>
                <w:color w:val="000000" w:themeColor="text1"/>
                <w14:textFill>
                  <w14:solidFill>
                    <w14:schemeClr w14:val="tx1"/>
                  </w14:solidFill>
                </w14:textFill>
              </w:rPr>
              <w:t>7.3.2环境敏感目标概况</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表7-</w:t>
            </w:r>
            <w:r>
              <w:rPr>
                <w:rFonts w:hint="eastAsia"/>
                <w:color w:val="000000" w:themeColor="text1"/>
                <w14:textFill>
                  <w14:solidFill>
                    <w14:schemeClr w14:val="tx1"/>
                  </w14:solidFill>
                </w14:textFill>
              </w:rPr>
              <w:t>23</w:t>
            </w:r>
            <w:r>
              <w:rPr>
                <w:color w:val="000000" w:themeColor="text1"/>
                <w14:textFill>
                  <w14:solidFill>
                    <w14:schemeClr w14:val="tx1"/>
                  </w14:solidFill>
                </w14:textFill>
              </w:rPr>
              <w:t xml:space="preserve">  项目主要环境风险保护目标</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3202"/>
              <w:gridCol w:w="1843"/>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保护对象</w:t>
                  </w:r>
                </w:p>
              </w:tc>
              <w:tc>
                <w:tcPr>
                  <w:tcW w:w="1703"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保护内容</w:t>
                  </w:r>
                </w:p>
              </w:tc>
              <w:tc>
                <w:tcPr>
                  <w:tcW w:w="980"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相对厂址方位</w:t>
                  </w:r>
                </w:p>
              </w:tc>
              <w:tc>
                <w:tcPr>
                  <w:tcW w:w="11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祁东县城区</w:t>
                  </w:r>
                </w:p>
              </w:tc>
              <w:tc>
                <w:tcPr>
                  <w:tcW w:w="170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居住，约3万人</w:t>
                  </w:r>
                </w:p>
              </w:tc>
              <w:tc>
                <w:tcPr>
                  <w:tcW w:w="98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E</w:t>
                  </w:r>
                </w:p>
              </w:tc>
              <w:tc>
                <w:tcPr>
                  <w:tcW w:w="115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曙光村</w:t>
                  </w:r>
                </w:p>
              </w:tc>
              <w:tc>
                <w:tcPr>
                  <w:tcW w:w="170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居住，约500人</w:t>
                  </w:r>
                </w:p>
              </w:tc>
              <w:tc>
                <w:tcPr>
                  <w:tcW w:w="98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w:t>
                  </w:r>
                </w:p>
              </w:tc>
              <w:tc>
                <w:tcPr>
                  <w:tcW w:w="115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唐家湾</w:t>
                  </w:r>
                </w:p>
              </w:tc>
              <w:tc>
                <w:tcPr>
                  <w:tcW w:w="170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居住，约40人</w:t>
                  </w:r>
                </w:p>
              </w:tc>
              <w:tc>
                <w:tcPr>
                  <w:tcW w:w="98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SW</w:t>
                  </w:r>
                </w:p>
              </w:tc>
              <w:tc>
                <w:tcPr>
                  <w:tcW w:w="115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1105-1325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洪丰镇</w:t>
                  </w:r>
                </w:p>
              </w:tc>
              <w:tc>
                <w:tcPr>
                  <w:tcW w:w="170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居住，约600人</w:t>
                  </w:r>
                </w:p>
              </w:tc>
              <w:tc>
                <w:tcPr>
                  <w:tcW w:w="980"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w:t>
                  </w:r>
                </w:p>
              </w:tc>
              <w:tc>
                <w:tcPr>
                  <w:tcW w:w="115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105-1380</w:t>
                  </w:r>
                </w:p>
              </w:tc>
            </w:tr>
          </w:tbl>
          <w:p>
            <w:pPr>
              <w:pStyle w:val="4"/>
              <w:spacing w:before="156" w:beforeLines="50"/>
              <w:rPr>
                <w:color w:val="000000" w:themeColor="text1"/>
                <w14:textFill>
                  <w14:solidFill>
                    <w14:schemeClr w14:val="tx1"/>
                  </w14:solidFill>
                </w14:textFill>
              </w:rPr>
            </w:pPr>
            <w:r>
              <w:rPr>
                <w:color w:val="000000" w:themeColor="text1"/>
                <w14:textFill>
                  <w14:solidFill>
                    <w14:schemeClr w14:val="tx1"/>
                  </w14:solidFill>
                </w14:textFill>
              </w:rPr>
              <w:t>7.3.3</w:t>
            </w:r>
            <w:r>
              <w:rPr>
                <w:rFonts w:hint="eastAsia"/>
                <w:color w:val="000000" w:themeColor="text1"/>
                <w14:textFill>
                  <w14:solidFill>
                    <w14:schemeClr w14:val="tx1"/>
                  </w14:solidFill>
                </w14:textFill>
              </w:rPr>
              <w:t xml:space="preserve"> 环境风险分析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项目环境事故带来的影响主要集中在对大气和水环境的影响。</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（1）环境事故对大气环境影响分析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风险物质主要为柴油/汽油，日常主要集中暂存在地下储罐内，项目内涉及柴油/汽油的区域主要包括卸油点、储罐区和加油罩棚区，若柴油/汽油发生泄露后，遇到明火，可能引发火灾、爆炸事故，从而产生一氧化碳、非甲烷总烃废气。会对周边大气环境带来一定的影响。由于本项目柴油/汽油存储规模不大，且大部分存储在地下双层储罐内，故即便发生火灾、爆炸事故，其带来的影响也不大，主要对周边近距离的居民生活会带来短期影响，随着事故得到控制，大气污染物会逐步消散，故环境事故对大气环境带来的影响有限，基本可控。</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产生的有机废气通过油气回收装置加以处理后，再外排，若油气回收装置发生泄漏，可能会给周边环境带来影响，评价要求建设方在项目场界设置油气监控报警装置，一旦发生泄漏，可以及时发现，并于第一时间采取措施，将环境影响范围降至最低，环境事故对大气环境带来的影响有限，基本可控。</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（2）环境事故对水环境影响分析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若项目内柴油储罐破损、加/卸油过程人为操作失误、卸油过程管道破损，导致柴油/汽油泄露，继而下渗进入地下，可能引发对地下水环境污染。通过项目实地调查，建设方拟对项目的储罐池、加油区地面等区域进行防渗处理，且存储柴油/汽油的储罐均为双层罐。另外项目加/卸油区域均设置了集污沟渠，此部分油气在经过沟渠收集后，会进入项目内截污池，不会流出外环境。故在严格落实了项目区的防渗措施后，柴油/汽油下渗进入地下水环境的风险较小，风险可控。</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产生的废水主要为生活污水、地面清洗废水和初期雨水，此部分废水水质均较为简单，加以简单处理后，可以满足达标排放的要求，根据以往经验，此部分废水处理措施均较为稳定，且具有一定的良好的可靠性。只要做好日常的维护，及时对化粪池、隔油沉淀池进行清淤，发生废水超标排放的可能性非常低，且项目废水均入市政管网，排入污水处理厂处理后，再外排外环境，故评价认为，此部分事故风险较低，不会给周边环境带来明显影响。</w:t>
            </w:r>
          </w:p>
          <w:p>
            <w:pPr>
              <w:pStyle w:val="4"/>
              <w:rPr>
                <w:color w:val="000000" w:themeColor="text1"/>
                <w14:textFill>
                  <w14:solidFill>
                    <w14:schemeClr w14:val="tx1"/>
                  </w14:solidFill>
                </w14:textFill>
              </w:rPr>
            </w:pPr>
            <w:r>
              <w:rPr>
                <w:color w:val="000000" w:themeColor="text1"/>
                <w14:textFill>
                  <w14:solidFill>
                    <w14:schemeClr w14:val="tx1"/>
                  </w14:solidFill>
                </w14:textFill>
              </w:rPr>
              <w:t>7.3.5</w:t>
            </w:r>
            <w:r>
              <w:rPr>
                <w:rFonts w:hint="eastAsia"/>
                <w:color w:val="000000" w:themeColor="text1"/>
                <w14:textFill>
                  <w14:solidFill>
                    <w14:schemeClr w14:val="tx1"/>
                  </w14:solidFill>
                </w14:textFill>
              </w:rPr>
              <w:t>环境风险防范措施及应急要求</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由于环境风险具有突发性和短暂性及危害较大等特点，必须采取相应有效预防措施加以防范，加强控制和管理，杜绝、减轻和避免环境风险。评价要求建设方从风险源、环境影响途径、环境敏感目标等方面落实风险防范措施和应急措施。具体措施如下：</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（1）采用双层罐存储柴油/汽油的储罐，所有用于项目管道、储罐等设备设施的设计应满足《汽车加油加气站设计与施工规范》（GB50156-2012）的要求。</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加油站内严禁烟火、严禁闲杂人员出入逗留。严禁携带危险品进入加油站区域内。同时严格明火管理，严禁吸烟动火。消除电气火花。严格按照《中华人民共和国爆炸危险场所安全规程》和现行有关标准、规程及要求执行。</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（3）严格按防火规范布置平面，站场内的电气设备及仪表按防爆等级选用；购买的设备应具有相应资质的生产单位的合格产品，设计安装应严格按照《汽车加油加气站设计与施工规范》（GB50156-2012）要求。</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（4）放置油罐的罐池内回填厚度大于0.3m的干净砂土，同时也防止回填土含酸碱的废渣，对油罐加剧腐蚀；埋地钢管的连接采用焊接方式。</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（5）油罐的各接合管设在油罐的顶部，便于平时的检修与管理，避免现场安装开孔可能出现焊接不良和接管受力大、容易发生断裂而造成的跑油、渗油等不安全事故。</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（6）加油站设置符合标准的灭火设施，防腐设计及建设符合《汽车加油加气站设计与施工规范》（GB50156-2012）中的相关要求。</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（7）装设高液位自动监测系统，具有油罐渗漏的监测功能和高液位的警报功能，及时掌握油罐情况，如果发生泄漏能够及时发现，及时采取措施。</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（8）做好配套的应急措施，应在场界设置报警装。并且在项目罐区、加油区设置消防砂池。</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（9）装设油气在线监测系统，及时掌握油气回收情况，如果发生异常，能够及时采取措施，避免无组织排放量超标，造成危害。</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（10）建议设置地埋油罐的防渗池，在油罐外围起到二次防渗保护作用，防渗池应采用防渗混凝土浇注为一体。</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（11）加强对项目周围大气和水环境的监测，对油品的泄露要及时掌握，防止油品的泄露对周围大气、水环境造成危害。</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对储罐渗漏事故的防护，对储罐、阀门等进行定期检测。对泄漏到液池内的物料应使用临时抽吸系统尽快收集，减少蒸发量或引起爆炸和着火的机会。一旦发生火灾爆炸，要尽快使用消防设施扑救，疏散周围非急救人员，远离事故区。加强自检，做到灭火装置完整有效，一旦发生加油机火灾、爆炸事故时能及时启动，进行灭火。加油站应设置醒目的防火、禁止吸烟及明火标志。</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要坚持“预防为主”的方针，防患于未然。从业人员应委托专业部门或本部门内培训，经考核合格后上岗，操作人员必须严格按照操作规程办事，认真执行巡检制度，避免因检查不到位或错误操作而发生事故。</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（14）建立健全健康/安全环境管理制度，指定相关责任人。消防器材完好到位，并设置火灾报警装置。加强加油站的安全环保管理，对所有职工进行安全环保的教育和培训。</w:t>
            </w:r>
          </w:p>
          <w:p>
            <w:pPr>
              <w:pStyle w:val="4"/>
              <w:rPr>
                <w:color w:val="000000" w:themeColor="text1"/>
                <w14:textFill>
                  <w14:solidFill>
                    <w14:schemeClr w14:val="tx1"/>
                  </w14:solidFill>
                </w14:textFill>
              </w:rPr>
            </w:pPr>
            <w:r>
              <w:rPr>
                <w:color w:val="000000" w:themeColor="text1"/>
                <w14:textFill>
                  <w14:solidFill>
                    <w14:schemeClr w14:val="tx1"/>
                  </w14:solidFill>
                </w14:textFill>
              </w:rPr>
              <w:t>7.3.6风险评价结论</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评价认为，只要企业严格按照有关规定、安评及环评提出的风险防范措施与管理的要求实施，并接受当地政府等有关部门的监督检查，该项目发生泄漏和火灾爆炸事故引发的环境事故的可能性将进一步降低，环境风险可以控制在可预知、可控制、可解决的情况之下，不会对外环境造成大的危害影响。环评认为项目环境风险可接受。</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表7-24  建设项目环境风险简单分析内容表</w:t>
            </w:r>
          </w:p>
          <w:tbl>
            <w:tblPr>
              <w:tblStyle w:val="28"/>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4183"/>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建设项目名称</w:t>
                  </w:r>
                </w:p>
              </w:tc>
              <w:tc>
                <w:tcPr>
                  <w:tcW w:w="7280"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中国石化销售股份有限公司湖南衡阳石油分公司祁东城西加油站改建项目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建设地点</w:t>
                  </w:r>
                </w:p>
              </w:tc>
              <w:tc>
                <w:tcPr>
                  <w:tcW w:w="7280"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祁东县洪桥镇洪丰村G322线北侧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地理坐标</w:t>
                  </w:r>
                </w:p>
              </w:tc>
              <w:tc>
                <w:tcPr>
                  <w:tcW w:w="728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E112.069968605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，N26.794981393</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122"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主要危险物质及分布</w:t>
                  </w:r>
                </w:p>
              </w:tc>
              <w:tc>
                <w:tcPr>
                  <w:tcW w:w="41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汽油</w:t>
                  </w:r>
                </w:p>
              </w:tc>
              <w:tc>
                <w:tcPr>
                  <w:tcW w:w="3097"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SF双层地埋油罐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vAlign w:val="center"/>
                </w:tcPr>
                <w:p>
                  <w:pPr>
                    <w:pStyle w:val="79"/>
                    <w:rPr>
                      <w:color w:val="000000" w:themeColor="text1"/>
                      <w14:textFill>
                        <w14:solidFill>
                          <w14:schemeClr w14:val="tx1"/>
                        </w14:solidFill>
                      </w14:textFill>
                    </w:rPr>
                  </w:pPr>
                </w:p>
              </w:tc>
              <w:tc>
                <w:tcPr>
                  <w:tcW w:w="41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w:t>
                  </w:r>
                </w:p>
              </w:tc>
              <w:tc>
                <w:tcPr>
                  <w:tcW w:w="3097"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环境影响途径及危害后果（大气、地表水、地下水等）</w:t>
                  </w:r>
                </w:p>
              </w:tc>
              <w:tc>
                <w:tcPr>
                  <w:tcW w:w="7280" w:type="dxa"/>
                  <w:gridSpan w:val="2"/>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汽（柴）油泄露，进入雨水管网可能对周边地表水及地下水带来危害；汽（柴）油遇火会产生一氧化碳等污染物，对大气环境会带来一定的危害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风险防范措施要求</w:t>
                  </w:r>
                </w:p>
              </w:tc>
              <w:tc>
                <w:tcPr>
                  <w:tcW w:w="7280" w:type="dxa"/>
                  <w:gridSpan w:val="2"/>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1、禁止烟火；2、储罐池防渗、防腐处理；3、站内设备设施定期检修维护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2" w:type="dxa"/>
                  <w:gridSpan w:val="3"/>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填表说明（列出项目相关信息及评价说明）：</w:t>
                  </w:r>
                </w:p>
                <w:tbl>
                  <w:tblPr>
                    <w:tblStyle w:val="28"/>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0"/>
                    <w:gridCol w:w="2551"/>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10" w:type="dxa"/>
                        <w:vAlign w:val="center"/>
                      </w:tcPr>
                      <w:p>
                        <w:pPr>
                          <w:pStyle w:val="7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项目名称</w:t>
                        </w:r>
                      </w:p>
                    </w:tc>
                    <w:tc>
                      <w:tcPr>
                        <w:tcW w:w="25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环境风险潜势</w:t>
                        </w:r>
                      </w:p>
                    </w:tc>
                    <w:tc>
                      <w:tcPr>
                        <w:tcW w:w="291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10" w:type="dxa"/>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hint="eastAsia"/>
                            <w:color w:val="000000" w:themeColor="text1"/>
                            <w14:textFill>
                              <w14:solidFill>
                                <w14:schemeClr w14:val="tx1"/>
                              </w14:solidFill>
                            </w14:textFill>
                          </w:rPr>
                          <w:t>中国石化销售股份有限公司湖南衡阳石油分公司祁东城西加油站改建项目</w:t>
                        </w:r>
                      </w:p>
                    </w:tc>
                    <w:tc>
                      <w:tcPr>
                        <w:tcW w:w="25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Ⅰ级</w:t>
                        </w:r>
                      </w:p>
                    </w:tc>
                    <w:tc>
                      <w:tcPr>
                        <w:tcW w:w="291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简单分析</w:t>
                        </w:r>
                      </w:p>
                    </w:tc>
                  </w:tr>
                </w:tbl>
                <w:p>
                  <w:pPr>
                    <w:pStyle w:val="79"/>
                    <w:rPr>
                      <w:color w:val="000000" w:themeColor="text1"/>
                      <w14:textFill>
                        <w14:solidFill>
                          <w14:schemeClr w14:val="tx1"/>
                        </w14:solidFill>
                      </w14:textFill>
                    </w:rPr>
                  </w:pPr>
                </w:p>
              </w:tc>
            </w:tr>
          </w:tbl>
          <w:p>
            <w:pPr>
              <w:pStyle w:val="3"/>
              <w:rPr>
                <w:color w:val="000000" w:themeColor="text1"/>
                <w14:textFill>
                  <w14:solidFill>
                    <w14:schemeClr w14:val="tx1"/>
                  </w14:solidFill>
                </w14:textFill>
              </w:rPr>
            </w:pPr>
            <w:r>
              <w:rPr>
                <w:color w:val="000000" w:themeColor="text1"/>
                <w14:textFill>
                  <w14:solidFill>
                    <w14:schemeClr w14:val="tx1"/>
                  </w14:solidFill>
                </w14:textFill>
              </w:rPr>
              <w:t>7.4 项目建设可行性分析</w:t>
            </w:r>
          </w:p>
          <w:p>
            <w:pPr>
              <w:pStyle w:val="4"/>
              <w:rPr>
                <w:color w:val="000000" w:themeColor="text1"/>
                <w14:textFill>
                  <w14:solidFill>
                    <w14:schemeClr w14:val="tx1"/>
                  </w14:solidFill>
                </w14:textFill>
              </w:rPr>
            </w:pPr>
            <w:r>
              <w:rPr>
                <w:color w:val="000000" w:themeColor="text1"/>
                <w14:textFill>
                  <w14:solidFill>
                    <w14:schemeClr w14:val="tx1"/>
                  </w14:solidFill>
                </w14:textFill>
              </w:rPr>
              <w:t>7.4.1产业政策符合性分析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主要从事柴油、汽油的零售，对照《产业结构调整指导目录（2011年本）（2013修正）》（国家发展和改革委员会2011年第9号令，国家发改委第2013年第21号令），在限制类、淘汰类均未见涉及本项目的条款。因此，本项目建设符合国家产业政策。</w:t>
            </w:r>
          </w:p>
          <w:p>
            <w:pPr>
              <w:pStyle w:val="4"/>
              <w:rPr>
                <w:snapToGrid/>
                <w:color w:val="000000" w:themeColor="text1"/>
                <w14:textFill>
                  <w14:solidFill>
                    <w14:schemeClr w14:val="tx1"/>
                  </w14:solidFill>
                </w14:textFill>
              </w:rPr>
            </w:pPr>
            <w:r>
              <w:rPr>
                <w:snapToGrid/>
                <w:color w:val="000000" w:themeColor="text1"/>
                <w14:textFill>
                  <w14:solidFill>
                    <w14:schemeClr w14:val="tx1"/>
                  </w14:solidFill>
                </w14:textFill>
              </w:rPr>
              <w:t>7.4.</w:t>
            </w:r>
            <w:r>
              <w:rPr>
                <w:rFonts w:hint="eastAsia"/>
                <w:snapToGrid/>
                <w:color w:val="000000" w:themeColor="text1"/>
                <w14:textFill>
                  <w14:solidFill>
                    <w14:schemeClr w14:val="tx1"/>
                  </w14:solidFill>
                </w14:textFill>
              </w:rPr>
              <w:t>2</w:t>
            </w:r>
            <w:r>
              <w:rPr>
                <w:snapToGrid/>
                <w:color w:val="000000" w:themeColor="text1"/>
                <w14:textFill>
                  <w14:solidFill>
                    <w14:schemeClr w14:val="tx1"/>
                  </w14:solidFill>
                </w14:textFill>
              </w:rPr>
              <w:t>选址</w:t>
            </w:r>
            <w:r>
              <w:rPr>
                <w:rFonts w:hint="eastAsia"/>
                <w:snapToGrid/>
                <w:color w:val="000000" w:themeColor="text1"/>
                <w14:textFill>
                  <w14:solidFill>
                    <w14:schemeClr w14:val="tx1"/>
                  </w14:solidFill>
                </w14:textFill>
              </w:rPr>
              <w:t>及规划合理性</w:t>
            </w:r>
            <w:r>
              <w:rPr>
                <w:snapToGrid/>
                <w:color w:val="000000" w:themeColor="text1"/>
                <w14:textFill>
                  <w14:solidFill>
                    <w14:schemeClr w14:val="tx1"/>
                  </w14:solidFill>
                </w14:textFill>
              </w:rPr>
              <w:t>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（1）与规划符合性分析</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选址祁东县洪桥镇洪丰村G322线北侧，本项目取得了祁东县的《建设工程规划许可证》，具体见附件3。符合祁东县城乡规划要求。项目符合祁东县加油站布点规划，具体见附件6。符合祁东县加油站布点规划要求。</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（2）防火距离合理性分析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w:t>
            </w:r>
            <w:r>
              <w:rPr>
                <w:color w:val="000000" w:themeColor="text1"/>
                <w:szCs w:val="22"/>
                <w14:textFill>
                  <w14:solidFill>
                    <w14:schemeClr w14:val="tx1"/>
                  </w14:solidFill>
                </w14:textFill>
              </w:rPr>
              <w:t>祁东县洪桥镇洪丰村G322线北侧</w:t>
            </w:r>
            <w:r>
              <w:rPr>
                <w:rFonts w:hint="eastAsia"/>
                <w:color w:val="000000" w:themeColor="text1"/>
                <w14:textFill>
                  <w14:solidFill>
                    <w14:schemeClr w14:val="tx1"/>
                  </w14:solidFill>
                </w14:textFill>
              </w:rPr>
              <w:t>。本项目区域环境空气属于二类功能区，项目污水排入市政污水管网，进入祁东县渔陂污水处理厂处理，项目所处声环境功能区属于2、4a类区。项目建设运营不会改变所在区域地表水体、环境空气、声环境等的功能要求。因此，本项目的建设与区域环境功能区划是相符的。</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结合《汽车加油加气站设计与施工规范》（GB50156-2012）中的相关规定，项目周边的建筑物、配电站等与加油站油罐、加油机、通气管口应设置一定安全防护距离均能够满足表47要求。</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本环评建议，项目加油站周边新建有关项目时，应严格遵守《汽车加油加气站设计与施工规范》（GB50156-2012）有关规定，严禁新建项目超过与加油站有关单元的最小安全防护距离。</w:t>
            </w:r>
          </w:p>
          <w:p>
            <w:pPr>
              <w:pStyle w:val="88"/>
              <w:rPr>
                <w:color w:val="000000" w:themeColor="text1"/>
                <w14:textFill>
                  <w14:solidFill>
                    <w14:schemeClr w14:val="tx1"/>
                  </w14:solidFill>
                </w14:textFill>
              </w:rPr>
            </w:pPr>
          </w:p>
          <w:p>
            <w:pPr>
              <w:pStyle w:val="88"/>
              <w:rPr>
                <w:color w:val="000000" w:themeColor="text1"/>
                <w14:textFill>
                  <w14:solidFill>
                    <w14:schemeClr w14:val="tx1"/>
                  </w14:solidFill>
                </w14:textFill>
              </w:rPr>
            </w:pPr>
          </w:p>
          <w:p>
            <w:pPr>
              <w:pStyle w:val="88"/>
              <w:rPr>
                <w:color w:val="000000" w:themeColor="text1"/>
                <w14:textFill>
                  <w14:solidFill>
                    <w14:schemeClr w14:val="tx1"/>
                  </w14:solidFill>
                </w14:textFill>
              </w:rPr>
            </w:pPr>
            <w:r>
              <w:rPr>
                <w:color w:val="000000" w:themeColor="text1"/>
                <w14:textFill>
                  <w14:solidFill>
                    <w14:schemeClr w14:val="tx1"/>
                  </w14:solidFill>
                </w14:textFill>
              </w:rPr>
              <w:t>表7-</w:t>
            </w:r>
            <w:r>
              <w:rPr>
                <w:rFonts w:hint="eastAsia"/>
                <w:color w:val="000000" w:themeColor="text1"/>
                <w14:textFill>
                  <w14:solidFill>
                    <w14:schemeClr w14:val="tx1"/>
                  </w14:solidFill>
                </w14:textFill>
              </w:rPr>
              <w:t>25</w:t>
            </w:r>
            <w:r>
              <w:rPr>
                <w:color w:val="000000" w:themeColor="text1"/>
                <w14:textFill>
                  <w14:solidFill>
                    <w14:schemeClr w14:val="tx1"/>
                  </w14:solidFill>
                </w14:textFill>
              </w:rPr>
              <w:t xml:space="preserve">  本项目选址与标准对比情况</w:t>
            </w:r>
          </w:p>
          <w:tbl>
            <w:tblPr>
              <w:tblStyle w:val="28"/>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2800"/>
              <w:gridCol w:w="5246"/>
              <w:gridCol w:w="7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48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标准要求</w:t>
                  </w:r>
                </w:p>
              </w:tc>
              <w:tc>
                <w:tcPr>
                  <w:tcW w:w="278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实际情况</w:t>
                  </w:r>
                </w:p>
              </w:tc>
              <w:tc>
                <w:tcPr>
                  <w:tcW w:w="40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符合情况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148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选址应符合城乡规划的要求</w:t>
                  </w:r>
                </w:p>
              </w:tc>
              <w:tc>
                <w:tcPr>
                  <w:tcW w:w="278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本项目取得了祁东县的《建设工程规划许可证》</w:t>
                  </w:r>
                </w:p>
              </w:tc>
              <w:tc>
                <w:tcPr>
                  <w:tcW w:w="40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w:t>
                  </w:r>
                </w:p>
              </w:tc>
              <w:tc>
                <w:tcPr>
                  <w:tcW w:w="148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选址应符合环境保护的要求</w:t>
                  </w:r>
                </w:p>
              </w:tc>
              <w:tc>
                <w:tcPr>
                  <w:tcW w:w="278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本项目周围有一定环境容量，同时将采取相应的环保措施</w:t>
                  </w:r>
                </w:p>
              </w:tc>
              <w:tc>
                <w:tcPr>
                  <w:tcW w:w="40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148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选址应符合防火安全的要求</w:t>
                  </w:r>
                </w:p>
              </w:tc>
              <w:tc>
                <w:tcPr>
                  <w:tcW w:w="278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本项目选址符合防火安全的要求</w:t>
                  </w:r>
                </w:p>
              </w:tc>
              <w:tc>
                <w:tcPr>
                  <w:tcW w:w="40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w:t>
                  </w:r>
                </w:p>
              </w:tc>
              <w:tc>
                <w:tcPr>
                  <w:tcW w:w="148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选址应选在交通便利的地方</w:t>
                  </w:r>
                </w:p>
              </w:tc>
              <w:tc>
                <w:tcPr>
                  <w:tcW w:w="278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本项目南面紧临</w:t>
                  </w:r>
                  <w:r>
                    <w:rPr>
                      <w:bCs/>
                      <w:color w:val="000000" w:themeColor="text1"/>
                      <w14:textFill>
                        <w14:solidFill>
                          <w14:schemeClr w14:val="tx1"/>
                        </w14:solidFill>
                      </w14:textFill>
                    </w:rPr>
                    <w:t>G322</w:t>
                  </w:r>
                  <w:r>
                    <w:rPr>
                      <w:color w:val="000000" w:themeColor="text1"/>
                      <w14:textFill>
                        <w14:solidFill>
                          <w14:schemeClr w14:val="tx1"/>
                        </w14:solidFill>
                      </w14:textFill>
                    </w:rPr>
                    <w:t>，距离益娄衡高速约14km</w:t>
                  </w:r>
                </w:p>
              </w:tc>
              <w:tc>
                <w:tcPr>
                  <w:tcW w:w="40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48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在城区内不应建一级加油站</w:t>
                  </w:r>
                </w:p>
              </w:tc>
              <w:tc>
                <w:tcPr>
                  <w:tcW w:w="278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本项目为二级加油站，且不在城区</w:t>
                  </w:r>
                </w:p>
              </w:tc>
              <w:tc>
                <w:tcPr>
                  <w:tcW w:w="40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1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148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加油站的油罐、加油机和通气管与站外建（构）筑物的防火距离，不应小于《汽车加油加气站设计与施工规范》（GB50156-2012）中的规定</w:t>
                  </w:r>
                </w:p>
              </w:tc>
              <w:tc>
                <w:tcPr>
                  <w:tcW w:w="278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油罐、加油机和通气管口与站外建、构筑物的防火距离满足相关规定</w:t>
                  </w:r>
                </w:p>
              </w:tc>
              <w:tc>
                <w:tcPr>
                  <w:tcW w:w="40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符合</w:t>
                  </w:r>
                </w:p>
              </w:tc>
            </w:tr>
          </w:tbl>
          <w:p>
            <w:pPr>
              <w:pStyle w:val="88"/>
              <w:rPr>
                <w:color w:val="000000" w:themeColor="text1"/>
                <w14:textFill>
                  <w14:solidFill>
                    <w14:schemeClr w14:val="tx1"/>
                  </w14:solidFill>
                </w14:textFill>
              </w:rPr>
            </w:pPr>
            <w:r>
              <w:rPr>
                <w:color w:val="000000" w:themeColor="text1"/>
                <w14:textFill>
                  <w14:solidFill>
                    <w14:schemeClr w14:val="tx1"/>
                  </w14:solidFill>
                </w14:textFill>
              </w:rPr>
              <w:t>表7-2</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  汽油设备与站外建、构筑物的防火距离（m）</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51"/>
              <w:gridCol w:w="1256"/>
              <w:gridCol w:w="1593"/>
              <w:gridCol w:w="1047"/>
              <w:gridCol w:w="1049"/>
              <w:gridCol w:w="1066"/>
              <w:gridCol w:w="1032"/>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设施名称</w:t>
                  </w:r>
                </w:p>
              </w:tc>
              <w:tc>
                <w:tcPr>
                  <w:tcW w:w="1404"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埋地油罐（二级加油站）</w:t>
                  </w:r>
                </w:p>
              </w:tc>
              <w:tc>
                <w:tcPr>
                  <w:tcW w:w="1125"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加油机</w:t>
                  </w:r>
                </w:p>
              </w:tc>
              <w:tc>
                <w:tcPr>
                  <w:tcW w:w="1135"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通气管管口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Merge w:val="continue"/>
                  <w:vAlign w:val="center"/>
                </w:tcPr>
                <w:p>
                  <w:pPr>
                    <w:pStyle w:val="79"/>
                    <w:rPr>
                      <w:color w:val="000000" w:themeColor="text1"/>
                      <w14:textFill>
                        <w14:solidFill>
                          <w14:schemeClr w14:val="tx1"/>
                        </w14:solidFill>
                      </w14:textFill>
                    </w:rPr>
                  </w:pPr>
                </w:p>
              </w:tc>
              <w:tc>
                <w:tcPr>
                  <w:tcW w:w="3664" w:type="pct"/>
                  <w:gridSpan w:val="6"/>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有卸油和加油油气回收系统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Merge w:val="continue"/>
                  <w:vAlign w:val="center"/>
                </w:tcPr>
                <w:p>
                  <w:pPr>
                    <w:pStyle w:val="79"/>
                    <w:rPr>
                      <w:color w:val="000000" w:themeColor="text1"/>
                      <w14:textFill>
                        <w14:solidFill>
                          <w14:schemeClr w14:val="tx1"/>
                        </w14:solidFill>
                      </w14:textFill>
                    </w:rPr>
                  </w:pP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最低安全距离</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平面图数据</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最低安全距离</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平面图数据</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最低安全距离</w:t>
                  </w:r>
                </w:p>
              </w:tc>
              <w:tc>
                <w:tcPr>
                  <w:tcW w:w="586" w:type="pct"/>
                  <w:vAlign w:val="center"/>
                </w:tcPr>
                <w:p>
                  <w:pPr>
                    <w:pStyle w:val="79"/>
                    <w:rPr>
                      <w:color w:val="000000" w:themeColor="text1"/>
                      <w14:textFill>
                        <w14:solidFill>
                          <w14:schemeClr w14:val="tx1"/>
                        </w14:solidFill>
                      </w14:textFill>
                    </w:rPr>
                  </w:pPr>
                </w:p>
                <w:p>
                  <w:pPr>
                    <w:pStyle w:val="79"/>
                    <w:rPr>
                      <w:color w:val="000000" w:themeColor="text1"/>
                      <w14:textFill>
                        <w14:solidFill>
                          <w14:schemeClr w14:val="tx1"/>
                        </w14:solidFill>
                      </w14:textFill>
                    </w:rPr>
                  </w:pPr>
                  <w:r>
                    <w:rPr>
                      <w:color w:val="000000" w:themeColor="text1"/>
                      <w14:textFill>
                        <w14:solidFill>
                          <w14:schemeClr w14:val="tx1"/>
                        </w14:solidFill>
                      </w14:textFill>
                    </w:rPr>
                    <w:t>平面图数据</w:t>
                  </w:r>
                </w:p>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重要公共建筑物</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35</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明火或散发明火地点</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17.5</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1"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民用建筑物</w:t>
                  </w:r>
                </w:p>
              </w:tc>
              <w:tc>
                <w:tcPr>
                  <w:tcW w:w="695"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一类</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11</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11</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1" w:type="pct"/>
                  <w:vMerge w:val="continue"/>
                  <w:vAlign w:val="center"/>
                </w:tcPr>
                <w:p>
                  <w:pPr>
                    <w:pStyle w:val="79"/>
                    <w:rPr>
                      <w:color w:val="000000" w:themeColor="text1"/>
                      <w14:textFill>
                        <w14:solidFill>
                          <w14:schemeClr w14:val="tx1"/>
                        </w14:solidFill>
                      </w14:textFill>
                    </w:rPr>
                  </w:pPr>
                </w:p>
              </w:tc>
              <w:tc>
                <w:tcPr>
                  <w:tcW w:w="695"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二类</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11</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1" w:type="pct"/>
                  <w:vMerge w:val="continue"/>
                  <w:vAlign w:val="center"/>
                </w:tcPr>
                <w:p>
                  <w:pPr>
                    <w:pStyle w:val="79"/>
                    <w:rPr>
                      <w:color w:val="000000" w:themeColor="text1"/>
                      <w14:textFill>
                        <w14:solidFill>
                          <w14:schemeClr w14:val="tx1"/>
                        </w14:solidFill>
                      </w14:textFill>
                    </w:rPr>
                  </w:pPr>
                </w:p>
              </w:tc>
              <w:tc>
                <w:tcPr>
                  <w:tcW w:w="695"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三类</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8.5</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20.3</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19.3</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甲、乙类物品生产厂房、库房和甲、乙类液体储罐</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15.5</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＞120</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＞120</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丙、丁、戊类物品生产厂房、库房和丙类液体储罐以及容积不大于50m³的埋地甲、乙类液体储罐</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11</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53</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52</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室外变配电站</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15.5</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铁路</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15.5</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pct"/>
                  <w:gridSpan w:val="2"/>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城市道路</w:t>
                  </w:r>
                </w:p>
              </w:tc>
              <w:tc>
                <w:tcPr>
                  <w:tcW w:w="66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快速路、主干路</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5.5</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21.2</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22.6</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pct"/>
                  <w:gridSpan w:val="2"/>
                  <w:vMerge w:val="continue"/>
                  <w:vAlign w:val="center"/>
                </w:tcPr>
                <w:p>
                  <w:pPr>
                    <w:pStyle w:val="79"/>
                    <w:rPr>
                      <w:color w:val="000000" w:themeColor="text1"/>
                      <w14:textFill>
                        <w14:solidFill>
                          <w14:schemeClr w14:val="tx1"/>
                        </w14:solidFill>
                      </w14:textFill>
                    </w:rPr>
                  </w:pPr>
                </w:p>
              </w:tc>
              <w:tc>
                <w:tcPr>
                  <w:tcW w:w="66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次干路、支路</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架空通讯线</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1培杆高，且不应小于5m</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15.4</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16.8</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pct"/>
                  <w:gridSpan w:val="2"/>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架空电力线路</w:t>
                  </w:r>
                </w:p>
              </w:tc>
              <w:tc>
                <w:tcPr>
                  <w:tcW w:w="66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无绝缘层</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1.5培杆（塔）高，且不应小于6.5m</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pct"/>
                  <w:gridSpan w:val="2"/>
                  <w:vMerge w:val="continue"/>
                  <w:vAlign w:val="center"/>
                </w:tcPr>
                <w:p>
                  <w:pPr>
                    <w:pStyle w:val="79"/>
                    <w:rPr>
                      <w:color w:val="000000" w:themeColor="text1"/>
                      <w14:textFill>
                        <w14:solidFill>
                          <w14:schemeClr w14:val="tx1"/>
                        </w14:solidFill>
                      </w14:textFill>
                    </w:rPr>
                  </w:pPr>
                </w:p>
              </w:tc>
              <w:tc>
                <w:tcPr>
                  <w:tcW w:w="66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有绝缘层</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1培杆（塔）高，且不应小于5m</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bl>
          <w:p>
            <w:pPr>
              <w:pStyle w:val="79"/>
              <w:jc w:val="left"/>
              <w:rPr>
                <w:b/>
                <w:color w:val="000000" w:themeColor="text1"/>
                <w14:textFill>
                  <w14:solidFill>
                    <w14:schemeClr w14:val="tx1"/>
                  </w14:solidFill>
                </w14:textFill>
              </w:rPr>
            </w:pPr>
            <w:r>
              <w:rPr>
                <w:b/>
                <w:color w:val="000000" w:themeColor="text1"/>
                <w14:textFill>
                  <w14:solidFill>
                    <w14:schemeClr w14:val="tx1"/>
                  </w14:solidFill>
                </w14:textFill>
              </w:rPr>
              <w:t>注：1、其中“—”代表站区周围50m范围内无此建、构筑物。</w:t>
            </w:r>
          </w:p>
          <w:p>
            <w:pPr>
              <w:pStyle w:val="79"/>
              <w:jc w:val="left"/>
              <w:rPr>
                <w:b/>
                <w:color w:val="000000" w:themeColor="text1"/>
                <w14:textFill>
                  <w14:solidFill>
                    <w14:schemeClr w14:val="tx1"/>
                  </w14:solidFill>
                </w14:textFill>
              </w:rPr>
            </w:pPr>
            <w:r>
              <w:rPr>
                <w:b/>
                <w:color w:val="000000" w:themeColor="text1"/>
                <w14:textFill>
                  <w14:solidFill>
                    <w14:schemeClr w14:val="tx1"/>
                  </w14:solidFill>
                </w14:textFill>
              </w:rPr>
              <w:t>2、站区西面的汽车检测站属丙类生产厂房、库房。</w:t>
            </w:r>
          </w:p>
          <w:p>
            <w:pPr>
              <w:pStyle w:val="79"/>
              <w:jc w:val="left"/>
              <w:rPr>
                <w:b/>
                <w:color w:val="000000" w:themeColor="text1"/>
                <w14:textFill>
                  <w14:solidFill>
                    <w14:schemeClr w14:val="tx1"/>
                  </w14:solidFill>
                </w14:textFill>
              </w:rPr>
            </w:pPr>
            <w:r>
              <w:rPr>
                <w:b/>
                <w:color w:val="000000" w:themeColor="text1"/>
                <w14:textFill>
                  <w14:solidFill>
                    <w14:schemeClr w14:val="tx1"/>
                  </w14:solidFill>
                </w14:textFill>
              </w:rPr>
              <w:t>3、站区西北面的生物发电厂属于甲、乙类物品生产厂房、库房</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表7-2</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  柴油设备与站外建、构筑物的防火距离（m）</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51"/>
              <w:gridCol w:w="1256"/>
              <w:gridCol w:w="1593"/>
              <w:gridCol w:w="1047"/>
              <w:gridCol w:w="1049"/>
              <w:gridCol w:w="1066"/>
              <w:gridCol w:w="1032"/>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设施名称</w:t>
                  </w:r>
                </w:p>
              </w:tc>
              <w:tc>
                <w:tcPr>
                  <w:tcW w:w="1404"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埋地油罐（二级加油站）</w:t>
                  </w:r>
                </w:p>
              </w:tc>
              <w:tc>
                <w:tcPr>
                  <w:tcW w:w="1125"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加油机</w:t>
                  </w:r>
                </w:p>
              </w:tc>
              <w:tc>
                <w:tcPr>
                  <w:tcW w:w="1135"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通气管管口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Merge w:val="continue"/>
                  <w:vAlign w:val="center"/>
                </w:tcPr>
                <w:p>
                  <w:pPr>
                    <w:pStyle w:val="79"/>
                    <w:rPr>
                      <w:color w:val="000000" w:themeColor="text1"/>
                      <w14:textFill>
                        <w14:solidFill>
                          <w14:schemeClr w14:val="tx1"/>
                        </w14:solidFill>
                      </w14:textFill>
                    </w:rPr>
                  </w:pPr>
                </w:p>
              </w:tc>
              <w:tc>
                <w:tcPr>
                  <w:tcW w:w="3664" w:type="pct"/>
                  <w:gridSpan w:val="6"/>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有卸油和加油油气回收系统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Merge w:val="continue"/>
                  <w:vAlign w:val="center"/>
                </w:tcPr>
                <w:p>
                  <w:pPr>
                    <w:pStyle w:val="79"/>
                    <w:rPr>
                      <w:color w:val="000000" w:themeColor="text1"/>
                      <w14:textFill>
                        <w14:solidFill>
                          <w14:schemeClr w14:val="tx1"/>
                        </w14:solidFill>
                      </w14:textFill>
                    </w:rPr>
                  </w:pP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最低安全距离</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平面图数据</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最低安全距离</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平面图数据</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最低安全距离</w:t>
                  </w:r>
                </w:p>
              </w:tc>
              <w:tc>
                <w:tcPr>
                  <w:tcW w:w="586" w:type="pct"/>
                  <w:vAlign w:val="center"/>
                </w:tcPr>
                <w:p>
                  <w:pPr>
                    <w:pStyle w:val="79"/>
                    <w:rPr>
                      <w:color w:val="000000" w:themeColor="text1"/>
                      <w14:textFill>
                        <w14:solidFill>
                          <w14:schemeClr w14:val="tx1"/>
                        </w14:solidFill>
                      </w14:textFill>
                    </w:rPr>
                  </w:pPr>
                </w:p>
                <w:p>
                  <w:pPr>
                    <w:pStyle w:val="79"/>
                    <w:rPr>
                      <w:color w:val="000000" w:themeColor="text1"/>
                      <w14:textFill>
                        <w14:solidFill>
                          <w14:schemeClr w14:val="tx1"/>
                        </w14:solidFill>
                      </w14:textFill>
                    </w:rPr>
                  </w:pPr>
                  <w:r>
                    <w:rPr>
                      <w:color w:val="000000" w:themeColor="text1"/>
                      <w14:textFill>
                        <w14:solidFill>
                          <w14:schemeClr w14:val="tx1"/>
                        </w14:solidFill>
                      </w14:textFill>
                    </w:rPr>
                    <w:t>平面图数据</w:t>
                  </w:r>
                </w:p>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重要公共建筑物</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25</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明火或散发明火地点</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1" w:type="pct"/>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民用建筑物</w:t>
                  </w:r>
                </w:p>
              </w:tc>
              <w:tc>
                <w:tcPr>
                  <w:tcW w:w="695"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一类</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1" w:type="pct"/>
                  <w:vMerge w:val="continue"/>
                  <w:vAlign w:val="center"/>
                </w:tcPr>
                <w:p>
                  <w:pPr>
                    <w:pStyle w:val="79"/>
                    <w:rPr>
                      <w:color w:val="000000" w:themeColor="text1"/>
                      <w14:textFill>
                        <w14:solidFill>
                          <w14:schemeClr w14:val="tx1"/>
                        </w14:solidFill>
                      </w14:textFill>
                    </w:rPr>
                  </w:pPr>
                </w:p>
              </w:tc>
              <w:tc>
                <w:tcPr>
                  <w:tcW w:w="695"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二类</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1" w:type="pct"/>
                  <w:vMerge w:val="continue"/>
                  <w:vAlign w:val="center"/>
                </w:tcPr>
                <w:p>
                  <w:pPr>
                    <w:pStyle w:val="79"/>
                    <w:rPr>
                      <w:color w:val="000000" w:themeColor="text1"/>
                      <w14:textFill>
                        <w14:solidFill>
                          <w14:schemeClr w14:val="tx1"/>
                        </w14:solidFill>
                      </w14:textFill>
                    </w:rPr>
                  </w:pPr>
                </w:p>
              </w:tc>
              <w:tc>
                <w:tcPr>
                  <w:tcW w:w="695" w:type="pct"/>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三类</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23.3</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29.3</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甲、乙类物品生产厂房、库房和甲、乙类液体储罐</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＞120</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＞120</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丙、丁、戊类物品生产厂房、库房和丙类液体储罐以及容积不大于50m³的埋地甲、乙类液体储罐</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44</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43</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室外变配电站</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铁路</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pct"/>
                  <w:gridSpan w:val="2"/>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城市道路</w:t>
                  </w:r>
                </w:p>
              </w:tc>
              <w:tc>
                <w:tcPr>
                  <w:tcW w:w="66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快速路、主干路</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21.2</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22.6</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pct"/>
                  <w:gridSpan w:val="2"/>
                  <w:vMerge w:val="continue"/>
                  <w:vAlign w:val="center"/>
                </w:tcPr>
                <w:p>
                  <w:pPr>
                    <w:pStyle w:val="79"/>
                    <w:rPr>
                      <w:color w:val="000000" w:themeColor="text1"/>
                      <w14:textFill>
                        <w14:solidFill>
                          <w14:schemeClr w14:val="tx1"/>
                        </w14:solidFill>
                      </w14:textFill>
                    </w:rPr>
                  </w:pPr>
                </w:p>
              </w:tc>
              <w:tc>
                <w:tcPr>
                  <w:tcW w:w="66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次干路、支路</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pct"/>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架空通讯线</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0.75培杆高，且不应小于5m</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15.4</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16.8</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pct"/>
                  <w:gridSpan w:val="2"/>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架空电力线路</w:t>
                  </w:r>
                </w:p>
              </w:tc>
              <w:tc>
                <w:tcPr>
                  <w:tcW w:w="66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无绝缘层</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0.75培杆（塔）高，且不应小于6.5m</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pct"/>
                  <w:gridSpan w:val="2"/>
                  <w:vMerge w:val="continue"/>
                  <w:vAlign w:val="center"/>
                </w:tcPr>
                <w:p>
                  <w:pPr>
                    <w:pStyle w:val="79"/>
                    <w:rPr>
                      <w:color w:val="000000" w:themeColor="text1"/>
                      <w14:textFill>
                        <w14:solidFill>
                          <w14:schemeClr w14:val="tx1"/>
                        </w14:solidFill>
                      </w14:textFill>
                    </w:rPr>
                  </w:pPr>
                </w:p>
              </w:tc>
              <w:tc>
                <w:tcPr>
                  <w:tcW w:w="66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有绝缘层</w:t>
                  </w:r>
                </w:p>
              </w:tc>
              <w:tc>
                <w:tcPr>
                  <w:tcW w:w="84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0.5培杆（塔）高，且不应小于5m</w:t>
                  </w:r>
                </w:p>
              </w:tc>
              <w:tc>
                <w:tcPr>
                  <w:tcW w:w="55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58"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567"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549"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586"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bl>
          <w:p>
            <w:pPr>
              <w:pStyle w:val="79"/>
              <w:jc w:val="left"/>
              <w:rPr>
                <w:b/>
                <w:color w:val="000000" w:themeColor="text1"/>
                <w14:textFill>
                  <w14:solidFill>
                    <w14:schemeClr w14:val="tx1"/>
                  </w14:solidFill>
                </w14:textFill>
              </w:rPr>
            </w:pPr>
            <w:r>
              <w:rPr>
                <w:b/>
                <w:color w:val="000000" w:themeColor="text1"/>
                <w14:textFill>
                  <w14:solidFill>
                    <w14:schemeClr w14:val="tx1"/>
                  </w14:solidFill>
                </w14:textFill>
              </w:rPr>
              <w:t>注：1、其中“—”代表站区周围50m范围内无此建、构筑物。</w:t>
            </w:r>
          </w:p>
          <w:p>
            <w:pPr>
              <w:pStyle w:val="79"/>
              <w:jc w:val="left"/>
              <w:rPr>
                <w:b/>
                <w:color w:val="000000" w:themeColor="text1"/>
                <w14:textFill>
                  <w14:solidFill>
                    <w14:schemeClr w14:val="tx1"/>
                  </w14:solidFill>
                </w14:textFill>
              </w:rPr>
            </w:pPr>
            <w:r>
              <w:rPr>
                <w:b/>
                <w:color w:val="000000" w:themeColor="text1"/>
                <w14:textFill>
                  <w14:solidFill>
                    <w14:schemeClr w14:val="tx1"/>
                  </w14:solidFill>
                </w14:textFill>
              </w:rPr>
              <w:t>2、站区西面的汽车检测站属丙类生产厂房、库房。</w:t>
            </w:r>
          </w:p>
          <w:p>
            <w:pPr>
              <w:pStyle w:val="79"/>
              <w:jc w:val="left"/>
              <w:rPr>
                <w:b/>
                <w:color w:val="000000" w:themeColor="text1"/>
                <w14:textFill>
                  <w14:solidFill>
                    <w14:schemeClr w14:val="tx1"/>
                  </w14:solidFill>
                </w14:textFill>
              </w:rPr>
            </w:pPr>
            <w:r>
              <w:rPr>
                <w:b/>
                <w:color w:val="000000" w:themeColor="text1"/>
                <w14:textFill>
                  <w14:solidFill>
                    <w14:schemeClr w14:val="tx1"/>
                  </w14:solidFill>
                </w14:textFill>
              </w:rPr>
              <w:t>3、站区西北面的生物发电厂属于甲、乙类物品生产厂房、库房</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综合上表检查情况，该项目选址符合《汽车加油加气站设计与施工规范》（GB50156-2012，2014版）要求。</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7.5 </w:t>
            </w:r>
            <w:r>
              <w:rPr>
                <w:color w:val="000000" w:themeColor="text1"/>
                <w14:textFill>
                  <w14:solidFill>
                    <w14:schemeClr w14:val="tx1"/>
                  </w14:solidFill>
                </w14:textFill>
              </w:rPr>
              <w:t>平面布置合理性分析</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项目属于改建加油站项目，将原有加油站全部推平重建，位于</w:t>
            </w:r>
            <w:r>
              <w:rPr>
                <w:color w:val="000000" w:themeColor="text1"/>
                <w:szCs w:val="22"/>
                <w14:textFill>
                  <w14:solidFill>
                    <w14:schemeClr w14:val="tx1"/>
                  </w14:solidFill>
                </w14:textFill>
              </w:rPr>
              <w:t>祁东县洪桥镇洪丰村G322线北侧</w:t>
            </w:r>
            <w:r>
              <w:rPr>
                <w:rFonts w:hint="eastAsia"/>
                <w:color w:val="000000" w:themeColor="text1"/>
                <w14:textFill>
                  <w14:solidFill>
                    <w14:schemeClr w14:val="tx1"/>
                  </w14:solidFill>
                </w14:textFill>
              </w:rPr>
              <w:t>，加油车辆由东南侧路进入，加完油后由西南侧出站，加油过程无任何交通冲突点和交织点，行车路线布置较好。油罐区为重点布设区，设在项目罩棚地下，储油罐为地埋卧室储油罐，站房布置在场地中心位置，辅助用房设置在用地的西侧，其余用地为道路和绿化用地。站内布置严格按照《汽车加油加气站设计与施工规范》（GB50156-2012）的要求设计。</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结合《汽车加油加气站设计与施工规范》（GB50156-2012）中相关规定，各项指标均满足《汽车加油加气站设计与施工规范》（GB50156-2012）中的要求，且物流短捷，人流、物流互不交叉干扰，有机地协调了与服务区环境的关系，建设与保护的关系。因此本项目总平面布局是合理的。</w:t>
            </w:r>
          </w:p>
          <w:p>
            <w:pPr>
              <w:pStyle w:val="3"/>
              <w:rPr>
                <w:color w:val="000000" w:themeColor="text1"/>
                <w14:textFill>
                  <w14:solidFill>
                    <w14:schemeClr w14:val="tx1"/>
                  </w14:solidFill>
                </w14:textFill>
              </w:rPr>
            </w:pPr>
            <w:r>
              <w:rPr>
                <w:color w:val="000000" w:themeColor="text1"/>
                <w14:textFill>
                  <w14:solidFill>
                    <w14:schemeClr w14:val="tx1"/>
                  </w14:solidFill>
                </w14:textFill>
              </w:rPr>
              <w:t>7.6 建设项目环保投资及环保竣工验收</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项目主要是对废气、</w:t>
            </w:r>
            <w:r>
              <w:rPr>
                <w:rFonts w:hint="eastAsia"/>
                <w:color w:val="000000" w:themeColor="text1"/>
                <w14:textFill>
                  <w14:solidFill>
                    <w14:schemeClr w14:val="tx1"/>
                  </w14:solidFill>
                </w14:textFill>
              </w:rPr>
              <w:t>废水、</w:t>
            </w:r>
            <w:r>
              <w:rPr>
                <w:color w:val="000000" w:themeColor="text1"/>
                <w14:textFill>
                  <w14:solidFill>
                    <w14:schemeClr w14:val="tx1"/>
                  </w14:solidFill>
                </w14:textFill>
              </w:rPr>
              <w:t>噪声以及固体废物进行治理，环保投资为</w:t>
            </w:r>
            <w:r>
              <w:rPr>
                <w:rFonts w:hint="eastAsia"/>
                <w:color w:val="000000" w:themeColor="text1"/>
                <w:u w:val="single"/>
                <w14:textFill>
                  <w14:solidFill>
                    <w14:schemeClr w14:val="tx1"/>
                  </w14:solidFill>
                </w14:textFill>
              </w:rPr>
              <w:t>24.5</w:t>
            </w:r>
            <w:r>
              <w:rPr>
                <w:color w:val="000000" w:themeColor="text1"/>
                <w:u w:val="single"/>
                <w14:textFill>
                  <w14:solidFill>
                    <w14:schemeClr w14:val="tx1"/>
                  </w14:solidFill>
                </w14:textFill>
              </w:rPr>
              <w:t>万元</w:t>
            </w:r>
            <w:r>
              <w:rPr>
                <w:color w:val="000000" w:themeColor="text1"/>
                <w14:textFill>
                  <w14:solidFill>
                    <w14:schemeClr w14:val="tx1"/>
                  </w14:solidFill>
                </w14:textFill>
              </w:rPr>
              <w:t>，占工程总投资的</w:t>
            </w:r>
            <w:r>
              <w:rPr>
                <w:rFonts w:hint="eastAsia"/>
                <w:color w:val="000000" w:themeColor="text1"/>
                <w:u w:val="single"/>
                <w14:textFill>
                  <w14:solidFill>
                    <w14:schemeClr w14:val="tx1"/>
                  </w14:solidFill>
                </w14:textFill>
              </w:rPr>
              <w:t>6.13%</w:t>
            </w:r>
            <w:r>
              <w:rPr>
                <w:color w:val="000000" w:themeColor="text1"/>
                <w:u w:val="single"/>
                <w14:textFill>
                  <w14:solidFill>
                    <w14:schemeClr w14:val="tx1"/>
                  </w14:solidFill>
                </w14:textFill>
              </w:rPr>
              <w:t>。</w:t>
            </w:r>
            <w:r>
              <w:rPr>
                <w:color w:val="000000" w:themeColor="text1"/>
                <w14:textFill>
                  <w14:solidFill>
                    <w14:schemeClr w14:val="tx1"/>
                  </w14:solidFill>
                </w14:textFill>
              </w:rPr>
              <w:t>详见下表7-</w:t>
            </w:r>
            <w:r>
              <w:rPr>
                <w:rFonts w:hint="eastAsia"/>
                <w:color w:val="000000" w:themeColor="text1"/>
                <w14:textFill>
                  <w14:solidFill>
                    <w14:schemeClr w14:val="tx1"/>
                  </w14:solidFill>
                </w14:textFill>
              </w:rPr>
              <w:t>28</w:t>
            </w:r>
            <w:r>
              <w:rPr>
                <w:color w:val="000000" w:themeColor="text1"/>
                <w14:textFill>
                  <w14:solidFill>
                    <w14:schemeClr w14:val="tx1"/>
                  </w14:solidFill>
                </w14:textFill>
              </w:rPr>
              <w:t>。</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表7-</w:t>
            </w:r>
            <w:r>
              <w:rPr>
                <w:rFonts w:hint="eastAsia"/>
                <w:color w:val="000000" w:themeColor="text1"/>
                <w14:textFill>
                  <w14:solidFill>
                    <w14:schemeClr w14:val="tx1"/>
                  </w14:solidFill>
                </w14:textFill>
              </w:rPr>
              <w:t>28</w:t>
            </w:r>
            <w:r>
              <w:rPr>
                <w:color w:val="000000" w:themeColor="text1"/>
                <w14:textFill>
                  <w14:solidFill>
                    <w14:schemeClr w14:val="tx1"/>
                  </w14:solidFill>
                </w14:textFill>
              </w:rPr>
              <w:t xml:space="preserve">  环保设施及投入一览表</w:t>
            </w:r>
          </w:p>
          <w:tbl>
            <w:tblPr>
              <w:tblStyle w:val="2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58"/>
              <w:gridCol w:w="710"/>
              <w:gridCol w:w="6621"/>
              <w:gridCol w:w="15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675" w:type="pct"/>
                  <w:gridSpan w:val="2"/>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环保项目</w:t>
                  </w:r>
                </w:p>
              </w:tc>
              <w:tc>
                <w:tcPr>
                  <w:tcW w:w="3523" w:type="pct"/>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项目建设内容</w:t>
                  </w:r>
                </w:p>
              </w:tc>
              <w:tc>
                <w:tcPr>
                  <w:tcW w:w="802" w:type="pct"/>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投资（万元）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7" w:type="pct"/>
                  <w:vMerge w:val="restar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运行期</w:t>
                  </w:r>
                </w:p>
              </w:tc>
              <w:tc>
                <w:tcPr>
                  <w:tcW w:w="378" w:type="pct"/>
                  <w:vMerge w:val="restar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废气治理</w:t>
                  </w:r>
                </w:p>
              </w:tc>
              <w:tc>
                <w:tcPr>
                  <w:tcW w:w="3523" w:type="pct"/>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油气回收系统：卸油油气回收+加油油气回收系统；</w:t>
                  </w:r>
                </w:p>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通气管：3根，高4m；</w:t>
                  </w:r>
                </w:p>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呼吸阀：设置呼吸阀，油气回收时呼吸阀关闭。</w:t>
                  </w:r>
                </w:p>
              </w:tc>
              <w:tc>
                <w:tcPr>
                  <w:tcW w:w="802" w:type="pct"/>
                  <w:vMerge w:val="restar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7" w:type="pct"/>
                  <w:vMerge w:val="continue"/>
                  <w:vAlign w:val="center"/>
                </w:tcPr>
                <w:p>
                  <w:pPr>
                    <w:pStyle w:val="79"/>
                    <w:rPr>
                      <w:color w:val="000000" w:themeColor="text1"/>
                      <w:u w:val="single"/>
                      <w14:textFill>
                        <w14:solidFill>
                          <w14:schemeClr w14:val="tx1"/>
                        </w14:solidFill>
                      </w14:textFill>
                    </w:rPr>
                  </w:pPr>
                </w:p>
              </w:tc>
              <w:tc>
                <w:tcPr>
                  <w:tcW w:w="378" w:type="pct"/>
                  <w:vMerge w:val="continue"/>
                  <w:vAlign w:val="center"/>
                </w:tcPr>
                <w:p>
                  <w:pPr>
                    <w:pStyle w:val="79"/>
                    <w:rPr>
                      <w:color w:val="000000" w:themeColor="text1"/>
                      <w:u w:val="single"/>
                      <w14:textFill>
                        <w14:solidFill>
                          <w14:schemeClr w14:val="tx1"/>
                        </w14:solidFill>
                      </w14:textFill>
                    </w:rPr>
                  </w:pPr>
                </w:p>
              </w:tc>
              <w:tc>
                <w:tcPr>
                  <w:tcW w:w="3523" w:type="pct"/>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备用柴油发电机尾气经柴油发电机自带的尾气净化装置处理后由排气筒管引出发电机房外排放</w:t>
                  </w:r>
                </w:p>
              </w:tc>
              <w:tc>
                <w:tcPr>
                  <w:tcW w:w="802" w:type="pct"/>
                  <w:vMerge w:val="continue"/>
                  <w:vAlign w:val="center"/>
                </w:tcPr>
                <w:p>
                  <w:pPr>
                    <w:pStyle w:val="79"/>
                    <w:rPr>
                      <w:color w:val="000000" w:themeColor="text1"/>
                      <w:u w:val="singl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7" w:type="pct"/>
                  <w:vMerge w:val="continue"/>
                  <w:vAlign w:val="center"/>
                </w:tcPr>
                <w:p>
                  <w:pPr>
                    <w:pStyle w:val="79"/>
                    <w:rPr>
                      <w:color w:val="000000" w:themeColor="text1"/>
                      <w:u w:val="single"/>
                      <w14:textFill>
                        <w14:solidFill>
                          <w14:schemeClr w14:val="tx1"/>
                        </w14:solidFill>
                      </w14:textFill>
                    </w:rPr>
                  </w:pPr>
                </w:p>
              </w:tc>
              <w:tc>
                <w:tcPr>
                  <w:tcW w:w="378" w:type="pct"/>
                  <w:vMerge w:val="continue"/>
                  <w:vAlign w:val="center"/>
                </w:tcPr>
                <w:p>
                  <w:pPr>
                    <w:pStyle w:val="79"/>
                    <w:rPr>
                      <w:color w:val="000000" w:themeColor="text1"/>
                      <w:u w:val="single"/>
                      <w14:textFill>
                        <w14:solidFill>
                          <w14:schemeClr w14:val="tx1"/>
                        </w14:solidFill>
                      </w14:textFill>
                    </w:rPr>
                  </w:pPr>
                </w:p>
              </w:tc>
              <w:tc>
                <w:tcPr>
                  <w:tcW w:w="3523" w:type="pct"/>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车辆行驶汽车尾气经大气稀释扩散及站区内绿化植物吸收</w:t>
                  </w:r>
                </w:p>
              </w:tc>
              <w:tc>
                <w:tcPr>
                  <w:tcW w:w="802" w:type="pct"/>
                  <w:vMerge w:val="continue"/>
                  <w:vAlign w:val="center"/>
                </w:tcPr>
                <w:p>
                  <w:pPr>
                    <w:pStyle w:val="79"/>
                    <w:rPr>
                      <w:color w:val="000000" w:themeColor="text1"/>
                      <w:u w:val="singl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7" w:type="pct"/>
                  <w:vMerge w:val="continue"/>
                  <w:vAlign w:val="center"/>
                </w:tcPr>
                <w:p>
                  <w:pPr>
                    <w:pStyle w:val="79"/>
                    <w:rPr>
                      <w:color w:val="000000" w:themeColor="text1"/>
                      <w:u w:val="single"/>
                      <w14:textFill>
                        <w14:solidFill>
                          <w14:schemeClr w14:val="tx1"/>
                        </w14:solidFill>
                      </w14:textFill>
                    </w:rPr>
                  </w:pPr>
                </w:p>
              </w:tc>
              <w:tc>
                <w:tcPr>
                  <w:tcW w:w="378" w:type="pct"/>
                  <w:vMerge w:val="restar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废水治理</w:t>
                  </w:r>
                </w:p>
              </w:tc>
              <w:tc>
                <w:tcPr>
                  <w:tcW w:w="3523" w:type="pct"/>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化粪池：处理生活污水，1座（6m</w:t>
                  </w:r>
                  <w:r>
                    <w:rPr>
                      <w:rFonts w:hint="eastAsia"/>
                      <w:color w:val="000000" w:themeColor="text1"/>
                      <w:u w:val="single"/>
                      <w:vertAlign w:val="superscript"/>
                      <w14:textFill>
                        <w14:solidFill>
                          <w14:schemeClr w14:val="tx1"/>
                        </w14:solidFill>
                      </w14:textFill>
                    </w:rPr>
                    <w:t>3</w:t>
                  </w:r>
                  <w:r>
                    <w:rPr>
                      <w:rFonts w:hint="eastAsia"/>
                      <w:color w:val="000000" w:themeColor="text1"/>
                      <w:u w:val="single"/>
                      <w14:textFill>
                        <w14:solidFill>
                          <w14:schemeClr w14:val="tx1"/>
                        </w14:solidFill>
                      </w14:textFill>
                    </w:rPr>
                    <w:t>）；</w:t>
                  </w:r>
                </w:p>
              </w:tc>
              <w:tc>
                <w:tcPr>
                  <w:tcW w:w="802" w:type="pct"/>
                  <w:vMerge w:val="restar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7" w:type="pct"/>
                  <w:vMerge w:val="continue"/>
                  <w:vAlign w:val="center"/>
                </w:tcPr>
                <w:p>
                  <w:pPr>
                    <w:pStyle w:val="79"/>
                    <w:rPr>
                      <w:color w:val="000000" w:themeColor="text1"/>
                      <w:u w:val="single"/>
                      <w14:textFill>
                        <w14:solidFill>
                          <w14:schemeClr w14:val="tx1"/>
                        </w14:solidFill>
                      </w14:textFill>
                    </w:rPr>
                  </w:pPr>
                </w:p>
              </w:tc>
              <w:tc>
                <w:tcPr>
                  <w:tcW w:w="378" w:type="pct"/>
                  <w:vMerge w:val="continue"/>
                  <w:vAlign w:val="center"/>
                </w:tcPr>
                <w:p>
                  <w:pPr>
                    <w:pStyle w:val="79"/>
                    <w:rPr>
                      <w:color w:val="000000" w:themeColor="text1"/>
                      <w:u w:val="single"/>
                      <w14:textFill>
                        <w14:solidFill>
                          <w14:schemeClr w14:val="tx1"/>
                        </w14:solidFill>
                      </w14:textFill>
                    </w:rPr>
                  </w:pPr>
                </w:p>
              </w:tc>
              <w:tc>
                <w:tcPr>
                  <w:tcW w:w="3523" w:type="pct"/>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隔油池：处理站区内地面冲洗废水，1座（5m</w:t>
                  </w:r>
                  <w:r>
                    <w:rPr>
                      <w:color w:val="000000" w:themeColor="text1"/>
                      <w:u w:val="single"/>
                      <w14:textFill>
                        <w14:solidFill>
                          <w14:schemeClr w14:val="tx1"/>
                        </w14:solidFill>
                      </w14:textFill>
                    </w:rPr>
                    <w:t>³</w:t>
                  </w:r>
                  <w:r>
                    <w:rPr>
                      <w:rFonts w:hint="eastAsia"/>
                      <w:color w:val="000000" w:themeColor="text1"/>
                      <w:u w:val="single"/>
                      <w14:textFill>
                        <w14:solidFill>
                          <w14:schemeClr w14:val="tx1"/>
                        </w14:solidFill>
                      </w14:textFill>
                    </w:rPr>
                    <w:t>）</w:t>
                  </w:r>
                </w:p>
              </w:tc>
              <w:tc>
                <w:tcPr>
                  <w:tcW w:w="802" w:type="pct"/>
                  <w:vMerge w:val="continue"/>
                  <w:vAlign w:val="center"/>
                </w:tcPr>
                <w:p>
                  <w:pPr>
                    <w:pStyle w:val="79"/>
                    <w:rPr>
                      <w:color w:val="000000" w:themeColor="text1"/>
                      <w:u w:val="singl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7" w:type="pct"/>
                  <w:vMerge w:val="continue"/>
                  <w:vAlign w:val="center"/>
                </w:tcPr>
                <w:p>
                  <w:pPr>
                    <w:pStyle w:val="79"/>
                    <w:rPr>
                      <w:color w:val="000000" w:themeColor="text1"/>
                      <w:u w:val="single"/>
                      <w14:textFill>
                        <w14:solidFill>
                          <w14:schemeClr w14:val="tx1"/>
                        </w14:solidFill>
                      </w14:textFill>
                    </w:rPr>
                  </w:pPr>
                </w:p>
              </w:tc>
              <w:tc>
                <w:tcPr>
                  <w:tcW w:w="378" w:type="pct"/>
                  <w:vMerge w:val="continue"/>
                  <w:vAlign w:val="center"/>
                </w:tcPr>
                <w:p>
                  <w:pPr>
                    <w:pStyle w:val="79"/>
                    <w:rPr>
                      <w:color w:val="000000" w:themeColor="text1"/>
                      <w:u w:val="single"/>
                      <w14:textFill>
                        <w14:solidFill>
                          <w14:schemeClr w14:val="tx1"/>
                        </w14:solidFill>
                      </w14:textFill>
                    </w:rPr>
                  </w:pPr>
                </w:p>
              </w:tc>
              <w:tc>
                <w:tcPr>
                  <w:tcW w:w="3523" w:type="pct"/>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站区内雨污分流系统</w:t>
                  </w:r>
                </w:p>
              </w:tc>
              <w:tc>
                <w:tcPr>
                  <w:tcW w:w="802" w:type="pct"/>
                  <w:vMerge w:val="continue"/>
                  <w:vAlign w:val="center"/>
                </w:tcPr>
                <w:p>
                  <w:pPr>
                    <w:pStyle w:val="79"/>
                    <w:rPr>
                      <w:color w:val="000000" w:themeColor="text1"/>
                      <w:u w:val="singl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7" w:type="pct"/>
                  <w:vMerge w:val="continue"/>
                  <w:vAlign w:val="center"/>
                </w:tcPr>
                <w:p>
                  <w:pPr>
                    <w:pStyle w:val="79"/>
                    <w:rPr>
                      <w:color w:val="000000" w:themeColor="text1"/>
                      <w:u w:val="single"/>
                      <w14:textFill>
                        <w14:solidFill>
                          <w14:schemeClr w14:val="tx1"/>
                        </w14:solidFill>
                      </w14:textFill>
                    </w:rPr>
                  </w:pPr>
                </w:p>
              </w:tc>
              <w:tc>
                <w:tcPr>
                  <w:tcW w:w="378" w:type="pct"/>
                  <w:vMerge w:val="restar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地下水防治</w:t>
                  </w:r>
                </w:p>
              </w:tc>
              <w:tc>
                <w:tcPr>
                  <w:tcW w:w="3523" w:type="pct"/>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重点防渗区：储罐区（包括围堰）、卸车位、污水化粪池、隔油池、危废暂存间进行重点防渗，防渗材料采用2.0mmHDPE膜+防渗混凝土。防渗系数须不大于1.0×10</w:t>
                  </w:r>
                  <w:r>
                    <w:rPr>
                      <w:rFonts w:hint="eastAsia"/>
                      <w:color w:val="000000" w:themeColor="text1"/>
                      <w:u w:val="single"/>
                      <w:vertAlign w:val="superscript"/>
                      <w14:textFill>
                        <w14:solidFill>
                          <w14:schemeClr w14:val="tx1"/>
                        </w14:solidFill>
                      </w14:textFill>
                    </w:rPr>
                    <w:t>-10</w:t>
                  </w:r>
                  <w:r>
                    <w:rPr>
                      <w:rFonts w:hint="eastAsia"/>
                      <w:color w:val="000000" w:themeColor="text1"/>
                      <w:u w:val="single"/>
                      <w14:textFill>
                        <w14:solidFill>
                          <w14:schemeClr w14:val="tx1"/>
                        </w14:solidFill>
                      </w14:textFill>
                    </w:rPr>
                    <w:t>cm/s。</w:t>
                  </w:r>
                </w:p>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一般防渗区：站内道路地面采取粘土铺底，再在上层铺10</w:t>
                  </w:r>
                  <w:r>
                    <w:rPr>
                      <w:rFonts w:hint="eastAsia"/>
                      <w:color w:val="000000" w:themeColor="text1"/>
                      <w:u w:val="single"/>
                      <w:vertAlign w:val="superscript"/>
                      <w14:textFill>
                        <w14:solidFill>
                          <w14:schemeClr w14:val="tx1"/>
                        </w14:solidFill>
                      </w14:textFill>
                    </w:rPr>
                    <w:t>-15</w:t>
                  </w:r>
                  <w:r>
                    <w:rPr>
                      <w:rFonts w:hint="eastAsia"/>
                      <w:color w:val="000000" w:themeColor="text1"/>
                      <w:u w:val="single"/>
                      <w14:textFill>
                        <w14:solidFill>
                          <w14:schemeClr w14:val="tx1"/>
                        </w14:solidFill>
                      </w14:textFill>
                    </w:rPr>
                    <w:t>cm的水泥进行硬化。</w:t>
                  </w:r>
                </w:p>
              </w:tc>
              <w:tc>
                <w:tcPr>
                  <w:tcW w:w="802"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7" w:type="pct"/>
                  <w:vMerge w:val="continue"/>
                  <w:vAlign w:val="center"/>
                </w:tcPr>
                <w:p>
                  <w:pPr>
                    <w:pStyle w:val="79"/>
                    <w:rPr>
                      <w:color w:val="000000" w:themeColor="text1"/>
                      <w:u w:val="single"/>
                      <w14:textFill>
                        <w14:solidFill>
                          <w14:schemeClr w14:val="tx1"/>
                        </w14:solidFill>
                      </w14:textFill>
                    </w:rPr>
                  </w:pPr>
                </w:p>
              </w:tc>
              <w:tc>
                <w:tcPr>
                  <w:tcW w:w="378" w:type="pct"/>
                  <w:vMerge w:val="continue"/>
                  <w:vAlign w:val="center"/>
                </w:tcPr>
                <w:p>
                  <w:pPr>
                    <w:pStyle w:val="79"/>
                    <w:rPr>
                      <w:color w:val="000000" w:themeColor="text1"/>
                      <w:u w:val="single"/>
                      <w14:textFill>
                        <w14:solidFill>
                          <w14:schemeClr w14:val="tx1"/>
                        </w14:solidFill>
                      </w14:textFill>
                    </w:rPr>
                  </w:pPr>
                </w:p>
              </w:tc>
              <w:tc>
                <w:tcPr>
                  <w:tcW w:w="3523" w:type="pct"/>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管道防渗：其埋地加油管道采用双层管道，采用双层钢质管道时，外层管的壁厚不小于5mm。双层管道系统的最低点应设检漏点。双层管道坡向检漏点的坡度不小于5%，并保证内层管和外层管任何部位出现渗漏均能在检漏点处被发现。</w:t>
                  </w:r>
                </w:p>
              </w:tc>
              <w:tc>
                <w:tcPr>
                  <w:tcW w:w="802"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7" w:type="pct"/>
                  <w:vMerge w:val="continue"/>
                  <w:vAlign w:val="center"/>
                </w:tcPr>
                <w:p>
                  <w:pPr>
                    <w:pStyle w:val="79"/>
                    <w:rPr>
                      <w:color w:val="000000" w:themeColor="text1"/>
                      <w:u w:val="single"/>
                      <w14:textFill>
                        <w14:solidFill>
                          <w14:schemeClr w14:val="tx1"/>
                        </w14:solidFill>
                      </w14:textFill>
                    </w:rPr>
                  </w:pPr>
                </w:p>
              </w:tc>
              <w:tc>
                <w:tcPr>
                  <w:tcW w:w="378" w:type="pct"/>
                  <w:vMerge w:val="continue"/>
                  <w:vAlign w:val="center"/>
                </w:tcPr>
                <w:p>
                  <w:pPr>
                    <w:pStyle w:val="79"/>
                    <w:rPr>
                      <w:color w:val="000000" w:themeColor="text1"/>
                      <w:u w:val="single"/>
                      <w14:textFill>
                        <w14:solidFill>
                          <w14:schemeClr w14:val="tx1"/>
                        </w14:solidFill>
                      </w14:textFill>
                    </w:rPr>
                  </w:pPr>
                </w:p>
              </w:tc>
              <w:tc>
                <w:tcPr>
                  <w:tcW w:w="3523" w:type="pct"/>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液位报警装置：油罐设有高液位报警功能的液位监测系统，</w:t>
                  </w:r>
                </w:p>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并具备渗漏检测功能</w:t>
                  </w:r>
                </w:p>
              </w:tc>
              <w:tc>
                <w:tcPr>
                  <w:tcW w:w="802"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7" w:type="pct"/>
                  <w:vMerge w:val="continue"/>
                  <w:vAlign w:val="center"/>
                </w:tcPr>
                <w:p>
                  <w:pPr>
                    <w:pStyle w:val="79"/>
                    <w:rPr>
                      <w:color w:val="000000" w:themeColor="text1"/>
                      <w:u w:val="single"/>
                      <w14:textFill>
                        <w14:solidFill>
                          <w14:schemeClr w14:val="tx1"/>
                        </w14:solidFill>
                      </w14:textFill>
                    </w:rPr>
                  </w:pPr>
                </w:p>
              </w:tc>
              <w:tc>
                <w:tcPr>
                  <w:tcW w:w="378" w:type="pct"/>
                  <w:vMerge w:val="continue"/>
                  <w:vAlign w:val="center"/>
                </w:tcPr>
                <w:p>
                  <w:pPr>
                    <w:pStyle w:val="79"/>
                    <w:rPr>
                      <w:color w:val="000000" w:themeColor="text1"/>
                      <w:u w:val="single"/>
                      <w14:textFill>
                        <w14:solidFill>
                          <w14:schemeClr w14:val="tx1"/>
                        </w14:solidFill>
                      </w14:textFill>
                    </w:rPr>
                  </w:pPr>
                </w:p>
              </w:tc>
              <w:tc>
                <w:tcPr>
                  <w:tcW w:w="3523" w:type="pct"/>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油罐使用双层油罐</w:t>
                  </w:r>
                </w:p>
              </w:tc>
              <w:tc>
                <w:tcPr>
                  <w:tcW w:w="802"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计入工程投资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7" w:type="pct"/>
                  <w:vMerge w:val="continue"/>
                  <w:vAlign w:val="center"/>
                </w:tcPr>
                <w:p>
                  <w:pPr>
                    <w:pStyle w:val="79"/>
                    <w:rPr>
                      <w:color w:val="000000" w:themeColor="text1"/>
                      <w:u w:val="single"/>
                      <w14:textFill>
                        <w14:solidFill>
                          <w14:schemeClr w14:val="tx1"/>
                        </w14:solidFill>
                      </w14:textFill>
                    </w:rPr>
                  </w:pPr>
                </w:p>
              </w:tc>
              <w:tc>
                <w:tcPr>
                  <w:tcW w:w="378" w:type="pct"/>
                  <w:vMerge w:val="continue"/>
                  <w:vAlign w:val="center"/>
                </w:tcPr>
                <w:p>
                  <w:pPr>
                    <w:pStyle w:val="79"/>
                    <w:rPr>
                      <w:color w:val="000000" w:themeColor="text1"/>
                      <w:u w:val="single"/>
                      <w14:textFill>
                        <w14:solidFill>
                          <w14:schemeClr w14:val="tx1"/>
                        </w14:solidFill>
                      </w14:textFill>
                    </w:rPr>
                  </w:pPr>
                </w:p>
              </w:tc>
              <w:tc>
                <w:tcPr>
                  <w:tcW w:w="3523" w:type="pct"/>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油罐区设置地下水监控井</w:t>
                  </w:r>
                </w:p>
              </w:tc>
              <w:tc>
                <w:tcPr>
                  <w:tcW w:w="802"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7" w:type="pct"/>
                  <w:vMerge w:val="continue"/>
                  <w:vAlign w:val="center"/>
                </w:tcPr>
                <w:p>
                  <w:pPr>
                    <w:pStyle w:val="79"/>
                    <w:rPr>
                      <w:color w:val="000000" w:themeColor="text1"/>
                      <w:u w:val="single"/>
                      <w14:textFill>
                        <w14:solidFill>
                          <w14:schemeClr w14:val="tx1"/>
                        </w14:solidFill>
                      </w14:textFill>
                    </w:rPr>
                  </w:pPr>
                </w:p>
              </w:tc>
              <w:tc>
                <w:tcPr>
                  <w:tcW w:w="378"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噪声</w:t>
                  </w:r>
                </w:p>
              </w:tc>
              <w:tc>
                <w:tcPr>
                  <w:tcW w:w="3523"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选用低噪声设备、设备减震、隔声装置</w:t>
                  </w:r>
                </w:p>
              </w:tc>
              <w:tc>
                <w:tcPr>
                  <w:tcW w:w="802"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7" w:type="pct"/>
                  <w:vMerge w:val="continue"/>
                  <w:vAlign w:val="center"/>
                </w:tcPr>
                <w:p>
                  <w:pPr>
                    <w:pStyle w:val="79"/>
                    <w:rPr>
                      <w:color w:val="000000" w:themeColor="text1"/>
                      <w:u w:val="single"/>
                      <w14:textFill>
                        <w14:solidFill>
                          <w14:schemeClr w14:val="tx1"/>
                        </w14:solidFill>
                      </w14:textFill>
                    </w:rPr>
                  </w:pPr>
                </w:p>
              </w:tc>
              <w:tc>
                <w:tcPr>
                  <w:tcW w:w="378"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固废</w:t>
                  </w:r>
                </w:p>
              </w:tc>
              <w:tc>
                <w:tcPr>
                  <w:tcW w:w="3523" w:type="pct"/>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生活垃圾：垃圾桶及生活垃圾清运处理；</w:t>
                  </w:r>
                </w:p>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隔油池污泥及油罐油渣：油罐及隔油池清理及废物处置</w:t>
                  </w:r>
                </w:p>
              </w:tc>
              <w:tc>
                <w:tcPr>
                  <w:tcW w:w="802"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7" w:type="pct"/>
                  <w:vMerge w:val="continue"/>
                  <w:vAlign w:val="center"/>
                </w:tcPr>
                <w:p>
                  <w:pPr>
                    <w:pStyle w:val="79"/>
                    <w:rPr>
                      <w:color w:val="000000" w:themeColor="text1"/>
                      <w:u w:val="single"/>
                      <w14:textFill>
                        <w14:solidFill>
                          <w14:schemeClr w14:val="tx1"/>
                        </w14:solidFill>
                      </w14:textFill>
                    </w:rPr>
                  </w:pPr>
                </w:p>
              </w:tc>
              <w:tc>
                <w:tcPr>
                  <w:tcW w:w="3901" w:type="pct"/>
                  <w:gridSpan w:val="2"/>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合计</w:t>
                  </w:r>
                </w:p>
              </w:tc>
              <w:tc>
                <w:tcPr>
                  <w:tcW w:w="802"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24.5</w:t>
                  </w:r>
                </w:p>
              </w:tc>
            </w:tr>
          </w:tbl>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建设项目环境保护竣工验收一览表详见下表7-</w:t>
            </w:r>
            <w:r>
              <w:rPr>
                <w:rFonts w:hint="eastAsia" w:ascii="Times New Roman" w:hAnsi="Times New Roman"/>
                <w:color w:val="000000" w:themeColor="text1"/>
                <w:sz w:val="24"/>
                <w:szCs w:val="24"/>
                <w14:textFill>
                  <w14:solidFill>
                    <w14:schemeClr w14:val="tx1"/>
                  </w14:solidFill>
                </w14:textFill>
              </w:rPr>
              <w:t>29</w:t>
            </w:r>
            <w:r>
              <w:rPr>
                <w:rFonts w:ascii="Times New Roman" w:hAnsi="Times New Roman"/>
                <w:color w:val="000000" w:themeColor="text1"/>
                <w:sz w:val="24"/>
                <w:szCs w:val="24"/>
                <w14:textFill>
                  <w14:solidFill>
                    <w14:schemeClr w14:val="tx1"/>
                  </w14:solidFill>
                </w14:textFill>
              </w:rPr>
              <w:t>。</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表7-</w:t>
            </w:r>
            <w:r>
              <w:rPr>
                <w:rFonts w:hint="eastAsia"/>
                <w:color w:val="000000" w:themeColor="text1"/>
                <w14:textFill>
                  <w14:solidFill>
                    <w14:schemeClr w14:val="tx1"/>
                  </w14:solidFill>
                </w14:textFill>
              </w:rPr>
              <w:t>29</w:t>
            </w:r>
            <w:r>
              <w:rPr>
                <w:color w:val="000000" w:themeColor="text1"/>
                <w14:textFill>
                  <w14:solidFill>
                    <w14:schemeClr w14:val="tx1"/>
                  </w14:solidFill>
                </w14:textFill>
              </w:rPr>
              <w:t xml:space="preserve">  建设项目环境保护竣工验收一览表</w:t>
            </w:r>
          </w:p>
          <w:tbl>
            <w:tblPr>
              <w:tblStyle w:val="28"/>
              <w:tblW w:w="93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9"/>
              <w:gridCol w:w="1725"/>
              <w:gridCol w:w="1843"/>
              <w:gridCol w:w="2126"/>
              <w:gridCol w:w="2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w:t>
                  </w:r>
                </w:p>
                <w:p>
                  <w:pPr>
                    <w:pStyle w:val="79"/>
                    <w:rPr>
                      <w:color w:val="000000" w:themeColor="text1"/>
                      <w14:textFill>
                        <w14:solidFill>
                          <w14:schemeClr w14:val="tx1"/>
                        </w14:solidFill>
                      </w14:textFill>
                    </w:rPr>
                  </w:pPr>
                  <w:r>
                    <w:rPr>
                      <w:color w:val="000000" w:themeColor="text1"/>
                      <w14:textFill>
                        <w14:solidFill>
                          <w14:schemeClr w14:val="tx1"/>
                        </w14:solidFill>
                      </w14:textFill>
                    </w:rPr>
                    <w:t>类型</w:t>
                  </w:r>
                </w:p>
              </w:tc>
              <w:tc>
                <w:tcPr>
                  <w:tcW w:w="172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排放源</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污染物名称</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验收项目</w:t>
                  </w:r>
                </w:p>
              </w:tc>
              <w:tc>
                <w:tcPr>
                  <w:tcW w:w="2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治理效果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废水</w:t>
                  </w:r>
                </w:p>
              </w:tc>
              <w:tc>
                <w:tcPr>
                  <w:tcW w:w="17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员工及顾客生活废水</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COD、BOD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、SS、NH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-N</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化粪池</w:t>
                  </w:r>
                </w:p>
              </w:tc>
              <w:tc>
                <w:tcPr>
                  <w:tcW w:w="2883" w:type="dxa"/>
                  <w:vAlign w:val="center"/>
                </w:tcPr>
                <w:p>
                  <w:pPr>
                    <w:pStyle w:val="79"/>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《污水综合排放标准》（GB8978-1996）表4中三级标准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continue"/>
                  <w:vAlign w:val="center"/>
                </w:tcPr>
                <w:p>
                  <w:pPr>
                    <w:pStyle w:val="79"/>
                    <w:rPr>
                      <w:color w:val="000000" w:themeColor="text1"/>
                      <w14:textFill>
                        <w14:solidFill>
                          <w14:schemeClr w14:val="tx1"/>
                        </w14:solidFill>
                      </w14:textFill>
                    </w:rPr>
                  </w:pPr>
                </w:p>
              </w:tc>
              <w:tc>
                <w:tcPr>
                  <w:tcW w:w="17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站区地面冲洗废水</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SS、石油类</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隔油池</w:t>
                  </w:r>
                </w:p>
              </w:tc>
              <w:tc>
                <w:tcPr>
                  <w:tcW w:w="2883" w:type="dxa"/>
                  <w:vAlign w:val="center"/>
                </w:tcPr>
                <w:p>
                  <w:pPr>
                    <w:pStyle w:val="79"/>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《污水综合排放标准》（GB8978-1996）表4中三级标准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废气</w:t>
                  </w:r>
                </w:p>
              </w:tc>
              <w:tc>
                <w:tcPr>
                  <w:tcW w:w="17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加油机、卸油处、储罐大小呼吸</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2126" w:type="dxa"/>
                  <w:vAlign w:val="center"/>
                </w:tcPr>
                <w:p>
                  <w:pPr>
                    <w:pStyle w:val="79"/>
                    <w:rPr>
                      <w:snapToGrid w:val="0"/>
                      <w:color w:val="000000" w:themeColor="text1"/>
                      <w14:textFill>
                        <w14:solidFill>
                          <w14:schemeClr w14:val="tx1"/>
                        </w14:solidFill>
                      </w14:textFill>
                    </w:rPr>
                  </w:pPr>
                  <w:r>
                    <w:rPr>
                      <w:rFonts w:hint="eastAsia"/>
                      <w:color w:val="000000" w:themeColor="text1"/>
                      <w:u w:val="single"/>
                      <w14:textFill>
                        <w14:solidFill>
                          <w14:schemeClr w14:val="tx1"/>
                        </w14:solidFill>
                      </w14:textFill>
                    </w:rPr>
                    <w:t>油气回收系统、通气管、呼吸阀</w:t>
                  </w:r>
                </w:p>
              </w:tc>
              <w:tc>
                <w:tcPr>
                  <w:tcW w:w="2883"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《大气污染物综合排放标准》（GB16297-1996）表2无组织排放监控浓度限值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continue"/>
                  <w:vAlign w:val="center"/>
                </w:tcPr>
                <w:p>
                  <w:pPr>
                    <w:pStyle w:val="79"/>
                    <w:rPr>
                      <w:color w:val="000000" w:themeColor="text1"/>
                      <w14:textFill>
                        <w14:solidFill>
                          <w14:schemeClr w14:val="tx1"/>
                        </w14:solidFill>
                      </w14:textFill>
                    </w:rPr>
                  </w:pPr>
                </w:p>
              </w:tc>
              <w:tc>
                <w:tcPr>
                  <w:tcW w:w="17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汽车行驶</w:t>
                  </w:r>
                </w:p>
              </w:tc>
              <w:tc>
                <w:tcPr>
                  <w:tcW w:w="184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X</w:t>
                  </w:r>
                  <w:r>
                    <w:rPr>
                      <w:color w:val="000000" w:themeColor="text1"/>
                      <w14:textFill>
                        <w14:solidFill>
                          <w14:schemeClr w14:val="tx1"/>
                        </w14:solidFill>
                      </w14:textFill>
                    </w:rPr>
                    <w:t>、CO、HC</w:t>
                  </w:r>
                </w:p>
              </w:tc>
              <w:tc>
                <w:tcPr>
                  <w:tcW w:w="2126" w:type="dxa"/>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站区内绿化</w:t>
                  </w:r>
                </w:p>
              </w:tc>
              <w:tc>
                <w:tcPr>
                  <w:tcW w:w="2883" w:type="dxa"/>
                  <w:vMerge w:val="continue"/>
                  <w:vAlign w:val="center"/>
                </w:tcPr>
                <w:p>
                  <w:pPr>
                    <w:pStyle w:val="79"/>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continue"/>
                  <w:vAlign w:val="center"/>
                </w:tcPr>
                <w:p>
                  <w:pPr>
                    <w:pStyle w:val="79"/>
                    <w:rPr>
                      <w:color w:val="000000" w:themeColor="text1"/>
                      <w14:textFill>
                        <w14:solidFill>
                          <w14:schemeClr w14:val="tx1"/>
                        </w14:solidFill>
                      </w14:textFill>
                    </w:rPr>
                  </w:pPr>
                </w:p>
              </w:tc>
              <w:tc>
                <w:tcPr>
                  <w:tcW w:w="17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柴油发电机发电</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、NO</w:t>
                  </w:r>
                  <w:r>
                    <w:rPr>
                      <w:rFonts w:hint="eastAsia"/>
                      <w:color w:val="000000" w:themeColor="text1"/>
                      <w:vertAlign w:val="subscript"/>
                      <w14:textFill>
                        <w14:solidFill>
                          <w14:schemeClr w14:val="tx1"/>
                        </w14:solidFill>
                      </w14:textFill>
                    </w:rPr>
                    <w:t>X</w:t>
                  </w:r>
                  <w:r>
                    <w:rPr>
                      <w:rFonts w:hint="eastAsia"/>
                      <w:color w:val="000000" w:themeColor="text1"/>
                      <w14:textFill>
                        <w14:solidFill>
                          <w14:schemeClr w14:val="tx1"/>
                        </w14:solidFill>
                      </w14:textFill>
                    </w:rPr>
                    <w:t>和烟尘</w:t>
                  </w:r>
                </w:p>
              </w:tc>
              <w:tc>
                <w:tcPr>
                  <w:tcW w:w="2126" w:type="dxa"/>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自带尾气净化装置及排气管道</w:t>
                  </w:r>
                </w:p>
              </w:tc>
              <w:tc>
                <w:tcPr>
                  <w:tcW w:w="2883" w:type="dxa"/>
                  <w:vMerge w:val="continue"/>
                  <w:vAlign w:val="center"/>
                </w:tcPr>
                <w:p>
                  <w:pPr>
                    <w:pStyle w:val="79"/>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1725" w:type="dxa"/>
                  <w:vAlign w:val="center"/>
                </w:tcPr>
                <w:p>
                  <w:pPr>
                    <w:pStyle w:val="79"/>
                    <w:rPr>
                      <w:color w:val="000000" w:themeColor="text1"/>
                      <w:spacing w:val="6"/>
                      <w14:textFill>
                        <w14:solidFill>
                          <w14:schemeClr w14:val="tx1"/>
                        </w14:solidFill>
                      </w14:textFill>
                    </w:rPr>
                  </w:pPr>
                  <w:r>
                    <w:rPr>
                      <w:color w:val="000000" w:themeColor="text1"/>
                      <w:spacing w:val="6"/>
                      <w14:textFill>
                        <w14:solidFill>
                          <w14:schemeClr w14:val="tx1"/>
                        </w14:solidFill>
                      </w14:textFill>
                    </w:rPr>
                    <w:t>各生产</w:t>
                  </w:r>
                </w:p>
                <w:p>
                  <w:pPr>
                    <w:pStyle w:val="79"/>
                    <w:rPr>
                      <w:color w:val="000000" w:themeColor="text1"/>
                      <w:spacing w:val="6"/>
                      <w14:textFill>
                        <w14:solidFill>
                          <w14:schemeClr w14:val="tx1"/>
                        </w14:solidFill>
                      </w14:textFill>
                    </w:rPr>
                  </w:pPr>
                  <w:r>
                    <w:rPr>
                      <w:color w:val="000000" w:themeColor="text1"/>
                      <w:spacing w:val="6"/>
                      <w14:textFill>
                        <w14:solidFill>
                          <w14:schemeClr w14:val="tx1"/>
                        </w14:solidFill>
                      </w14:textFill>
                    </w:rPr>
                    <w:t>设备</w:t>
                  </w:r>
                </w:p>
              </w:tc>
              <w:tc>
                <w:tcPr>
                  <w:tcW w:w="1843" w:type="dxa"/>
                  <w:vAlign w:val="center"/>
                </w:tcPr>
                <w:p>
                  <w:pPr>
                    <w:pStyle w:val="79"/>
                    <w:rPr>
                      <w:color w:val="000000" w:themeColor="text1"/>
                      <w:spacing w:val="6"/>
                      <w14:textFill>
                        <w14:solidFill>
                          <w14:schemeClr w14:val="tx1"/>
                        </w14:solidFill>
                      </w14:textFill>
                    </w:rPr>
                  </w:pPr>
                  <w:r>
                    <w:rPr>
                      <w:color w:val="000000" w:themeColor="text1"/>
                      <w14:textFill>
                        <w14:solidFill>
                          <w14:schemeClr w14:val="tx1"/>
                        </w14:solidFill>
                      </w14:textFill>
                    </w:rPr>
                    <w:t>dB(A)</w:t>
                  </w:r>
                </w:p>
              </w:tc>
              <w:tc>
                <w:tcPr>
                  <w:tcW w:w="212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合理布局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设备安装减震垫、消声器</w:t>
                  </w:r>
                </w:p>
              </w:tc>
              <w:tc>
                <w:tcPr>
                  <w:tcW w:w="2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达《工业企业厂界环境噪声排放标准》（GB12348-2008）中的</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w:t>
                  </w:r>
                  <w:r>
                    <w:rPr>
                      <w:rFonts w:hint="eastAsia"/>
                      <w:color w:val="000000" w:themeColor="text1"/>
                      <w14:textFill>
                        <w14:solidFill>
                          <w14:schemeClr w14:val="tx1"/>
                        </w14:solidFill>
                      </w14:textFill>
                    </w:rPr>
                    <w:t>及4类</w:t>
                  </w:r>
                  <w:r>
                    <w:rPr>
                      <w:color w:val="000000" w:themeColor="text1"/>
                      <w14:textFill>
                        <w14:solidFill>
                          <w14:schemeClr w14:val="tx1"/>
                        </w14:solidFill>
                      </w14:textFill>
                    </w:rP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trPr>
              <w:tc>
                <w:tcPr>
                  <w:tcW w:w="81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固废</w:t>
                  </w:r>
                </w:p>
              </w:tc>
              <w:tc>
                <w:tcPr>
                  <w:tcW w:w="17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员工生活</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站区内设生活垃圾收集桶，收集后交由环卫部门清运处理</w:t>
                  </w:r>
                </w:p>
              </w:tc>
              <w:tc>
                <w:tcPr>
                  <w:tcW w:w="2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《生活垃圾填埋污染控制标准》（GB16889-2008）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trPr>
              <w:tc>
                <w:tcPr>
                  <w:tcW w:w="819" w:type="dxa"/>
                  <w:vMerge w:val="continue"/>
                  <w:vAlign w:val="center"/>
                </w:tcPr>
                <w:p>
                  <w:pPr>
                    <w:pStyle w:val="79"/>
                    <w:rPr>
                      <w:color w:val="000000" w:themeColor="text1"/>
                      <w14:textFill>
                        <w14:solidFill>
                          <w14:schemeClr w14:val="tx1"/>
                        </w14:solidFill>
                      </w14:textFill>
                    </w:rPr>
                  </w:pPr>
                </w:p>
              </w:tc>
              <w:tc>
                <w:tcPr>
                  <w:tcW w:w="17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油罐清理、隔油池清理</w:t>
                  </w:r>
                </w:p>
              </w:tc>
              <w:tc>
                <w:tcPr>
                  <w:tcW w:w="184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清罐油泥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隔油</w:t>
                  </w:r>
                  <w:r>
                    <w:rPr>
                      <w:rFonts w:hint="eastAsia"/>
                      <w:color w:val="000000" w:themeColor="text1"/>
                      <w14:textFill>
                        <w14:solidFill>
                          <w14:schemeClr w14:val="tx1"/>
                        </w14:solidFill>
                      </w14:textFill>
                    </w:rPr>
                    <w:t>池污泥</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由清罐公司带走处置，不在站区内暂存</w:t>
                  </w:r>
                </w:p>
              </w:tc>
              <w:tc>
                <w:tcPr>
                  <w:tcW w:w="28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《危险废物贮存污染控制标准》（GB18597-2001）及修改单相关要求</w:t>
                  </w:r>
                </w:p>
              </w:tc>
            </w:tr>
          </w:tbl>
          <w:p>
            <w:pPr>
              <w:pStyle w:val="3"/>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 环境管理及检测计划</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为确保本项目生产经营期间环保措施落实到位，环境质量不受重大影响，建议企业制定环境管理措施：</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（1）由企业领导统筹，指点兼职环境环保人员负责全产环境质量问题，并组织企业员工定时学习有关环境问题保护措施及环保生产知识。</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（2）企业制定生产过程中产污环节的环境保护章程，规范操作。制定常见环境问题的处理措施及流程。</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（3）企业设置专门环保经费，且禁止该经费它用。</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（4）每天对产生污染物区进行检查，并填写登记表。</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（5）生产中发现环境问题，及时报告企业领导，并及时妥善处理。如遇重大问题立即向当地环保局汇报。</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（6）企业每年对环境问题进行总结，并制定下一年度环保工作安排。</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（7）认真听取受工程影响的附近居民及有关人员的意见，了解公众对厂区产生的环境污染的抱怨，妥善处理好矛盾。</w:t>
            </w:r>
          </w:p>
          <w:p>
            <w:pPr>
              <w:spacing w:line="360" w:lineRule="auto"/>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为保证本项目生产过程中各种污染物达标外排，需提出项目在生产运行阶段的污染源监测计划，详见</w:t>
            </w:r>
            <w:r>
              <w:rPr>
                <w:rFonts w:hint="eastAsia" w:ascii="Times New Roman" w:hAnsi="Times New Roman"/>
                <w:color w:val="000000" w:themeColor="text1"/>
                <w:sz w:val="24"/>
                <w:szCs w:val="24"/>
                <w14:textFill>
                  <w14:solidFill>
                    <w14:schemeClr w14:val="tx1"/>
                  </w14:solidFill>
                </w14:textFill>
              </w:rPr>
              <w:t>下表</w:t>
            </w:r>
            <w:r>
              <w:rPr>
                <w:rFonts w:ascii="Times New Roman" w:hAnsi="Times New Roman"/>
                <w:color w:val="000000" w:themeColor="text1"/>
                <w:sz w:val="24"/>
                <w:szCs w:val="24"/>
                <w14:textFill>
                  <w14:solidFill>
                    <w14:schemeClr w14:val="tx1"/>
                  </w14:solidFill>
                </w14:textFill>
              </w:rPr>
              <w:t>。</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表7-</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无组织废气</w:t>
            </w:r>
            <w:r>
              <w:rPr>
                <w:color w:val="000000" w:themeColor="text1"/>
                <w14:textFill>
                  <w14:solidFill>
                    <w14:schemeClr w14:val="tx1"/>
                  </w14:solidFill>
                </w14:textFill>
              </w:rPr>
              <w:t>污染源监测计划</w:t>
            </w:r>
          </w:p>
          <w:tbl>
            <w:tblPr>
              <w:tblStyle w:val="28"/>
              <w:tblW w:w="939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855"/>
              <w:gridCol w:w="1665"/>
              <w:gridCol w:w="1293"/>
              <w:gridCol w:w="4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5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监测点位</w:t>
                  </w:r>
                </w:p>
              </w:tc>
              <w:tc>
                <w:tcPr>
                  <w:tcW w:w="166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监测因子</w:t>
                  </w:r>
                </w:p>
              </w:tc>
              <w:tc>
                <w:tcPr>
                  <w:tcW w:w="12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监测频率</w:t>
                  </w:r>
                </w:p>
              </w:tc>
              <w:tc>
                <w:tcPr>
                  <w:tcW w:w="45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5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厂界上下风向</w:t>
                  </w:r>
                </w:p>
              </w:tc>
              <w:tc>
                <w:tcPr>
                  <w:tcW w:w="166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12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每</w:t>
                  </w:r>
                  <w:r>
                    <w:rPr>
                      <w:rFonts w:hint="eastAsia"/>
                      <w:color w:val="000000" w:themeColor="text1"/>
                      <w14:textFill>
                        <w14:solidFill>
                          <w14:schemeClr w14:val="tx1"/>
                        </w14:solidFill>
                      </w14:textFill>
                    </w:rPr>
                    <w:t>半</w:t>
                  </w:r>
                  <w:r>
                    <w:rPr>
                      <w:color w:val="000000" w:themeColor="text1"/>
                      <w14:textFill>
                        <w14:solidFill>
                          <w14:schemeClr w14:val="tx1"/>
                        </w14:solidFill>
                      </w14:textFill>
                    </w:rPr>
                    <w:t>年一次</w:t>
                  </w:r>
                </w:p>
              </w:tc>
              <w:tc>
                <w:tcPr>
                  <w:tcW w:w="45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《大气污染物综合排放标准》（GB16297-1996）</w:t>
                  </w:r>
                </w:p>
              </w:tc>
            </w:tr>
          </w:tbl>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表7-31  运营期其他污染源监测计划</w:t>
            </w:r>
          </w:p>
          <w:tbl>
            <w:tblPr>
              <w:tblStyle w:val="28"/>
              <w:tblW w:w="939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1070"/>
              <w:gridCol w:w="1577"/>
              <w:gridCol w:w="1181"/>
              <w:gridCol w:w="44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类别</w:t>
                  </w:r>
                </w:p>
              </w:tc>
              <w:tc>
                <w:tcPr>
                  <w:tcW w:w="107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监测点位</w:t>
                  </w:r>
                </w:p>
              </w:tc>
              <w:tc>
                <w:tcPr>
                  <w:tcW w:w="157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监测因子</w:t>
                  </w:r>
                </w:p>
              </w:tc>
              <w:tc>
                <w:tcPr>
                  <w:tcW w:w="118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监测频率</w:t>
                  </w:r>
                </w:p>
              </w:tc>
              <w:tc>
                <w:tcPr>
                  <w:tcW w:w="444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废水</w:t>
                  </w:r>
                </w:p>
              </w:tc>
              <w:tc>
                <w:tcPr>
                  <w:tcW w:w="107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站区废水总排口</w:t>
                  </w:r>
                </w:p>
              </w:tc>
              <w:tc>
                <w:tcPr>
                  <w:tcW w:w="157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pH、悬浮物、氨氮、COD、BOD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、石油类</w:t>
                  </w:r>
                </w:p>
              </w:tc>
              <w:tc>
                <w:tcPr>
                  <w:tcW w:w="118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每</w:t>
                  </w:r>
                  <w:r>
                    <w:rPr>
                      <w:rFonts w:hint="eastAsia"/>
                      <w:color w:val="000000" w:themeColor="text1"/>
                      <w14:textFill>
                        <w14:solidFill>
                          <w14:schemeClr w14:val="tx1"/>
                        </w14:solidFill>
                      </w14:textFill>
                    </w:rPr>
                    <w:t>半</w:t>
                  </w:r>
                  <w:r>
                    <w:rPr>
                      <w:color w:val="000000" w:themeColor="text1"/>
                      <w14:textFill>
                        <w14:solidFill>
                          <w14:schemeClr w14:val="tx1"/>
                        </w14:solidFill>
                      </w14:textFill>
                    </w:rPr>
                    <w:t>年一次</w:t>
                  </w:r>
                </w:p>
              </w:tc>
              <w:tc>
                <w:tcPr>
                  <w:tcW w:w="444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《污水综合排放标准》（GB8978-1996）三级标准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2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噪声监测</w:t>
                  </w:r>
                </w:p>
              </w:tc>
              <w:tc>
                <w:tcPr>
                  <w:tcW w:w="107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厂界四周外1m</w:t>
                  </w:r>
                </w:p>
              </w:tc>
              <w:tc>
                <w:tcPr>
                  <w:tcW w:w="15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dB(A)</w:t>
                  </w:r>
                </w:p>
              </w:tc>
              <w:tc>
                <w:tcPr>
                  <w:tcW w:w="118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每年一次</w:t>
                  </w:r>
                </w:p>
              </w:tc>
              <w:tc>
                <w:tcPr>
                  <w:tcW w:w="444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《工业企业厂界环境噪声排放标准》（GB12348-2008）</w:t>
                  </w:r>
                  <w:r>
                    <w:rPr>
                      <w:rFonts w:hint="eastAsia"/>
                      <w:color w:val="000000" w:themeColor="text1"/>
                      <w14:textFill>
                        <w14:solidFill>
                          <w14:schemeClr w14:val="tx1"/>
                        </w14:solidFill>
                      </w14:textFill>
                    </w:rPr>
                    <w:t>2类及4</w:t>
                  </w:r>
                  <w:r>
                    <w:rPr>
                      <w:color w:val="000000" w:themeColor="text1"/>
                      <w14:textFill>
                        <w14:solidFill>
                          <w14:schemeClr w14:val="tx1"/>
                        </w14:solidFill>
                      </w14:textFill>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2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固体废物</w:t>
                  </w:r>
                </w:p>
              </w:tc>
              <w:tc>
                <w:tcPr>
                  <w:tcW w:w="107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5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分类收集、贮存、处置情况</w:t>
                  </w:r>
                </w:p>
              </w:tc>
              <w:tc>
                <w:tcPr>
                  <w:tcW w:w="118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444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危险固废达《危险废物贮存污染控制标准》（GB18597-2001）及修改单相关要求；生活垃圾执行《生活垃圾填埋污染控制标准》（GB16889-2008）</w:t>
                  </w:r>
                </w:p>
              </w:tc>
            </w:tr>
          </w:tbl>
          <w:p>
            <w:pPr>
              <w:widowControl/>
              <w:jc w:val="left"/>
              <w:rPr>
                <w:rFonts w:ascii="Times New Roman" w:hAnsi="Times New Roman"/>
                <w:b/>
                <w:bCs/>
                <w:color w:val="000000" w:themeColor="text1"/>
                <w:kern w:val="44"/>
                <w:sz w:val="28"/>
                <w:szCs w:val="28"/>
                <w14:textFill>
                  <w14:solidFill>
                    <w14:schemeClr w14:val="tx1"/>
                  </w14:solidFill>
                </w14:textFill>
              </w:rPr>
            </w:pPr>
          </w:p>
        </w:tc>
      </w:tr>
    </w:tbl>
    <w:p>
      <w:pPr>
        <w:widowControl/>
        <w:jc w:val="left"/>
        <w:rPr>
          <w:rFonts w:ascii="Times New Roman" w:hAnsi="Times New Roman"/>
          <w:b/>
          <w:bCs/>
          <w:color w:val="000000" w:themeColor="text1"/>
          <w:kern w:val="44"/>
          <w:sz w:val="28"/>
          <w:szCs w:val="28"/>
          <w14:textFill>
            <w14:solidFill>
              <w14:schemeClr w14:val="tx1"/>
            </w14:solidFill>
          </w14:textFill>
        </w:rPr>
        <w:sectPr>
          <w:pgSz w:w="11906" w:h="16838"/>
          <w:pgMar w:top="1440" w:right="1247" w:bottom="1440" w:left="1247" w:header="851" w:footer="992" w:gutter="0"/>
          <w:cols w:space="720" w:num="1"/>
          <w:docGrid w:type="lines" w:linePitch="312" w:charSpace="0"/>
        </w:sectPr>
      </w:pPr>
    </w:p>
    <w:p>
      <w:pPr>
        <w:pStyle w:val="2"/>
        <w:spacing w:before="0" w:after="0" w:line="360" w:lineRule="auto"/>
        <w:rPr>
          <w:rFonts w:ascii="Times New Roman" w:hAnsi="Times New Roman"/>
          <w:color w:val="000000" w:themeColor="text1"/>
          <w:sz w:val="28"/>
          <w:szCs w:val="28"/>
          <w14:textFill>
            <w14:solidFill>
              <w14:schemeClr w14:val="tx1"/>
            </w14:solidFill>
          </w14:textFill>
        </w:rPr>
      </w:pPr>
      <w:bookmarkStart w:id="40" w:name="_Toc29913617"/>
      <w:r>
        <w:rPr>
          <w:rFonts w:ascii="Times New Roman" w:hAnsi="Times New Roman"/>
          <w:color w:val="000000" w:themeColor="text1"/>
          <w:sz w:val="28"/>
          <w:szCs w:val="28"/>
          <w14:textFill>
            <w14:solidFill>
              <w14:schemeClr w14:val="tx1"/>
            </w14:solidFill>
          </w14:textFill>
        </w:rPr>
        <w:t>八、建设项目拟采取的防治措施及预期治理效果</w:t>
      </w:r>
      <w:bookmarkEnd w:id="37"/>
      <w:bookmarkEnd w:id="40"/>
    </w:p>
    <w:tbl>
      <w:tblPr>
        <w:tblStyle w:val="28"/>
        <w:tblW w:w="9214" w:type="dxa"/>
        <w:jc w:val="center"/>
        <w:tblLayout w:type="fixed"/>
        <w:tblCellMar>
          <w:top w:w="0" w:type="dxa"/>
          <w:left w:w="0" w:type="dxa"/>
          <w:bottom w:w="0" w:type="dxa"/>
          <w:right w:w="0" w:type="dxa"/>
        </w:tblCellMar>
      </w:tblPr>
      <w:tblGrid>
        <w:gridCol w:w="1212"/>
        <w:gridCol w:w="1213"/>
        <w:gridCol w:w="1418"/>
        <w:gridCol w:w="2835"/>
        <w:gridCol w:w="2536"/>
      </w:tblGrid>
      <w:tr>
        <w:tblPrEx>
          <w:tblCellMar>
            <w:top w:w="0" w:type="dxa"/>
            <w:left w:w="0" w:type="dxa"/>
            <w:bottom w:w="0" w:type="dxa"/>
            <w:right w:w="0" w:type="dxa"/>
          </w:tblCellMar>
        </w:tblPrEx>
        <w:trPr>
          <w:trHeight w:val="397" w:hRule="atLeast"/>
          <w:jc w:val="center"/>
        </w:trPr>
        <w:tc>
          <w:tcPr>
            <w:tcW w:w="1212" w:type="dxa"/>
            <w:tcBorders>
              <w:top w:val="single" w:color="auto" w:sz="12" w:space="0"/>
              <w:left w:val="single" w:color="auto" w:sz="12" w:space="0"/>
              <w:bottom w:val="single" w:color="auto" w:sz="4" w:space="0"/>
              <w:right w:val="single" w:color="auto" w:sz="4" w:space="0"/>
              <w:tl2br w:val="single" w:color="auto" w:sz="4" w:space="0"/>
            </w:tcBorders>
            <w:vAlign w:val="center"/>
          </w:tcPr>
          <w:p>
            <w:pPr>
              <w:pStyle w:val="79"/>
              <w:jc w:val="right"/>
              <w:rPr>
                <w:color w:val="000000" w:themeColor="text1"/>
                <w14:textFill>
                  <w14:solidFill>
                    <w14:schemeClr w14:val="tx1"/>
                  </w14:solidFill>
                </w14:textFill>
              </w:rPr>
            </w:pPr>
            <w:r>
              <w:rPr>
                <w:color w:val="000000" w:themeColor="text1"/>
                <w14:textFill>
                  <w14:solidFill>
                    <w14:schemeClr w14:val="tx1"/>
                  </w14:solidFill>
                </w14:textFill>
              </w:rPr>
              <w:t>内容</w:t>
            </w:r>
          </w:p>
          <w:p>
            <w:pPr>
              <w:pStyle w:val="79"/>
              <w:jc w:val="left"/>
              <w:rPr>
                <w:color w:val="000000" w:themeColor="text1"/>
                <w14:textFill>
                  <w14:solidFill>
                    <w14:schemeClr w14:val="tx1"/>
                  </w14:solidFill>
                </w14:textFill>
              </w:rPr>
            </w:pPr>
            <w:r>
              <w:rPr>
                <w:color w:val="000000" w:themeColor="text1"/>
                <w14:textFill>
                  <w14:solidFill>
                    <w14:schemeClr w14:val="tx1"/>
                  </w14:solidFill>
                </w14:textFill>
              </w:rPr>
              <w:t>类型</w:t>
            </w:r>
          </w:p>
        </w:tc>
        <w:tc>
          <w:tcPr>
            <w:tcW w:w="1213" w:type="dxa"/>
            <w:tcBorders>
              <w:top w:val="single" w:color="auto" w:sz="12"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排放源</w:t>
            </w:r>
          </w:p>
        </w:tc>
        <w:tc>
          <w:tcPr>
            <w:tcW w:w="1418" w:type="dxa"/>
            <w:tcBorders>
              <w:top w:val="single" w:color="auto" w:sz="12"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污染物名称</w:t>
            </w:r>
          </w:p>
        </w:tc>
        <w:tc>
          <w:tcPr>
            <w:tcW w:w="2835" w:type="dxa"/>
            <w:tcBorders>
              <w:top w:val="single" w:color="auto" w:sz="12"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防治措施</w:t>
            </w:r>
          </w:p>
        </w:tc>
        <w:tc>
          <w:tcPr>
            <w:tcW w:w="2536" w:type="dxa"/>
            <w:tcBorders>
              <w:top w:val="single" w:color="auto" w:sz="12" w:space="0"/>
              <w:left w:val="nil"/>
              <w:bottom w:val="single" w:color="auto" w:sz="4" w:space="0"/>
              <w:right w:val="single" w:color="auto" w:sz="12"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预期治理效果</w:t>
            </w:r>
          </w:p>
        </w:tc>
      </w:tr>
      <w:tr>
        <w:tblPrEx>
          <w:tblCellMar>
            <w:top w:w="0" w:type="dxa"/>
            <w:left w:w="0" w:type="dxa"/>
            <w:bottom w:w="0" w:type="dxa"/>
            <w:right w:w="0" w:type="dxa"/>
          </w:tblCellMar>
        </w:tblPrEx>
        <w:trPr>
          <w:trHeight w:val="397" w:hRule="atLeast"/>
          <w:jc w:val="center"/>
        </w:trPr>
        <w:tc>
          <w:tcPr>
            <w:tcW w:w="1212" w:type="dxa"/>
            <w:vMerge w:val="restart"/>
            <w:tcBorders>
              <w:top w:val="single" w:color="auto" w:sz="4" w:space="0"/>
              <w:left w:val="single" w:color="auto" w:sz="12" w:space="0"/>
              <w:right w:val="single" w:color="auto" w:sz="4" w:space="0"/>
            </w:tcBorders>
            <w:vAlign w:val="center"/>
          </w:tcPr>
          <w:p>
            <w:pPr>
              <w:pStyle w:val="79"/>
              <w:rPr>
                <w:color w:val="000000" w:themeColor="text1"/>
                <w14:textFill>
                  <w14:solidFill>
                    <w14:schemeClr w14:val="tx1"/>
                  </w14:solidFill>
                </w14:textFill>
              </w:rPr>
            </w:pPr>
            <w:r>
              <w:rPr>
                <w:color w:val="000000" w:themeColor="text1"/>
                <w:kern w:val="21"/>
                <w14:textFill>
                  <w14:solidFill>
                    <w14:schemeClr w14:val="tx1"/>
                  </w14:solidFill>
                </w14:textFill>
              </w:rPr>
              <w:t>废气污染物</w:t>
            </w:r>
          </w:p>
        </w:tc>
        <w:tc>
          <w:tcPr>
            <w:tcW w:w="121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加油机、卸油处、储罐大小呼吸</w:t>
            </w: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2835" w:type="dxa"/>
            <w:tcBorders>
              <w:top w:val="single" w:color="auto" w:sz="4" w:space="0"/>
              <w:left w:val="nil"/>
              <w:bottom w:val="single" w:color="auto" w:sz="4" w:space="0"/>
              <w:right w:val="single" w:color="auto" w:sz="4" w:space="0"/>
            </w:tcBorders>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油气回收系统：卸油油气回收+加油油气回收系统；</w:t>
            </w:r>
          </w:p>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通气管：3根，高4m；</w:t>
            </w:r>
          </w:p>
          <w:p>
            <w:pPr>
              <w:pStyle w:val="79"/>
              <w:jc w:val="left"/>
              <w:rPr>
                <w:snapToGrid w:val="0"/>
                <w:color w:val="000000" w:themeColor="text1"/>
                <w14:textFill>
                  <w14:solidFill>
                    <w14:schemeClr w14:val="tx1"/>
                  </w14:solidFill>
                </w14:textFill>
              </w:rPr>
            </w:pPr>
            <w:r>
              <w:rPr>
                <w:rFonts w:hint="eastAsia"/>
                <w:color w:val="000000" w:themeColor="text1"/>
                <w:u w:val="single"/>
                <w14:textFill>
                  <w14:solidFill>
                    <w14:schemeClr w14:val="tx1"/>
                  </w14:solidFill>
                </w14:textFill>
              </w:rPr>
              <w:t>呼吸阀：设置呼吸阀，油气回收时呼吸阀关闭。</w:t>
            </w:r>
          </w:p>
        </w:tc>
        <w:tc>
          <w:tcPr>
            <w:tcW w:w="2536" w:type="dxa"/>
            <w:vMerge w:val="restart"/>
            <w:tcBorders>
              <w:top w:val="single" w:color="auto" w:sz="4" w:space="0"/>
              <w:left w:val="nil"/>
              <w:right w:val="single" w:color="auto" w:sz="12"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《大气污染物综合排放标准》（GB16297-1996）表2无组织排放监控浓度限值</w:t>
            </w:r>
          </w:p>
        </w:tc>
      </w:tr>
      <w:tr>
        <w:tblPrEx>
          <w:tblCellMar>
            <w:top w:w="0" w:type="dxa"/>
            <w:left w:w="0" w:type="dxa"/>
            <w:bottom w:w="0" w:type="dxa"/>
            <w:right w:w="0" w:type="dxa"/>
          </w:tblCellMar>
        </w:tblPrEx>
        <w:trPr>
          <w:trHeight w:val="397" w:hRule="atLeast"/>
          <w:jc w:val="center"/>
        </w:trPr>
        <w:tc>
          <w:tcPr>
            <w:tcW w:w="1212" w:type="dxa"/>
            <w:vMerge w:val="continue"/>
            <w:tcBorders>
              <w:left w:val="single" w:color="auto" w:sz="12" w:space="0"/>
              <w:right w:val="single" w:color="auto" w:sz="4" w:space="0"/>
            </w:tcBorders>
            <w:vAlign w:val="center"/>
          </w:tcPr>
          <w:p>
            <w:pPr>
              <w:pStyle w:val="79"/>
              <w:rPr>
                <w:color w:val="000000" w:themeColor="text1"/>
                <w:kern w:val="21"/>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汽车行驶</w:t>
            </w: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X</w:t>
            </w:r>
            <w:r>
              <w:rPr>
                <w:color w:val="000000" w:themeColor="text1"/>
                <w14:textFill>
                  <w14:solidFill>
                    <w14:schemeClr w14:val="tx1"/>
                  </w14:solidFill>
                </w14:textFill>
              </w:rPr>
              <w:t>、CO、HC</w:t>
            </w:r>
          </w:p>
        </w:tc>
        <w:tc>
          <w:tcPr>
            <w:tcW w:w="2835" w:type="dxa"/>
            <w:tcBorders>
              <w:top w:val="single" w:color="auto" w:sz="4" w:space="0"/>
              <w:left w:val="nil"/>
              <w:bottom w:val="single" w:color="auto" w:sz="4" w:space="0"/>
              <w:right w:val="single" w:color="auto" w:sz="4" w:space="0"/>
            </w:tcBorders>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站区内绿化</w:t>
            </w:r>
          </w:p>
        </w:tc>
        <w:tc>
          <w:tcPr>
            <w:tcW w:w="2536" w:type="dxa"/>
            <w:vMerge w:val="continue"/>
            <w:tcBorders>
              <w:left w:val="nil"/>
              <w:right w:val="single" w:color="auto" w:sz="12" w:space="0"/>
            </w:tcBorders>
            <w:vAlign w:val="center"/>
          </w:tcPr>
          <w:p>
            <w:pPr>
              <w:pStyle w:val="79"/>
              <w:rPr>
                <w:color w:val="000000" w:themeColor="text1"/>
                <w14:textFill>
                  <w14:solidFill>
                    <w14:schemeClr w14:val="tx1"/>
                  </w14:solidFill>
                </w14:textFill>
              </w:rPr>
            </w:pPr>
          </w:p>
        </w:tc>
      </w:tr>
      <w:tr>
        <w:tblPrEx>
          <w:tblCellMar>
            <w:top w:w="0" w:type="dxa"/>
            <w:left w:w="0" w:type="dxa"/>
            <w:bottom w:w="0" w:type="dxa"/>
            <w:right w:w="0" w:type="dxa"/>
          </w:tblCellMar>
        </w:tblPrEx>
        <w:trPr>
          <w:trHeight w:val="397" w:hRule="atLeast"/>
          <w:jc w:val="center"/>
        </w:trPr>
        <w:tc>
          <w:tcPr>
            <w:tcW w:w="1212" w:type="dxa"/>
            <w:vMerge w:val="continue"/>
            <w:tcBorders>
              <w:left w:val="single" w:color="auto" w:sz="12" w:space="0"/>
              <w:bottom w:val="single" w:color="auto" w:sz="4" w:space="0"/>
              <w:right w:val="single" w:color="auto" w:sz="4" w:space="0"/>
            </w:tcBorders>
            <w:vAlign w:val="center"/>
          </w:tcPr>
          <w:p>
            <w:pPr>
              <w:pStyle w:val="79"/>
              <w:rPr>
                <w:color w:val="000000" w:themeColor="text1"/>
                <w:kern w:val="21"/>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柴油发电机发电</w:t>
            </w: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、NO</w:t>
            </w:r>
            <w:r>
              <w:rPr>
                <w:rFonts w:hint="eastAsia"/>
                <w:color w:val="000000" w:themeColor="text1"/>
                <w:vertAlign w:val="subscript"/>
                <w14:textFill>
                  <w14:solidFill>
                    <w14:schemeClr w14:val="tx1"/>
                  </w14:solidFill>
                </w14:textFill>
              </w:rPr>
              <w:t>X</w:t>
            </w:r>
            <w:r>
              <w:rPr>
                <w:rFonts w:hint="eastAsia"/>
                <w:color w:val="000000" w:themeColor="text1"/>
                <w14:textFill>
                  <w14:solidFill>
                    <w14:schemeClr w14:val="tx1"/>
                  </w14:solidFill>
                </w14:textFill>
              </w:rPr>
              <w:t>和烟尘</w:t>
            </w:r>
          </w:p>
        </w:tc>
        <w:tc>
          <w:tcPr>
            <w:tcW w:w="2835" w:type="dxa"/>
            <w:tcBorders>
              <w:top w:val="single" w:color="auto" w:sz="4" w:space="0"/>
              <w:left w:val="nil"/>
              <w:bottom w:val="single" w:color="auto" w:sz="4" w:space="0"/>
              <w:right w:val="single" w:color="auto" w:sz="4" w:space="0"/>
            </w:tcBorders>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自带尾气净化装置及排气管道</w:t>
            </w:r>
          </w:p>
        </w:tc>
        <w:tc>
          <w:tcPr>
            <w:tcW w:w="2536" w:type="dxa"/>
            <w:vMerge w:val="continue"/>
            <w:tcBorders>
              <w:left w:val="nil"/>
              <w:right w:val="single" w:color="auto" w:sz="12" w:space="0"/>
            </w:tcBorders>
            <w:vAlign w:val="center"/>
          </w:tcPr>
          <w:p>
            <w:pPr>
              <w:pStyle w:val="79"/>
              <w:rPr>
                <w:color w:val="000000" w:themeColor="text1"/>
                <w14:textFill>
                  <w14:solidFill>
                    <w14:schemeClr w14:val="tx1"/>
                  </w14:solidFill>
                </w14:textFill>
              </w:rPr>
            </w:pPr>
          </w:p>
        </w:tc>
      </w:tr>
      <w:tr>
        <w:tblPrEx>
          <w:tblCellMar>
            <w:top w:w="0" w:type="dxa"/>
            <w:left w:w="0" w:type="dxa"/>
            <w:bottom w:w="0" w:type="dxa"/>
            <w:right w:w="0" w:type="dxa"/>
          </w:tblCellMar>
        </w:tblPrEx>
        <w:trPr>
          <w:trHeight w:val="397" w:hRule="atLeast"/>
          <w:jc w:val="center"/>
        </w:trPr>
        <w:tc>
          <w:tcPr>
            <w:tcW w:w="1212" w:type="dxa"/>
            <w:vMerge w:val="restart"/>
            <w:tcBorders>
              <w:top w:val="single" w:color="auto" w:sz="4" w:space="0"/>
              <w:left w:val="single" w:color="auto" w:sz="12" w:space="0"/>
              <w:right w:val="single" w:color="auto" w:sz="4" w:space="0"/>
            </w:tcBorders>
            <w:vAlign w:val="center"/>
          </w:tcPr>
          <w:p>
            <w:pPr>
              <w:pStyle w:val="79"/>
              <w:rPr>
                <w:color w:val="000000" w:themeColor="text1"/>
                <w:kern w:val="21"/>
                <w14:textFill>
                  <w14:solidFill>
                    <w14:schemeClr w14:val="tx1"/>
                  </w14:solidFill>
                </w14:textFill>
              </w:rPr>
            </w:pPr>
            <w:r>
              <w:rPr>
                <w:color w:val="000000" w:themeColor="text1"/>
                <w:kern w:val="21"/>
                <w14:textFill>
                  <w14:solidFill>
                    <w14:schemeClr w14:val="tx1"/>
                  </w14:solidFill>
                </w14:textFill>
              </w:rPr>
              <w:t>水污染物</w:t>
            </w:r>
          </w:p>
        </w:tc>
        <w:tc>
          <w:tcPr>
            <w:tcW w:w="121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员工及顾客生活废水</w:t>
            </w: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COD、BOD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、SS、NH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-N</w:t>
            </w:r>
          </w:p>
        </w:tc>
        <w:tc>
          <w:tcPr>
            <w:tcW w:w="2835"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经站区内化粪池处理后经市政污水管网引至祁东县渔陂污水处理厂处理后达标外排</w:t>
            </w:r>
          </w:p>
        </w:tc>
        <w:tc>
          <w:tcPr>
            <w:tcW w:w="2536" w:type="dxa"/>
            <w:vMerge w:val="restart"/>
            <w:tcBorders>
              <w:top w:val="single" w:color="auto" w:sz="4" w:space="0"/>
              <w:left w:val="nil"/>
              <w:right w:val="single" w:color="auto" w:sz="12" w:space="0"/>
            </w:tcBorders>
            <w:vAlign w:val="center"/>
          </w:tcPr>
          <w:p>
            <w:pPr>
              <w:pStyle w:val="79"/>
              <w:rPr>
                <w:color w:val="000000" w:themeColor="text1"/>
                <w:kern w:val="21"/>
                <w14:textFill>
                  <w14:solidFill>
                    <w14:schemeClr w14:val="tx1"/>
                  </w14:solidFill>
                </w14:textFill>
              </w:rPr>
            </w:pPr>
            <w:r>
              <w:rPr>
                <w:rFonts w:hint="eastAsia"/>
                <w:color w:val="000000" w:themeColor="text1"/>
                <w:lang w:val="zh-CN"/>
                <w14:textFill>
                  <w14:solidFill>
                    <w14:schemeClr w14:val="tx1"/>
                  </w14:solidFill>
                </w14:textFill>
              </w:rPr>
              <w:t>站区污水总排口废水达《污水综合排放标准》（GB8978-1996）表4中三级标准</w:t>
            </w:r>
          </w:p>
        </w:tc>
      </w:tr>
      <w:tr>
        <w:tblPrEx>
          <w:tblCellMar>
            <w:top w:w="0" w:type="dxa"/>
            <w:left w:w="0" w:type="dxa"/>
            <w:bottom w:w="0" w:type="dxa"/>
            <w:right w:w="0" w:type="dxa"/>
          </w:tblCellMar>
        </w:tblPrEx>
        <w:trPr>
          <w:trHeight w:val="397" w:hRule="atLeast"/>
          <w:jc w:val="center"/>
        </w:trPr>
        <w:tc>
          <w:tcPr>
            <w:tcW w:w="1212" w:type="dxa"/>
            <w:vMerge w:val="continue"/>
            <w:tcBorders>
              <w:left w:val="single" w:color="auto" w:sz="12" w:space="0"/>
              <w:bottom w:val="single" w:color="auto" w:sz="4" w:space="0"/>
              <w:right w:val="single" w:color="auto" w:sz="4" w:space="0"/>
            </w:tcBorders>
            <w:vAlign w:val="center"/>
          </w:tcPr>
          <w:p>
            <w:pPr>
              <w:pStyle w:val="79"/>
              <w:rPr>
                <w:color w:val="000000" w:themeColor="text1"/>
                <w:kern w:val="21"/>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站区地面冲洗废水</w:t>
            </w: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SS、石油类</w:t>
            </w:r>
          </w:p>
        </w:tc>
        <w:tc>
          <w:tcPr>
            <w:tcW w:w="2835"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经站区内化粪池处理后经市政污水管网引至祁东县渔陂污水处理厂处理后达标外排</w:t>
            </w:r>
          </w:p>
        </w:tc>
        <w:tc>
          <w:tcPr>
            <w:tcW w:w="2536" w:type="dxa"/>
            <w:vMerge w:val="continue"/>
            <w:tcBorders>
              <w:left w:val="nil"/>
              <w:bottom w:val="single" w:color="auto" w:sz="4" w:space="0"/>
              <w:right w:val="single" w:color="auto" w:sz="12" w:space="0"/>
            </w:tcBorders>
            <w:vAlign w:val="center"/>
          </w:tcPr>
          <w:p>
            <w:pPr>
              <w:pStyle w:val="79"/>
              <w:rPr>
                <w:color w:val="000000" w:themeColor="text1"/>
                <w:lang w:val="zh-CN"/>
                <w14:textFill>
                  <w14:solidFill>
                    <w14:schemeClr w14:val="tx1"/>
                  </w14:solidFill>
                </w14:textFill>
              </w:rPr>
            </w:pPr>
          </w:p>
        </w:tc>
      </w:tr>
      <w:tr>
        <w:tblPrEx>
          <w:tblCellMar>
            <w:top w:w="0" w:type="dxa"/>
            <w:left w:w="0" w:type="dxa"/>
            <w:bottom w:w="0" w:type="dxa"/>
            <w:right w:w="0" w:type="dxa"/>
          </w:tblCellMar>
        </w:tblPrEx>
        <w:trPr>
          <w:trHeight w:val="397" w:hRule="atLeast"/>
          <w:jc w:val="center"/>
        </w:trPr>
        <w:tc>
          <w:tcPr>
            <w:tcW w:w="1212" w:type="dxa"/>
            <w:vMerge w:val="restart"/>
            <w:tcBorders>
              <w:top w:val="single" w:color="auto" w:sz="4" w:space="0"/>
              <w:left w:val="single" w:color="auto" w:sz="12" w:space="0"/>
              <w:bottom w:val="single" w:color="auto" w:sz="4" w:space="0"/>
              <w:right w:val="single" w:color="auto" w:sz="4" w:space="0"/>
            </w:tcBorders>
            <w:vAlign w:val="center"/>
          </w:tcPr>
          <w:p>
            <w:pPr>
              <w:pStyle w:val="79"/>
              <w:rPr>
                <w:color w:val="000000" w:themeColor="text1"/>
                <w:kern w:val="21"/>
                <w14:textFill>
                  <w14:solidFill>
                    <w14:schemeClr w14:val="tx1"/>
                  </w14:solidFill>
                </w14:textFill>
              </w:rPr>
            </w:pPr>
            <w:r>
              <w:rPr>
                <w:color w:val="000000" w:themeColor="text1"/>
                <w:kern w:val="21"/>
                <w14:textFill>
                  <w14:solidFill>
                    <w14:schemeClr w14:val="tx1"/>
                  </w14:solidFill>
                </w14:textFill>
              </w:rPr>
              <w:t>固废污染物</w:t>
            </w:r>
          </w:p>
        </w:tc>
        <w:tc>
          <w:tcPr>
            <w:tcW w:w="1213" w:type="dxa"/>
            <w:vMerge w:val="restart"/>
            <w:tcBorders>
              <w:top w:val="single" w:color="auto" w:sz="4" w:space="0"/>
              <w:left w:val="nil"/>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危险固废</w:t>
            </w: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清罐油泥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900-221-08</w:t>
            </w:r>
            <w:r>
              <w:rPr>
                <w:rFonts w:hint="eastAsia"/>
                <w:color w:val="000000" w:themeColor="text1"/>
                <w14:textFill>
                  <w14:solidFill>
                    <w14:schemeClr w14:val="tx1"/>
                  </w14:solidFill>
                </w14:textFill>
              </w:rPr>
              <w:t>）</w:t>
            </w:r>
          </w:p>
        </w:tc>
        <w:tc>
          <w:tcPr>
            <w:tcW w:w="2835"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交由有资质的清罐单位每3-5年清理一次，清理产生的污泥交由清罐公司带走处置</w:t>
            </w:r>
          </w:p>
        </w:tc>
        <w:tc>
          <w:tcPr>
            <w:tcW w:w="2536" w:type="dxa"/>
            <w:vMerge w:val="restart"/>
            <w:tcBorders>
              <w:top w:val="single" w:color="auto" w:sz="4" w:space="0"/>
              <w:left w:val="nil"/>
              <w:right w:val="single" w:color="auto" w:sz="12"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满足《危险废物贮存污染控制标准》（GB18597-2001）及修改单相关要求</w:t>
            </w:r>
          </w:p>
        </w:tc>
      </w:tr>
      <w:tr>
        <w:tblPrEx>
          <w:tblCellMar>
            <w:top w:w="0" w:type="dxa"/>
            <w:left w:w="0" w:type="dxa"/>
            <w:bottom w:w="0" w:type="dxa"/>
            <w:right w:w="0" w:type="dxa"/>
          </w:tblCellMar>
        </w:tblPrEx>
        <w:trPr>
          <w:trHeight w:val="397" w:hRule="atLeast"/>
          <w:jc w:val="center"/>
        </w:trPr>
        <w:tc>
          <w:tcPr>
            <w:tcW w:w="1212" w:type="dxa"/>
            <w:vMerge w:val="continue"/>
            <w:tcBorders>
              <w:top w:val="single" w:color="auto" w:sz="4" w:space="0"/>
              <w:left w:val="single" w:color="auto" w:sz="12" w:space="0"/>
              <w:bottom w:val="single" w:color="auto" w:sz="4" w:space="0"/>
              <w:right w:val="single" w:color="auto" w:sz="4" w:space="0"/>
            </w:tcBorders>
            <w:vAlign w:val="center"/>
          </w:tcPr>
          <w:p>
            <w:pPr>
              <w:pStyle w:val="79"/>
              <w:rPr>
                <w:color w:val="000000" w:themeColor="text1"/>
                <w:kern w:val="21"/>
                <w14:textFill>
                  <w14:solidFill>
                    <w14:schemeClr w14:val="tx1"/>
                  </w14:solidFill>
                </w14:textFill>
              </w:rPr>
            </w:pPr>
          </w:p>
        </w:tc>
        <w:tc>
          <w:tcPr>
            <w:tcW w:w="1213" w:type="dxa"/>
            <w:vMerge w:val="continue"/>
            <w:tcBorders>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隔油</w:t>
            </w:r>
            <w:r>
              <w:rPr>
                <w:rFonts w:hint="eastAsia"/>
                <w:color w:val="000000" w:themeColor="text1"/>
                <w14:textFill>
                  <w14:solidFill>
                    <w14:schemeClr w14:val="tx1"/>
                  </w14:solidFill>
                </w14:textFill>
              </w:rPr>
              <w:t>池污泥（</w:t>
            </w:r>
            <w:r>
              <w:rPr>
                <w:color w:val="000000" w:themeColor="text1"/>
                <w14:textFill>
                  <w14:solidFill>
                    <w14:schemeClr w14:val="tx1"/>
                  </w14:solidFill>
                </w14:textFill>
              </w:rPr>
              <w:t>900-210-08</w:t>
            </w:r>
            <w:r>
              <w:rPr>
                <w:rFonts w:hint="eastAsia"/>
                <w:color w:val="000000" w:themeColor="text1"/>
                <w14:textFill>
                  <w14:solidFill>
                    <w14:schemeClr w14:val="tx1"/>
                  </w14:solidFill>
                </w14:textFill>
              </w:rPr>
              <w:t>）</w:t>
            </w:r>
          </w:p>
        </w:tc>
        <w:tc>
          <w:tcPr>
            <w:tcW w:w="2835"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清理频次同油罐清理频次，清理产生的污泥交由清罐公司带走处置</w:t>
            </w:r>
          </w:p>
        </w:tc>
        <w:tc>
          <w:tcPr>
            <w:tcW w:w="2536" w:type="dxa"/>
            <w:vMerge w:val="continue"/>
            <w:tcBorders>
              <w:left w:val="nil"/>
              <w:bottom w:val="single" w:color="auto" w:sz="4" w:space="0"/>
              <w:right w:val="single" w:color="auto" w:sz="12" w:space="0"/>
            </w:tcBorders>
            <w:vAlign w:val="center"/>
          </w:tcPr>
          <w:p>
            <w:pPr>
              <w:pStyle w:val="79"/>
              <w:rPr>
                <w:color w:val="000000" w:themeColor="text1"/>
                <w14:textFill>
                  <w14:solidFill>
                    <w14:schemeClr w14:val="tx1"/>
                  </w14:solidFill>
                </w14:textFill>
              </w:rPr>
            </w:pPr>
          </w:p>
        </w:tc>
      </w:tr>
      <w:tr>
        <w:tblPrEx>
          <w:tblCellMar>
            <w:top w:w="0" w:type="dxa"/>
            <w:left w:w="0" w:type="dxa"/>
            <w:bottom w:w="0" w:type="dxa"/>
            <w:right w:w="0" w:type="dxa"/>
          </w:tblCellMar>
        </w:tblPrEx>
        <w:trPr>
          <w:trHeight w:val="397" w:hRule="atLeast"/>
          <w:jc w:val="center"/>
        </w:trPr>
        <w:tc>
          <w:tcPr>
            <w:tcW w:w="1212" w:type="dxa"/>
            <w:vMerge w:val="continue"/>
            <w:tcBorders>
              <w:top w:val="single" w:color="auto" w:sz="4" w:space="0"/>
              <w:left w:val="single" w:color="auto" w:sz="12" w:space="0"/>
              <w:bottom w:val="single" w:color="auto" w:sz="4" w:space="0"/>
              <w:right w:val="single" w:color="auto" w:sz="4" w:space="0"/>
            </w:tcBorders>
            <w:vAlign w:val="center"/>
          </w:tcPr>
          <w:p>
            <w:pPr>
              <w:pStyle w:val="79"/>
              <w:rPr>
                <w:color w:val="000000" w:themeColor="text1"/>
                <w:kern w:val="21"/>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员工生活</w:t>
            </w: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w:t>
            </w:r>
          </w:p>
        </w:tc>
        <w:tc>
          <w:tcPr>
            <w:tcW w:w="2835"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站区内设生活垃圾收集桶，收集后的生活垃圾交由城市环卫部门清运处理</w:t>
            </w:r>
          </w:p>
        </w:tc>
        <w:tc>
          <w:tcPr>
            <w:tcW w:w="2536" w:type="dxa"/>
            <w:tcBorders>
              <w:top w:val="single" w:color="auto" w:sz="4" w:space="0"/>
              <w:left w:val="nil"/>
              <w:bottom w:val="single" w:color="auto" w:sz="4" w:space="0"/>
              <w:right w:val="single" w:color="auto" w:sz="12"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《生活垃圾填埋污染控制标准》（GB16889-2008）</w:t>
            </w:r>
          </w:p>
        </w:tc>
      </w:tr>
      <w:tr>
        <w:tblPrEx>
          <w:tblCellMar>
            <w:top w:w="0" w:type="dxa"/>
            <w:left w:w="0" w:type="dxa"/>
            <w:bottom w:w="0" w:type="dxa"/>
            <w:right w:w="0" w:type="dxa"/>
          </w:tblCellMar>
        </w:tblPrEx>
        <w:trPr>
          <w:trHeight w:val="397" w:hRule="atLeast"/>
          <w:jc w:val="center"/>
        </w:trPr>
        <w:tc>
          <w:tcPr>
            <w:tcW w:w="1212" w:type="dxa"/>
            <w:tcBorders>
              <w:top w:val="single" w:color="auto" w:sz="4" w:space="0"/>
              <w:left w:val="single" w:color="auto" w:sz="12"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8002" w:type="dxa"/>
            <w:gridSpan w:val="4"/>
            <w:tcBorders>
              <w:top w:val="single" w:color="auto" w:sz="4" w:space="0"/>
              <w:left w:val="nil"/>
              <w:bottom w:val="single" w:color="auto" w:sz="4" w:space="0"/>
              <w:right w:val="single" w:color="auto" w:sz="12" w:space="0"/>
            </w:tcBorders>
            <w:vAlign w:val="center"/>
          </w:tcPr>
          <w:p>
            <w:pPr>
              <w:pStyle w:val="79"/>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目的噪声源主要为加油泵等设备运行时产生的设备噪声以及加油车辆在进出加油站时产生的交通噪声。汽车在加油站内发动机处于关闭状态，所以噪声不大，根据类比同类型加油站，噪声值为60～65dB（A）；备用发电机运行噪声80～85dB（A）。项目将发电机等高噪设备置于室内，经垫片减震、墙体阻隔、距离衰减等处理后外排。项目噪声排放达标，对周围环境产生影响较小。</w:t>
            </w:r>
          </w:p>
        </w:tc>
      </w:tr>
      <w:tr>
        <w:tblPrEx>
          <w:tblCellMar>
            <w:top w:w="0" w:type="dxa"/>
            <w:left w:w="0" w:type="dxa"/>
            <w:bottom w:w="0" w:type="dxa"/>
            <w:right w:w="0" w:type="dxa"/>
          </w:tblCellMar>
        </w:tblPrEx>
        <w:trPr>
          <w:trHeight w:val="397" w:hRule="atLeast"/>
          <w:jc w:val="center"/>
        </w:trPr>
        <w:tc>
          <w:tcPr>
            <w:tcW w:w="9214" w:type="dxa"/>
            <w:gridSpan w:val="5"/>
            <w:tcBorders>
              <w:top w:val="single" w:color="auto" w:sz="4" w:space="0"/>
              <w:left w:val="single" w:color="auto" w:sz="12" w:space="0"/>
              <w:bottom w:val="single" w:color="auto" w:sz="12" w:space="0"/>
              <w:right w:val="single" w:color="auto" w:sz="12" w:space="0"/>
            </w:tcBorders>
            <w:vAlign w:val="center"/>
          </w:tcPr>
          <w:p>
            <w:pPr>
              <w:pStyle w:val="79"/>
              <w:jc w:val="left"/>
              <w:rPr>
                <w:b/>
                <w:bCs/>
                <w:color w:val="000000" w:themeColor="text1"/>
                <w14:textFill>
                  <w14:solidFill>
                    <w14:schemeClr w14:val="tx1"/>
                  </w14:solidFill>
                </w14:textFill>
              </w:rPr>
            </w:pPr>
            <w:r>
              <w:rPr>
                <w:b/>
                <w:bCs/>
                <w:color w:val="000000" w:themeColor="text1"/>
                <w14:textFill>
                  <w14:solidFill>
                    <w14:schemeClr w14:val="tx1"/>
                  </w14:solidFill>
                </w14:textFill>
              </w:rPr>
              <w:t>生态保护措施及预期效果</w:t>
            </w:r>
          </w:p>
          <w:p>
            <w:pPr>
              <w:pStyle w:val="79"/>
              <w:ind w:firstLine="420" w:firstLineChars="200"/>
              <w:jc w:val="both"/>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无</w:t>
            </w:r>
          </w:p>
        </w:tc>
      </w:tr>
    </w:tbl>
    <w:p>
      <w:pPr>
        <w:pStyle w:val="2"/>
        <w:spacing w:before="0" w:after="0" w:line="360" w:lineRule="auto"/>
        <w:rPr>
          <w:rFonts w:ascii="Times New Roman" w:hAnsi="Times New Roman"/>
          <w:color w:val="000000" w:themeColor="text1"/>
          <w:sz w:val="28"/>
          <w:szCs w:val="28"/>
          <w14:textFill>
            <w14:solidFill>
              <w14:schemeClr w14:val="tx1"/>
            </w14:solidFill>
          </w14:textFill>
        </w:rPr>
      </w:pPr>
      <w:bookmarkStart w:id="41" w:name="_Toc29913618"/>
      <w:bookmarkStart w:id="42" w:name="_Toc287535157"/>
      <w:r>
        <w:rPr>
          <w:rFonts w:ascii="Times New Roman" w:hAnsi="Times New Roman"/>
          <w:color w:val="000000" w:themeColor="text1"/>
          <w:sz w:val="28"/>
          <w:szCs w:val="28"/>
          <w14:textFill>
            <w14:solidFill>
              <w14:schemeClr w14:val="tx1"/>
            </w14:solidFill>
          </w14:textFill>
        </w:rPr>
        <w:t>九、结论与建议</w:t>
      </w:r>
      <w:bookmarkEnd w:id="41"/>
      <w:bookmarkEnd w:id="42"/>
    </w:p>
    <w:tbl>
      <w:tblPr>
        <w:tblStyle w:val="28"/>
        <w:tblW w:w="94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4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3103" w:hRule="atLeast"/>
          <w:jc w:val="center"/>
        </w:trPr>
        <w:tc>
          <w:tcPr>
            <w:tcW w:w="9400" w:type="dxa"/>
          </w:tcPr>
          <w:p>
            <w:pPr>
              <w:pStyle w:val="3"/>
              <w:keepNext w:val="0"/>
              <w:keepLines w:val="0"/>
              <w:rPr>
                <w:color w:val="000000" w:themeColor="text1"/>
                <w:szCs w:val="28"/>
                <w14:textFill>
                  <w14:solidFill>
                    <w14:schemeClr w14:val="tx1"/>
                  </w14:solidFill>
                </w14:textFill>
              </w:rPr>
            </w:pPr>
            <w:bookmarkStart w:id="43" w:name="_Toc287535158"/>
            <w:r>
              <w:rPr>
                <w:color w:val="000000" w:themeColor="text1"/>
                <w:szCs w:val="28"/>
                <w14:textFill>
                  <w14:solidFill>
                    <w14:schemeClr w14:val="tx1"/>
                  </w14:solidFill>
                </w14:textFill>
              </w:rPr>
              <w:t>一、结论</w:t>
            </w:r>
            <w:bookmarkEnd w:id="43"/>
          </w:p>
          <w:p>
            <w:pPr>
              <w:pStyle w:val="3"/>
              <w:rPr>
                <w:color w:val="000000" w:themeColor="text1"/>
                <w14:textFill>
                  <w14:solidFill>
                    <w14:schemeClr w14:val="tx1"/>
                  </w14:solidFill>
                </w14:textFill>
              </w:rPr>
            </w:pPr>
            <w:r>
              <w:rPr>
                <w:color w:val="000000" w:themeColor="text1"/>
                <w14:textFill>
                  <w14:solidFill>
                    <w14:schemeClr w14:val="tx1"/>
                  </w14:solidFill>
                </w14:textFill>
              </w:rPr>
              <w:t>1.1项目概况</w:t>
            </w:r>
          </w:p>
          <w:p>
            <w:pPr>
              <w:pStyle w:val="54"/>
              <w:ind w:firstLine="480"/>
              <w:rPr>
                <w:color w:val="000000" w:themeColor="text1"/>
                <w14:textFill>
                  <w14:solidFill>
                    <w14:schemeClr w14:val="tx1"/>
                  </w14:solidFill>
                </w14:textFill>
              </w:rPr>
            </w:pPr>
            <w:r>
              <w:rPr>
                <w:color w:val="000000" w:themeColor="text1"/>
                <w:szCs w:val="22"/>
                <w14:textFill>
                  <w14:solidFill>
                    <w14:schemeClr w14:val="tx1"/>
                  </w14:solidFill>
                </w14:textFill>
              </w:rPr>
              <w:t>中国石化销售股份有限公司湖南衡阳石油分公司祁东城西加油站改建项目</w:t>
            </w:r>
            <w:r>
              <w:rPr>
                <w:rFonts w:hint="eastAsia"/>
                <w:color w:val="000000" w:themeColor="text1"/>
                <w14:textFill>
                  <w14:solidFill>
                    <w14:schemeClr w14:val="tx1"/>
                  </w14:solidFill>
                </w14:textFill>
              </w:rPr>
              <w:t>属于改建项目，项目建设位于</w:t>
            </w:r>
            <w:r>
              <w:rPr>
                <w:color w:val="000000" w:themeColor="text1"/>
                <w:szCs w:val="22"/>
                <w14:textFill>
                  <w14:solidFill>
                    <w14:schemeClr w14:val="tx1"/>
                  </w14:solidFill>
                </w14:textFill>
              </w:rPr>
              <w:t>祁东县洪桥镇洪丰村G322线北侧</w:t>
            </w:r>
            <w:r>
              <w:rPr>
                <w:rFonts w:hint="eastAsia"/>
                <w:color w:val="000000" w:themeColor="text1"/>
                <w14:textFill>
                  <w14:solidFill>
                    <w14:schemeClr w14:val="tx1"/>
                  </w14:solidFill>
                </w14:textFill>
              </w:rPr>
              <w:t>，项目总投资</w:t>
            </w:r>
            <w:r>
              <w:rPr>
                <w:color w:val="000000" w:themeColor="text1"/>
                <w:szCs w:val="22"/>
                <w14:textFill>
                  <w14:solidFill>
                    <w14:schemeClr w14:val="tx1"/>
                  </w14:solidFill>
                </w14:textFill>
              </w:rPr>
              <w:t>400</w:t>
            </w:r>
            <w:r>
              <w:rPr>
                <w:rFonts w:hint="eastAsia"/>
                <w:color w:val="000000" w:themeColor="text1"/>
                <w14:textFill>
                  <w14:solidFill>
                    <w14:schemeClr w14:val="tx1"/>
                  </w14:solidFill>
                </w14:textFill>
              </w:rPr>
              <w:t>万元，其中环保投资</w:t>
            </w:r>
            <w:r>
              <w:rPr>
                <w:rFonts w:hint="eastAsia"/>
                <w:color w:val="000000" w:themeColor="text1"/>
                <w:u w:val="single"/>
                <w14:textFill>
                  <w14:solidFill>
                    <w14:schemeClr w14:val="tx1"/>
                  </w14:solidFill>
                </w14:textFill>
              </w:rPr>
              <w:t>24.5</w:t>
            </w:r>
            <w:r>
              <w:rPr>
                <w:rFonts w:hint="eastAsia"/>
                <w:color w:val="000000" w:themeColor="text1"/>
                <w14:textFill>
                  <w14:solidFill>
                    <w14:schemeClr w14:val="tx1"/>
                  </w14:solidFill>
                </w14:textFill>
              </w:rPr>
              <w:t>万元，项目占地面积为</w:t>
            </w:r>
            <w:r>
              <w:rPr>
                <w:color w:val="000000" w:themeColor="text1"/>
                <w:szCs w:val="22"/>
                <w14:textFill>
                  <w14:solidFill>
                    <w14:schemeClr w14:val="tx1"/>
                  </w14:solidFill>
                </w14:textFill>
              </w:rPr>
              <w:t>4000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，总建筑面积1300m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，主要建设站房394.3m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、辅助用房305.04m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、罩棚5</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；站内设</w:t>
            </w:r>
            <w:r>
              <w:rPr>
                <w:color w:val="000000" w:themeColor="text1"/>
                <w14:textFill>
                  <w14:solidFill>
                    <w14:schemeClr w14:val="tx1"/>
                  </w14:solidFill>
                </w14:textFill>
              </w:rPr>
              <w:t>两条单车道、一条双车道</w:t>
            </w:r>
            <w:r>
              <w:rPr>
                <w:rFonts w:hint="eastAsia"/>
                <w:color w:val="000000" w:themeColor="text1"/>
                <w14:textFill>
                  <w14:solidFill>
                    <w14:schemeClr w14:val="tx1"/>
                  </w14:solidFill>
                </w14:textFill>
              </w:rPr>
              <w:t>，并同步完善环保设施。项目建成后，将提供汽油、柴油加油服务，年供应0#柴油1000t/a，年供应92#汽油2000t/a，年供应95#汽油1000t/a。</w:t>
            </w:r>
          </w:p>
          <w:p>
            <w:pPr>
              <w:pStyle w:val="3"/>
              <w:rPr>
                <w:color w:val="000000" w:themeColor="text1"/>
                <w14:textFill>
                  <w14:solidFill>
                    <w14:schemeClr w14:val="tx1"/>
                  </w14:solidFill>
                </w14:textFill>
              </w:rPr>
            </w:pPr>
            <w:r>
              <w:rPr>
                <w:color w:val="000000" w:themeColor="text1"/>
                <w14:textFill>
                  <w14:solidFill>
                    <w14:schemeClr w14:val="tx1"/>
                  </w14:solidFill>
                </w14:textFill>
              </w:rPr>
              <w:t>1.2产业政策</w:t>
            </w:r>
            <w:r>
              <w:rPr>
                <w:rFonts w:hint="eastAsia"/>
                <w:color w:val="000000" w:themeColor="text1"/>
                <w14:textFill>
                  <w14:solidFill>
                    <w14:schemeClr w14:val="tx1"/>
                  </w14:solidFill>
                </w14:textFill>
              </w:rPr>
              <w:t>符合性</w:t>
            </w:r>
            <w:r>
              <w:rPr>
                <w:color w:val="000000" w:themeColor="text1"/>
                <w14:textFill>
                  <w14:solidFill>
                    <w14:schemeClr w14:val="tx1"/>
                  </w14:solidFill>
                </w14:textFill>
              </w:rPr>
              <w:t>分析</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选址祁东县洪桥镇洪丰村G322线北侧，本项目取得了祁东县的《建设工程规划许可证》，具体见附件3。符合祁东县城乡规划要求。项目符合祁东县加油站布点规划，具体见附件6。符合祁东县加油站布点规划要求。</w:t>
            </w:r>
          </w:p>
          <w:p>
            <w:pPr>
              <w:pStyle w:val="3"/>
              <w:rPr>
                <w:color w:val="000000" w:themeColor="text1"/>
                <w14:textFill>
                  <w14:solidFill>
                    <w14:schemeClr w14:val="tx1"/>
                  </w14:solidFill>
                </w14:textFill>
              </w:rPr>
            </w:pPr>
            <w:r>
              <w:rPr>
                <w:color w:val="000000" w:themeColor="text1"/>
                <w14:textFill>
                  <w14:solidFill>
                    <w14:schemeClr w14:val="tx1"/>
                  </w14:solidFill>
                </w14:textFill>
              </w:rPr>
              <w:t>1.3区域环境质量</w:t>
            </w:r>
            <w:r>
              <w:rPr>
                <w:rFonts w:hint="eastAsia"/>
                <w:color w:val="000000" w:themeColor="text1"/>
                <w14:textFill>
                  <w14:solidFill>
                    <w14:schemeClr w14:val="tx1"/>
                  </w14:solidFill>
                </w14:textFill>
              </w:rPr>
              <w:t>分析结论</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（1）环境空气</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根据衡阳市</w:t>
            </w:r>
            <w:r>
              <w:rPr>
                <w:rFonts w:hint="eastAsia"/>
                <w:color w:val="000000" w:themeColor="text1"/>
                <w14:textFill>
                  <w14:solidFill>
                    <w14:schemeClr w14:val="tx1"/>
                  </w14:solidFill>
                </w14:textFill>
              </w:rPr>
              <w:t>环境保护局发布的</w:t>
            </w:r>
            <w:r>
              <w:rPr>
                <w:color w:val="000000" w:themeColor="text1"/>
                <w14:textFill>
                  <w14:solidFill>
                    <w14:schemeClr w14:val="tx1"/>
                  </w14:solidFill>
                </w14:textFill>
              </w:rPr>
              <w:t>《关于2018年12月及1~12月全市环境质量状况的通报》，祁东县二氧化硫和二氧化氮年平均质量浓度、可吸入颗粒物（PM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）年平均质量浓度、一氧化碳年评价浓度（第95百分位数）、臭氧年评价浓度（第90百分位数）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细颗粒物（PM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）年平均质量浓度均达到《环境空气质量标准》（GB3095-2012）二级标准，项目所在区域为达标区。</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同时本次评价引用了《祁东县粤新汽车销售服务有限公司环境影响报告表》中的监测数据对本项目所在区域非甲烷总烃环境质量现状进行了评价，监测结果表明，项目所在区域非甲烷总烃可以满足《大气污染物综合排放标准详解》中的一次值取值。</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（2）地表水环境</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根据衡阳市生态环境局发布的关于2018年12月及1-12月我市环境质量状况的通报可知，</w:t>
            </w:r>
            <w:r>
              <w:rPr>
                <w:rFonts w:hint="eastAsia"/>
                <w:color w:val="000000" w:themeColor="text1"/>
                <w14:textFill>
                  <w14:solidFill>
                    <w14:schemeClr w14:val="tx1"/>
                  </w14:solidFill>
                </w14:textFill>
              </w:rPr>
              <w:t>本项目所在区域水环境质量达标</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（3）声环境</w:t>
            </w:r>
          </w:p>
          <w:p>
            <w:pPr>
              <w:pStyle w:val="54"/>
              <w:spacing w:before="156" w:beforeLines="50"/>
              <w:ind w:firstLine="480"/>
              <w:rPr>
                <w:color w:val="000000" w:themeColor="text1"/>
                <w14:textFill>
                  <w14:solidFill>
                    <w14:schemeClr w14:val="tx1"/>
                  </w14:solidFill>
                </w14:textFill>
              </w:rPr>
            </w:pPr>
            <w:r>
              <w:rPr>
                <w:color w:val="000000" w:themeColor="text1"/>
                <w14:textFill>
                  <w14:solidFill>
                    <w14:schemeClr w14:val="tx1"/>
                  </w14:solidFill>
                </w14:textFill>
              </w:rPr>
              <w:t>根据监测结果可知，区域场界</w:t>
            </w:r>
            <w:r>
              <w:rPr>
                <w:rFonts w:hint="eastAsia"/>
                <w:color w:val="000000" w:themeColor="text1"/>
                <w14:textFill>
                  <w14:solidFill>
                    <w14:schemeClr w14:val="tx1"/>
                  </w14:solidFill>
                </w14:textFill>
              </w:rPr>
              <w:t>东、西、北三侧噪声监测结果可以满足</w:t>
            </w:r>
            <w:r>
              <w:rPr>
                <w:color w:val="000000" w:themeColor="text1"/>
                <w14:textFill>
                  <w14:solidFill>
                    <w14:schemeClr w14:val="tx1"/>
                  </w14:solidFill>
                </w14:textFill>
              </w:rPr>
              <w:t>《声环境质量标准》（GB3096-2008）</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类标准</w:t>
            </w:r>
            <w:r>
              <w:rPr>
                <w:rFonts w:hint="eastAsia"/>
                <w:color w:val="000000" w:themeColor="text1"/>
                <w14:textFill>
                  <w14:solidFill>
                    <w14:schemeClr w14:val="tx1"/>
                  </w14:solidFill>
                </w14:textFill>
              </w:rPr>
              <w:t>，南侧噪声监测结果可以满足</w:t>
            </w:r>
            <w:r>
              <w:rPr>
                <w:color w:val="000000" w:themeColor="text1"/>
                <w14:textFill>
                  <w14:solidFill>
                    <w14:schemeClr w14:val="tx1"/>
                  </w14:solidFill>
                </w14:textFill>
              </w:rPr>
              <w:t>《声环境质量标准》（GB3096-2008）</w:t>
            </w:r>
            <w:r>
              <w:rPr>
                <w:rFonts w:hint="eastAsia"/>
                <w:color w:val="000000" w:themeColor="text1"/>
                <w14:textFill>
                  <w14:solidFill>
                    <w14:schemeClr w14:val="tx1"/>
                  </w14:solidFill>
                </w14:textFill>
              </w:rPr>
              <w:t>4a</w:t>
            </w:r>
            <w:r>
              <w:rPr>
                <w:color w:val="000000" w:themeColor="text1"/>
                <w14:textFill>
                  <w14:solidFill>
                    <w14:schemeClr w14:val="tx1"/>
                  </w14:solidFill>
                </w14:textFill>
              </w:rPr>
              <w:t>类标准。</w:t>
            </w:r>
          </w:p>
          <w:p>
            <w:pPr>
              <w:pStyle w:val="3"/>
              <w:rPr>
                <w:color w:val="000000" w:themeColor="text1"/>
                <w14:textFill>
                  <w14:solidFill>
                    <w14:schemeClr w14:val="tx1"/>
                  </w14:solidFill>
                </w14:textFill>
              </w:rPr>
            </w:pPr>
            <w:r>
              <w:rPr>
                <w:color w:val="000000" w:themeColor="text1"/>
                <w14:textFill>
                  <w14:solidFill>
                    <w14:schemeClr w14:val="tx1"/>
                  </w14:solidFill>
                </w14:textFill>
              </w:rPr>
              <w:t>1.4环境影响分析</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1.4.1施工期环境影响分析结论</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施工期将产生噪声、扬尘、建筑垃圾和生活垃圾。由于施工期时间有限，影响范围以局部污染为主，因此施工期重点是加强管理，只要精心安排，施工进度严格管理，对扬尘、噪声采取有效措施进行控制、治理，建筑和生活垃圾按规定处理，采取一定的措施防治水土流失，这样可将污染减少到较低程度。</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1.4.2营运期环境影响分析结论</w:t>
            </w:r>
          </w:p>
          <w:p>
            <w:pPr>
              <w:pStyle w:val="54"/>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废气：</w:t>
            </w:r>
            <w:r>
              <w:rPr>
                <w:rFonts w:hint="eastAsia"/>
                <w:color w:val="000000" w:themeColor="text1"/>
                <w14:textFill>
                  <w14:solidFill>
                    <w14:schemeClr w14:val="tx1"/>
                  </w14:solidFill>
                </w14:textFill>
              </w:rPr>
              <w:t>项目营运期产生的大气污染物主要是加油加气站在油品收发过程产生的废气，其污染因子为非甲烷总烃。此部分废气经过油气回收装置处理后，可以大大降低加油加气站非甲烷总烃的排放。对周边环境影响较小，经预测分析，项目场界无超标点，因此，本项目不设置大气环境防护距离。项目产生的柴油发电机废气、汽车尾气的均以无组织的形式外排。不会给周边环境带来明显影响。</w:t>
            </w:r>
          </w:p>
          <w:p>
            <w:pPr>
              <w:pStyle w:val="54"/>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废水：</w:t>
            </w:r>
            <w:r>
              <w:rPr>
                <w:rFonts w:hint="eastAsia"/>
                <w:color w:val="000000" w:themeColor="text1"/>
                <w14:textFill>
                  <w14:solidFill>
                    <w14:schemeClr w14:val="tx1"/>
                  </w14:solidFill>
                </w14:textFill>
              </w:rPr>
              <w:t>项目产生的生活污水经过化粪池处理后，和经过隔油沉淀池处理后的地面冲洗废水一起排入市政污水管网，进入祁东县渔陂污水处理厂处理后，排入白河。对地表水体水质影响很小。</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埋式储油罐一旦发生渗漏，会对地下水源造成污染，影响人体健康。项目采用了良好的储油设备，对储罐池采取了有效的防渗措施，储罐池内设有1个观察井，井深约4.5米，安排专人进行管理和定期监测，一旦发现问题，可立即采取措施防止事故蔓延，因此对地下水源影响较小。</w:t>
            </w:r>
          </w:p>
          <w:p>
            <w:pPr>
              <w:pStyle w:val="54"/>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噪声：</w:t>
            </w:r>
            <w:r>
              <w:rPr>
                <w:rFonts w:hint="eastAsia"/>
                <w:color w:val="000000" w:themeColor="text1"/>
                <w14:textFill>
                  <w14:solidFill>
                    <w14:schemeClr w14:val="tx1"/>
                  </w14:solidFill>
                </w14:textFill>
              </w:rPr>
              <w:t>项目营运期噪声主要为油气回收系统的回收泵运行产生的机械噪声及进出站车辆的交通噪声、柴油发电机。为了减轻噪声对加油站周边声环境的影响，项目选用的油气回收泵为低噪声设备，业主单位在加油站入口处设置了减速及禁止鸣笛标志，备用柴油发电机设在专门的设备房内，设备房采用吸声消声材料处理。所有有振动的设备均设减振基础或吊架，接管设柔性减振接头。项目西面、北面、东面设置围墙，设备机械噪声及车辆交通噪声经墙体阻隔及空间距离衰减后，对周围环境影响较小。</w:t>
            </w:r>
          </w:p>
          <w:p>
            <w:pPr>
              <w:pStyle w:val="54"/>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固废：</w:t>
            </w:r>
            <w:r>
              <w:rPr>
                <w:rFonts w:hint="eastAsia"/>
                <w:color w:val="000000" w:themeColor="text1"/>
                <w14:textFill>
                  <w14:solidFill>
                    <w14:schemeClr w14:val="tx1"/>
                  </w14:solidFill>
                </w14:textFill>
              </w:rPr>
              <w:t>本项目营运期固体废物包括油罐油泥、隔油池污泥及员工生活垃圾等。油罐油泥、隔油池污泥交由清罐公司带走处置，不在厂区内设置危险废物暂存间暂存；生活垃圾在厂区内设置生活垃圾收集桶，收集后交由城市环卫部门清运处理。</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风险分析：根据项目营运期可能产生的环境风险提出相应的预防及应急处置措施后，本项目营运期环境风险是可防控的</w:t>
            </w:r>
            <w:r>
              <w:rPr>
                <w:color w:val="000000" w:themeColor="text1"/>
                <w14:textFill>
                  <w14:solidFill>
                    <w14:schemeClr w14:val="tx1"/>
                  </w14:solidFill>
                </w14:textFill>
              </w:rPr>
              <w:t>。</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1.5项目选址合理性分析</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w:t>
            </w:r>
            <w:r>
              <w:rPr>
                <w:color w:val="000000" w:themeColor="text1"/>
                <w:szCs w:val="22"/>
                <w14:textFill>
                  <w14:solidFill>
                    <w14:schemeClr w14:val="tx1"/>
                  </w14:solidFill>
                </w14:textFill>
              </w:rPr>
              <w:t>祁东县洪桥镇洪丰村G322线北侧</w:t>
            </w:r>
            <w:r>
              <w:rPr>
                <w:rFonts w:hint="eastAsia"/>
                <w:color w:val="000000" w:themeColor="text1"/>
                <w14:textFill>
                  <w14:solidFill>
                    <w14:schemeClr w14:val="tx1"/>
                  </w14:solidFill>
                </w14:textFill>
              </w:rPr>
              <w:t>。本项目区域环境空气属于二类功能区，项目污水排入市政污水管网，进入铜桥港污水处理厂处理，项目所处声环境功能区属于2、4a类区。项目建设运营不会改变所在区域地表水体、环境空气、声环境等的功能要求。因此，本项目的建设与区域环境功能区划是相符的。</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结合《汽车加油加气站设计与施工规范》（GB50156-2012）中的相关规定，项目周边的建筑物、配电站等与加油站油罐、加油机、通气管口应设置一定安全防护距离均能够满足要求。项目选址合理。</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1.6平面布置合理性分析</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项目属于改建加油站项目，将原有加油站全部推平重建，位于</w:t>
            </w:r>
            <w:r>
              <w:rPr>
                <w:color w:val="000000" w:themeColor="text1"/>
                <w:szCs w:val="22"/>
                <w14:textFill>
                  <w14:solidFill>
                    <w14:schemeClr w14:val="tx1"/>
                  </w14:solidFill>
                </w14:textFill>
              </w:rPr>
              <w:t>祁东县洪桥镇洪丰村G322线北侧</w:t>
            </w:r>
            <w:r>
              <w:rPr>
                <w:rFonts w:hint="eastAsia"/>
                <w:color w:val="000000" w:themeColor="text1"/>
                <w14:textFill>
                  <w14:solidFill>
                    <w14:schemeClr w14:val="tx1"/>
                  </w14:solidFill>
                </w14:textFill>
              </w:rPr>
              <w:t>，加油车辆由东南侧路进入，加完油后由西南侧出站，加油过程无任何交通冲突点和交织点，行车路线布置较好。油罐区为重点布设区，设在项目罩棚地下，储油罐为地埋卧室储油罐，站房布置在场地中心位置，辅助用房设置在用地的西侧，其余用地为道路和绿化用地。站内布置严格按照《汽车加油加气站设计与施工规范》（GB50156-2012）的要求设计。</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结合《汽车加油加气站设计与施工规范》（GB50156-2012）中相关规定，各项指标均满足《汽车加油加气站设计与施工规范》（GB50156-2012）中的要求，且物流短捷，人流、物流互不交叉干扰，有机地协调了与服务区环境的关系，建设与保护的关系。因此本项目总平面布局是合理的。</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1.7总量控制</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根据工程分析，项目营运期产生的废水可在厂区内处理后经市政污水管网引至祁东县渔陂污水处理厂处理，</w:t>
            </w:r>
            <w:r>
              <w:rPr>
                <w:color w:val="000000" w:themeColor="text1"/>
                <w14:textFill>
                  <w14:solidFill>
                    <w14:schemeClr w14:val="tx1"/>
                  </w14:solidFill>
                </w14:textFill>
              </w:rPr>
              <w:t>项目营运期废气主要是</w:t>
            </w:r>
            <w:r>
              <w:rPr>
                <w:color w:val="000000" w:themeColor="text1"/>
                <w:szCs w:val="24"/>
                <w14:textFill>
                  <w14:solidFill>
                    <w14:schemeClr w14:val="tx1"/>
                  </w14:solidFill>
                </w14:textFill>
              </w:rPr>
              <w:t>汽油储油、卸油、加油</w:t>
            </w:r>
            <w:r>
              <w:rPr>
                <w:rFonts w:hint="eastAsia"/>
                <w:color w:val="000000" w:themeColor="text1"/>
                <w:szCs w:val="24"/>
                <w14:textFill>
                  <w14:solidFill>
                    <w14:schemeClr w14:val="tx1"/>
                  </w14:solidFill>
                </w14:textFill>
              </w:rPr>
              <w:t>过程中油品挥发产生的非甲烷总烃</w:t>
            </w:r>
            <w:r>
              <w:rPr>
                <w:rFonts w:hint="eastAsia"/>
                <w:color w:val="000000" w:themeColor="text1"/>
                <w14:textFill>
                  <w14:solidFill>
                    <w14:schemeClr w14:val="tx1"/>
                  </w14:solidFill>
                </w14:textFill>
              </w:rPr>
              <w:t>，无</w:t>
            </w: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及NOx的产生及排放</w:t>
            </w:r>
            <w:r>
              <w:rPr>
                <w:rFonts w:hint="eastAsia"/>
                <w:color w:val="000000" w:themeColor="text1"/>
                <w14:textFill>
                  <w14:solidFill>
                    <w14:schemeClr w14:val="tx1"/>
                  </w14:solidFill>
                </w14:textFill>
              </w:rPr>
              <w:t>。故本项目无需申请总量指标。</w:t>
            </w:r>
          </w:p>
          <w:p>
            <w:pPr>
              <w:pStyle w:val="54"/>
              <w:ind w:firstLine="480"/>
              <w:rPr>
                <w:b/>
                <w:bCs/>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本项目运营期非甲烷总烃排放量为2.005t/a。</w:t>
            </w:r>
          </w:p>
          <w:p>
            <w:pPr>
              <w:pStyle w:val="3"/>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评价结论</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建设符合国家产业政策；各项污染物控制治理措施可行，经有效处理后各项污染物能做到达标排放，对外环境影响不大，环境空气和噪声功能区能满足相应控制标准；实施并落实建设单位风险防范措施的前提下，项目环境风险较小。在落实上述各项环保措施的基础上本项目具备环境可行性。</w:t>
            </w:r>
          </w:p>
          <w:p>
            <w:pPr>
              <w:spacing w:line="360" w:lineRule="auto"/>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二、要求与建议</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（1）应严格执行环保设施与主体工程同时设计、同时施工、同时运行使用的“三同时”制度，确保项目运营过程各项污染指标都达标排放。</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（2）加油站应按《汽车加油加气设计与施工规范》（GB50156-2012）进行设计、施工，建成后经验收合格，并领取《危险化学品经营许可证》，方可投入经营。</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项目虽然工艺污染物产生极少，但根据其项目的特殊性，必须建立健全环境安全管理制度，设备维护制度，提出的各项安全防范措施和抢险、消防措施，把风险事故降到最小，杜绝较大事故的产生，防止对环境和人民生命财产安全的威胁。</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（4）优化加油站内布置，保证站内道路畅通，降低加油车辆滞留时间。</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加强安全管理严格岗位责任，平时应加强管理，减少跑、冒、滴、漏，同时加油站应注意日常消防等工作，不能出现漏油、火灾等恶性事故；预防火灾、爆炸事故的发生。消防、安全生产严格按消防部门和安全生产监督管理部门的要求执行。</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（6）加强设备的日常维护管理，避免因设备运转不正常时噪声的增高。</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（7）及时妥善处理固体废物，做到站内无堆存，避免产生二次污染。</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（8）建设项目的基础资料由建设单位提供，并对其准确性负责。建设单位若未来需增加本评价所涉及之外的污染源或对其工艺进行调整，则应按要求向环保部门重新申报。</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（9）对项目管理人员和职工进行必要的环保知识培训，增强环保意识。</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上述评价结果是根据建设方提供的规模、工艺、布局所做出的，如建设方扩大规模、变动工艺、改变布局，建设方必须按照环保要求重新申报。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7005" w:hRule="atLeast"/>
          <w:jc w:val="center"/>
        </w:trPr>
        <w:tc>
          <w:tcPr>
            <w:tcW w:w="9400" w:type="dxa"/>
          </w:tcPr>
          <w:p>
            <w:pPr>
              <w:spacing w:before="24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审批意见：</w:t>
            </w: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公  章</w:t>
            </w: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经办人：                                         年    月    日</w:t>
            </w:r>
          </w:p>
          <w:p>
            <w:pPr>
              <w:snapToGrid w:val="0"/>
              <w:spacing w:line="360" w:lineRule="auto"/>
              <w:rPr>
                <w:rFonts w:ascii="Times New Roman" w:hAnsi="Times New Roman"/>
                <w:color w:val="000000" w:themeColor="text1"/>
                <w:sz w:val="24"/>
                <w14:textFill>
                  <w14:solidFill>
                    <w14:schemeClr w14:val="tx1"/>
                  </w14:solidFill>
                </w14:textFill>
              </w:rPr>
            </w:pPr>
          </w:p>
        </w:tc>
      </w:tr>
    </w:tbl>
    <w:p>
      <w:pPr>
        <w:adjustRightInd w:val="0"/>
        <w:snapToGrid w:val="0"/>
        <w:spacing w:line="360" w:lineRule="auto"/>
        <w:ind w:firstLine="570"/>
        <w:jc w:val="center"/>
        <w:rPr>
          <w:rFonts w:ascii="Times New Roman" w:hAnsi="Times New Roman"/>
          <w:color w:val="000000" w:themeColor="text1"/>
          <w14:textFill>
            <w14:solidFill>
              <w14:schemeClr w14:val="tx1"/>
            </w14:solidFill>
          </w14:textFill>
        </w:rPr>
      </w:pPr>
    </w:p>
    <w:sectPr>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昆仑仿宋">
    <w:altName w:val="黑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Kingsoft Phonetic Plain">
    <w:altName w:val="Segoe Print"/>
    <w:panose1 w:val="00000000000000000000"/>
    <w:charset w:val="02"/>
    <w:family w:val="auto"/>
    <w:pitch w:val="default"/>
    <w:sig w:usb0="00000000" w:usb1="00000000" w:usb2="00000000" w:usb3="00000000" w:csb0="80000000" w:csb1="00000000"/>
  </w:font>
  <w:font w:name="文鼎CS中宋">
    <w:altName w:val="宋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Pr>
    </w:pPr>
    <w:r>
      <w:fldChar w:fldCharType="begin"/>
    </w:r>
    <w:r>
      <w:rPr>
        <w:rStyle w:val="32"/>
      </w:rPr>
      <w:instrText xml:space="preserve">PAGE  </w:instrTex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20</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84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840" cy="139700"/>
                      </a:xfrm>
                      <a:prstGeom prst="rect">
                        <a:avLst/>
                      </a:prstGeom>
                      <a:noFill/>
                      <a:ln>
                        <a:noFill/>
                      </a:ln>
                    </wps:spPr>
                    <wps:txbx>
                      <w:txbxContent>
                        <w:p>
                          <w:pPr>
                            <w:pStyle w:val="17"/>
                            <w:jc w:val="center"/>
                          </w:pPr>
                          <w:r>
                            <w:fldChar w:fldCharType="begin"/>
                          </w:r>
                          <w:r>
                            <w:instrText xml:space="preserve">PAGE   \* MERGEFORMAT</w:instrText>
                          </w:r>
                          <w:r>
                            <w:fldChar w:fldCharType="separate"/>
                          </w:r>
                          <w:r>
                            <w:rPr>
                              <w:lang w:val="zh-CN"/>
                            </w:rPr>
                            <w:t>69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2pt;mso-position-horizontal:center;mso-position-horizontal-relative:margin;mso-wrap-style:none;z-index:251658240;mso-width-relative:page;mso-height-relative:page;" filled="f" stroked="f" coordsize="21600,21600" o:gfxdata="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BoQ8bQAAAA&#10;AwEAAA8AAAAAAAAAAQAgAAAAIgAAAGRycy9kb3ducmV2LnhtbFBLAQIUABQAAAAIAIdO4kCG66rA&#10;7AEAALQDAAAOAAAAAAAAAAEAIAAAAB8BAABkcnMvZTJvRG9jLnhtbFBLBQYAAAAABgAGAFkBAAB9&#10;BQAAAAA=&#10;">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69</w:t>
                    </w:r>
                    <w:r>
                      <w:fldChar w:fldCharType="end"/>
                    </w:r>
                  </w:p>
                </w:txbxContent>
              </v:textbox>
            </v:shape>
          </w:pict>
        </mc:Fallback>
      </mc:AlternateContent>
    </w:r>
  </w:p>
  <w:p>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6E"/>
    <w:rsid w:val="0000097A"/>
    <w:rsid w:val="000009B7"/>
    <w:rsid w:val="000015F9"/>
    <w:rsid w:val="0000173D"/>
    <w:rsid w:val="00002B11"/>
    <w:rsid w:val="00003875"/>
    <w:rsid w:val="00003C58"/>
    <w:rsid w:val="00003C92"/>
    <w:rsid w:val="00003ED6"/>
    <w:rsid w:val="00004B6F"/>
    <w:rsid w:val="00005537"/>
    <w:rsid w:val="00005A31"/>
    <w:rsid w:val="000062EA"/>
    <w:rsid w:val="00006DCD"/>
    <w:rsid w:val="00006E0B"/>
    <w:rsid w:val="00007F6B"/>
    <w:rsid w:val="0001021D"/>
    <w:rsid w:val="000104A3"/>
    <w:rsid w:val="00010EF6"/>
    <w:rsid w:val="00010F02"/>
    <w:rsid w:val="00011467"/>
    <w:rsid w:val="000118D0"/>
    <w:rsid w:val="00011C03"/>
    <w:rsid w:val="00012E5C"/>
    <w:rsid w:val="000132D6"/>
    <w:rsid w:val="00013846"/>
    <w:rsid w:val="00014DBC"/>
    <w:rsid w:val="00015115"/>
    <w:rsid w:val="0001519D"/>
    <w:rsid w:val="00015DA8"/>
    <w:rsid w:val="000167D1"/>
    <w:rsid w:val="00016F22"/>
    <w:rsid w:val="00017DED"/>
    <w:rsid w:val="0002095E"/>
    <w:rsid w:val="00020B7E"/>
    <w:rsid w:val="00020F03"/>
    <w:rsid w:val="00020FF5"/>
    <w:rsid w:val="000239B1"/>
    <w:rsid w:val="000242BF"/>
    <w:rsid w:val="00024777"/>
    <w:rsid w:val="00024D99"/>
    <w:rsid w:val="00025446"/>
    <w:rsid w:val="000259D1"/>
    <w:rsid w:val="000263CE"/>
    <w:rsid w:val="0002683D"/>
    <w:rsid w:val="00026F81"/>
    <w:rsid w:val="00030167"/>
    <w:rsid w:val="000313FD"/>
    <w:rsid w:val="0003142B"/>
    <w:rsid w:val="00032A1D"/>
    <w:rsid w:val="00033321"/>
    <w:rsid w:val="0003448E"/>
    <w:rsid w:val="00035B8A"/>
    <w:rsid w:val="00036437"/>
    <w:rsid w:val="00036639"/>
    <w:rsid w:val="00036E76"/>
    <w:rsid w:val="0003731E"/>
    <w:rsid w:val="00037889"/>
    <w:rsid w:val="00037AF4"/>
    <w:rsid w:val="00037E96"/>
    <w:rsid w:val="00040B2D"/>
    <w:rsid w:val="000425ED"/>
    <w:rsid w:val="000440D0"/>
    <w:rsid w:val="000446AC"/>
    <w:rsid w:val="000450E4"/>
    <w:rsid w:val="00045D43"/>
    <w:rsid w:val="00045EBC"/>
    <w:rsid w:val="000469B3"/>
    <w:rsid w:val="00046E25"/>
    <w:rsid w:val="0004798B"/>
    <w:rsid w:val="00047BD4"/>
    <w:rsid w:val="0005005D"/>
    <w:rsid w:val="000502DA"/>
    <w:rsid w:val="00050CA2"/>
    <w:rsid w:val="0005130B"/>
    <w:rsid w:val="000516FD"/>
    <w:rsid w:val="0005232E"/>
    <w:rsid w:val="000533B3"/>
    <w:rsid w:val="000540B8"/>
    <w:rsid w:val="0005442A"/>
    <w:rsid w:val="00054914"/>
    <w:rsid w:val="00055771"/>
    <w:rsid w:val="000560DF"/>
    <w:rsid w:val="0005768C"/>
    <w:rsid w:val="000579CC"/>
    <w:rsid w:val="00057EF3"/>
    <w:rsid w:val="000601BB"/>
    <w:rsid w:val="000609B6"/>
    <w:rsid w:val="00060C58"/>
    <w:rsid w:val="00062822"/>
    <w:rsid w:val="00063514"/>
    <w:rsid w:val="00063D6C"/>
    <w:rsid w:val="000649D4"/>
    <w:rsid w:val="00065059"/>
    <w:rsid w:val="0006515B"/>
    <w:rsid w:val="00065BA1"/>
    <w:rsid w:val="0006637B"/>
    <w:rsid w:val="00066651"/>
    <w:rsid w:val="0006694D"/>
    <w:rsid w:val="00067D81"/>
    <w:rsid w:val="00067F6C"/>
    <w:rsid w:val="00070841"/>
    <w:rsid w:val="00070FCE"/>
    <w:rsid w:val="000721D3"/>
    <w:rsid w:val="00073CB2"/>
    <w:rsid w:val="000740D2"/>
    <w:rsid w:val="000755BF"/>
    <w:rsid w:val="00077941"/>
    <w:rsid w:val="00077CEB"/>
    <w:rsid w:val="00080243"/>
    <w:rsid w:val="00081D09"/>
    <w:rsid w:val="00083610"/>
    <w:rsid w:val="00083A4F"/>
    <w:rsid w:val="00084B24"/>
    <w:rsid w:val="0008512F"/>
    <w:rsid w:val="000861CE"/>
    <w:rsid w:val="00086CF5"/>
    <w:rsid w:val="00087005"/>
    <w:rsid w:val="00087629"/>
    <w:rsid w:val="00087F75"/>
    <w:rsid w:val="00087FA4"/>
    <w:rsid w:val="00090544"/>
    <w:rsid w:val="00090615"/>
    <w:rsid w:val="00091206"/>
    <w:rsid w:val="00092047"/>
    <w:rsid w:val="000924AD"/>
    <w:rsid w:val="00092EA9"/>
    <w:rsid w:val="00093FBA"/>
    <w:rsid w:val="000953EA"/>
    <w:rsid w:val="00095437"/>
    <w:rsid w:val="0009565F"/>
    <w:rsid w:val="000960A1"/>
    <w:rsid w:val="00096C2C"/>
    <w:rsid w:val="000971DD"/>
    <w:rsid w:val="00097CEC"/>
    <w:rsid w:val="000A1744"/>
    <w:rsid w:val="000A30C4"/>
    <w:rsid w:val="000A3D1D"/>
    <w:rsid w:val="000A4E18"/>
    <w:rsid w:val="000A6F1E"/>
    <w:rsid w:val="000B0650"/>
    <w:rsid w:val="000B11DF"/>
    <w:rsid w:val="000B1D39"/>
    <w:rsid w:val="000B23A3"/>
    <w:rsid w:val="000B27C7"/>
    <w:rsid w:val="000B36C2"/>
    <w:rsid w:val="000B3A38"/>
    <w:rsid w:val="000B429B"/>
    <w:rsid w:val="000B6A9F"/>
    <w:rsid w:val="000C0B32"/>
    <w:rsid w:val="000C1625"/>
    <w:rsid w:val="000C17D9"/>
    <w:rsid w:val="000C19D9"/>
    <w:rsid w:val="000C1B07"/>
    <w:rsid w:val="000C35FA"/>
    <w:rsid w:val="000C6CC9"/>
    <w:rsid w:val="000C7051"/>
    <w:rsid w:val="000D192C"/>
    <w:rsid w:val="000D301D"/>
    <w:rsid w:val="000D3295"/>
    <w:rsid w:val="000D39DA"/>
    <w:rsid w:val="000D3CBA"/>
    <w:rsid w:val="000D4957"/>
    <w:rsid w:val="000D5AE4"/>
    <w:rsid w:val="000D5B94"/>
    <w:rsid w:val="000D5F19"/>
    <w:rsid w:val="000D5F68"/>
    <w:rsid w:val="000D65A6"/>
    <w:rsid w:val="000D6BA7"/>
    <w:rsid w:val="000D7756"/>
    <w:rsid w:val="000D7C20"/>
    <w:rsid w:val="000E158B"/>
    <w:rsid w:val="000E2835"/>
    <w:rsid w:val="000E30DB"/>
    <w:rsid w:val="000E4A49"/>
    <w:rsid w:val="000E5D10"/>
    <w:rsid w:val="000E5D8B"/>
    <w:rsid w:val="000E66A8"/>
    <w:rsid w:val="000E6BE4"/>
    <w:rsid w:val="000E79E4"/>
    <w:rsid w:val="000E7EF8"/>
    <w:rsid w:val="000F05F8"/>
    <w:rsid w:val="000F0637"/>
    <w:rsid w:val="000F0777"/>
    <w:rsid w:val="000F1534"/>
    <w:rsid w:val="000F1A17"/>
    <w:rsid w:val="000F2081"/>
    <w:rsid w:val="000F2439"/>
    <w:rsid w:val="000F266F"/>
    <w:rsid w:val="000F2ECB"/>
    <w:rsid w:val="000F3563"/>
    <w:rsid w:val="000F3D95"/>
    <w:rsid w:val="000F4240"/>
    <w:rsid w:val="000F6EA6"/>
    <w:rsid w:val="00100811"/>
    <w:rsid w:val="0010172C"/>
    <w:rsid w:val="00101A6F"/>
    <w:rsid w:val="0010234D"/>
    <w:rsid w:val="00102794"/>
    <w:rsid w:val="00102A11"/>
    <w:rsid w:val="001032B1"/>
    <w:rsid w:val="00103BD7"/>
    <w:rsid w:val="00104271"/>
    <w:rsid w:val="00104C7F"/>
    <w:rsid w:val="00104E6B"/>
    <w:rsid w:val="00105918"/>
    <w:rsid w:val="00106609"/>
    <w:rsid w:val="00107A66"/>
    <w:rsid w:val="00107AD6"/>
    <w:rsid w:val="00110F11"/>
    <w:rsid w:val="00111BD8"/>
    <w:rsid w:val="00111D97"/>
    <w:rsid w:val="001125B7"/>
    <w:rsid w:val="00112A1E"/>
    <w:rsid w:val="00112A88"/>
    <w:rsid w:val="00113008"/>
    <w:rsid w:val="00115B23"/>
    <w:rsid w:val="00115C3D"/>
    <w:rsid w:val="00116182"/>
    <w:rsid w:val="0011667B"/>
    <w:rsid w:val="00117AFF"/>
    <w:rsid w:val="00117DB5"/>
    <w:rsid w:val="0012000D"/>
    <w:rsid w:val="0012015F"/>
    <w:rsid w:val="00122E56"/>
    <w:rsid w:val="001244D0"/>
    <w:rsid w:val="00125FEB"/>
    <w:rsid w:val="00126238"/>
    <w:rsid w:val="00126BC7"/>
    <w:rsid w:val="00130116"/>
    <w:rsid w:val="00130755"/>
    <w:rsid w:val="00131157"/>
    <w:rsid w:val="00132B16"/>
    <w:rsid w:val="00132EFD"/>
    <w:rsid w:val="001334CF"/>
    <w:rsid w:val="0013455E"/>
    <w:rsid w:val="00135634"/>
    <w:rsid w:val="001356E1"/>
    <w:rsid w:val="00137B84"/>
    <w:rsid w:val="0014042C"/>
    <w:rsid w:val="001404D4"/>
    <w:rsid w:val="00140C75"/>
    <w:rsid w:val="00141418"/>
    <w:rsid w:val="00142524"/>
    <w:rsid w:val="00145217"/>
    <w:rsid w:val="00145322"/>
    <w:rsid w:val="00145545"/>
    <w:rsid w:val="001462C2"/>
    <w:rsid w:val="0014633A"/>
    <w:rsid w:val="001463D3"/>
    <w:rsid w:val="00146630"/>
    <w:rsid w:val="00147C59"/>
    <w:rsid w:val="00150E91"/>
    <w:rsid w:val="001527DC"/>
    <w:rsid w:val="00152987"/>
    <w:rsid w:val="001549F4"/>
    <w:rsid w:val="00154E5F"/>
    <w:rsid w:val="00155519"/>
    <w:rsid w:val="0015592D"/>
    <w:rsid w:val="001570F2"/>
    <w:rsid w:val="00157B8D"/>
    <w:rsid w:val="001600E4"/>
    <w:rsid w:val="00160145"/>
    <w:rsid w:val="0016083D"/>
    <w:rsid w:val="001609A0"/>
    <w:rsid w:val="00161884"/>
    <w:rsid w:val="001621A6"/>
    <w:rsid w:val="00162F67"/>
    <w:rsid w:val="00162FDB"/>
    <w:rsid w:val="00163FFB"/>
    <w:rsid w:val="00164C4B"/>
    <w:rsid w:val="001651C7"/>
    <w:rsid w:val="001652D8"/>
    <w:rsid w:val="001660DD"/>
    <w:rsid w:val="00166C21"/>
    <w:rsid w:val="00167FB8"/>
    <w:rsid w:val="00170C4B"/>
    <w:rsid w:val="00171461"/>
    <w:rsid w:val="001720F1"/>
    <w:rsid w:val="001721E9"/>
    <w:rsid w:val="00172A27"/>
    <w:rsid w:val="0017525A"/>
    <w:rsid w:val="00175851"/>
    <w:rsid w:val="0017605E"/>
    <w:rsid w:val="00176973"/>
    <w:rsid w:val="00176983"/>
    <w:rsid w:val="00180293"/>
    <w:rsid w:val="00181E10"/>
    <w:rsid w:val="001842BF"/>
    <w:rsid w:val="00186658"/>
    <w:rsid w:val="00190DD9"/>
    <w:rsid w:val="00191F69"/>
    <w:rsid w:val="00192640"/>
    <w:rsid w:val="00193033"/>
    <w:rsid w:val="00193048"/>
    <w:rsid w:val="00193DD7"/>
    <w:rsid w:val="00195FC4"/>
    <w:rsid w:val="00196750"/>
    <w:rsid w:val="00196BDA"/>
    <w:rsid w:val="0019718E"/>
    <w:rsid w:val="001A0FE7"/>
    <w:rsid w:val="001A2E4A"/>
    <w:rsid w:val="001A32DA"/>
    <w:rsid w:val="001A4E19"/>
    <w:rsid w:val="001A5082"/>
    <w:rsid w:val="001A52E8"/>
    <w:rsid w:val="001A5EF8"/>
    <w:rsid w:val="001A772D"/>
    <w:rsid w:val="001A7798"/>
    <w:rsid w:val="001A7F9B"/>
    <w:rsid w:val="001B31EE"/>
    <w:rsid w:val="001B35A3"/>
    <w:rsid w:val="001B3DC9"/>
    <w:rsid w:val="001B3FB7"/>
    <w:rsid w:val="001B45A2"/>
    <w:rsid w:val="001B53F5"/>
    <w:rsid w:val="001B5B9F"/>
    <w:rsid w:val="001B5FBF"/>
    <w:rsid w:val="001B6BB8"/>
    <w:rsid w:val="001B7721"/>
    <w:rsid w:val="001C010F"/>
    <w:rsid w:val="001C0484"/>
    <w:rsid w:val="001C0494"/>
    <w:rsid w:val="001C3F48"/>
    <w:rsid w:val="001C43B0"/>
    <w:rsid w:val="001C52D7"/>
    <w:rsid w:val="001C60BF"/>
    <w:rsid w:val="001D01A1"/>
    <w:rsid w:val="001D05D6"/>
    <w:rsid w:val="001D0CE5"/>
    <w:rsid w:val="001D111A"/>
    <w:rsid w:val="001D2F5E"/>
    <w:rsid w:val="001D3301"/>
    <w:rsid w:val="001D335A"/>
    <w:rsid w:val="001D37A3"/>
    <w:rsid w:val="001D4683"/>
    <w:rsid w:val="001D50E2"/>
    <w:rsid w:val="001D575F"/>
    <w:rsid w:val="001D642D"/>
    <w:rsid w:val="001E192A"/>
    <w:rsid w:val="001E1CB6"/>
    <w:rsid w:val="001E226E"/>
    <w:rsid w:val="001E287E"/>
    <w:rsid w:val="001E2D13"/>
    <w:rsid w:val="001E3424"/>
    <w:rsid w:val="001E3E1C"/>
    <w:rsid w:val="001E45FD"/>
    <w:rsid w:val="001E4C7A"/>
    <w:rsid w:val="001E54AC"/>
    <w:rsid w:val="001E576F"/>
    <w:rsid w:val="001E5784"/>
    <w:rsid w:val="001E57E9"/>
    <w:rsid w:val="001E6731"/>
    <w:rsid w:val="001E6C57"/>
    <w:rsid w:val="001E7A4A"/>
    <w:rsid w:val="001F13E2"/>
    <w:rsid w:val="001F2004"/>
    <w:rsid w:val="001F282D"/>
    <w:rsid w:val="001F340B"/>
    <w:rsid w:val="001F449F"/>
    <w:rsid w:val="001F450B"/>
    <w:rsid w:val="001F551C"/>
    <w:rsid w:val="001F58F2"/>
    <w:rsid w:val="001F5C0A"/>
    <w:rsid w:val="001F5F8F"/>
    <w:rsid w:val="001F6873"/>
    <w:rsid w:val="001F6F93"/>
    <w:rsid w:val="001F7759"/>
    <w:rsid w:val="0020094E"/>
    <w:rsid w:val="002014DC"/>
    <w:rsid w:val="00201841"/>
    <w:rsid w:val="002022B3"/>
    <w:rsid w:val="00202830"/>
    <w:rsid w:val="00204E57"/>
    <w:rsid w:val="00205021"/>
    <w:rsid w:val="0020571A"/>
    <w:rsid w:val="0020599C"/>
    <w:rsid w:val="002060BB"/>
    <w:rsid w:val="00206FAD"/>
    <w:rsid w:val="002072A5"/>
    <w:rsid w:val="00207415"/>
    <w:rsid w:val="00207E29"/>
    <w:rsid w:val="00210B3A"/>
    <w:rsid w:val="002110C5"/>
    <w:rsid w:val="00211183"/>
    <w:rsid w:val="0021205D"/>
    <w:rsid w:val="00212576"/>
    <w:rsid w:val="00213AF7"/>
    <w:rsid w:val="00214F57"/>
    <w:rsid w:val="002162EC"/>
    <w:rsid w:val="002169FE"/>
    <w:rsid w:val="00217208"/>
    <w:rsid w:val="002215B4"/>
    <w:rsid w:val="002218E7"/>
    <w:rsid w:val="00222FAE"/>
    <w:rsid w:val="002238D2"/>
    <w:rsid w:val="002249C6"/>
    <w:rsid w:val="00224A21"/>
    <w:rsid w:val="0022527C"/>
    <w:rsid w:val="00225E77"/>
    <w:rsid w:val="002261A3"/>
    <w:rsid w:val="0022696D"/>
    <w:rsid w:val="0022734B"/>
    <w:rsid w:val="0022736F"/>
    <w:rsid w:val="002276C0"/>
    <w:rsid w:val="00227BE7"/>
    <w:rsid w:val="00230DEC"/>
    <w:rsid w:val="00231A9D"/>
    <w:rsid w:val="00234245"/>
    <w:rsid w:val="002346DF"/>
    <w:rsid w:val="00234BCD"/>
    <w:rsid w:val="0023566F"/>
    <w:rsid w:val="00236BA2"/>
    <w:rsid w:val="00236C7A"/>
    <w:rsid w:val="00237FAB"/>
    <w:rsid w:val="002400DF"/>
    <w:rsid w:val="0024039D"/>
    <w:rsid w:val="00240463"/>
    <w:rsid w:val="00241132"/>
    <w:rsid w:val="00241511"/>
    <w:rsid w:val="00242F81"/>
    <w:rsid w:val="002431A2"/>
    <w:rsid w:val="00243399"/>
    <w:rsid w:val="00244DE9"/>
    <w:rsid w:val="00246156"/>
    <w:rsid w:val="00246AC3"/>
    <w:rsid w:val="00247B62"/>
    <w:rsid w:val="0025098E"/>
    <w:rsid w:val="00250D56"/>
    <w:rsid w:val="002511D0"/>
    <w:rsid w:val="00251E64"/>
    <w:rsid w:val="0025206D"/>
    <w:rsid w:val="00255327"/>
    <w:rsid w:val="002554AE"/>
    <w:rsid w:val="0025632E"/>
    <w:rsid w:val="00257300"/>
    <w:rsid w:val="00257A18"/>
    <w:rsid w:val="002607D0"/>
    <w:rsid w:val="00260EC0"/>
    <w:rsid w:val="00261424"/>
    <w:rsid w:val="002614CC"/>
    <w:rsid w:val="0026161B"/>
    <w:rsid w:val="00261869"/>
    <w:rsid w:val="00261C96"/>
    <w:rsid w:val="002631F0"/>
    <w:rsid w:val="002637A7"/>
    <w:rsid w:val="00264A29"/>
    <w:rsid w:val="00264E0C"/>
    <w:rsid w:val="00265809"/>
    <w:rsid w:val="002661A7"/>
    <w:rsid w:val="002661AC"/>
    <w:rsid w:val="00266531"/>
    <w:rsid w:val="00266592"/>
    <w:rsid w:val="0026699B"/>
    <w:rsid w:val="0026734E"/>
    <w:rsid w:val="002674AC"/>
    <w:rsid w:val="00270327"/>
    <w:rsid w:val="00270B50"/>
    <w:rsid w:val="00270BD8"/>
    <w:rsid w:val="002714A7"/>
    <w:rsid w:val="002717B3"/>
    <w:rsid w:val="00271A61"/>
    <w:rsid w:val="00271D2E"/>
    <w:rsid w:val="00271FBA"/>
    <w:rsid w:val="0027230F"/>
    <w:rsid w:val="002724D8"/>
    <w:rsid w:val="002728EB"/>
    <w:rsid w:val="002737A9"/>
    <w:rsid w:val="00274FC5"/>
    <w:rsid w:val="00275440"/>
    <w:rsid w:val="00275463"/>
    <w:rsid w:val="00276552"/>
    <w:rsid w:val="002770C7"/>
    <w:rsid w:val="00277EEC"/>
    <w:rsid w:val="00277FE1"/>
    <w:rsid w:val="00281226"/>
    <w:rsid w:val="002820E8"/>
    <w:rsid w:val="002829AA"/>
    <w:rsid w:val="00283610"/>
    <w:rsid w:val="00283A06"/>
    <w:rsid w:val="002849DC"/>
    <w:rsid w:val="00285C74"/>
    <w:rsid w:val="00285DEC"/>
    <w:rsid w:val="00286080"/>
    <w:rsid w:val="0028687A"/>
    <w:rsid w:val="002869B5"/>
    <w:rsid w:val="00286A4B"/>
    <w:rsid w:val="002879AA"/>
    <w:rsid w:val="00287E2B"/>
    <w:rsid w:val="00290424"/>
    <w:rsid w:val="002908ED"/>
    <w:rsid w:val="00290C58"/>
    <w:rsid w:val="00291514"/>
    <w:rsid w:val="00291F85"/>
    <w:rsid w:val="002921EB"/>
    <w:rsid w:val="0029583E"/>
    <w:rsid w:val="002975AB"/>
    <w:rsid w:val="002A0AE5"/>
    <w:rsid w:val="002A1B66"/>
    <w:rsid w:val="002A276F"/>
    <w:rsid w:val="002A2B30"/>
    <w:rsid w:val="002A3AF7"/>
    <w:rsid w:val="002A58EF"/>
    <w:rsid w:val="002A7A58"/>
    <w:rsid w:val="002A7F79"/>
    <w:rsid w:val="002B0F96"/>
    <w:rsid w:val="002B1713"/>
    <w:rsid w:val="002B184D"/>
    <w:rsid w:val="002B2D1A"/>
    <w:rsid w:val="002B2ED9"/>
    <w:rsid w:val="002B351A"/>
    <w:rsid w:val="002B3FE4"/>
    <w:rsid w:val="002B5F50"/>
    <w:rsid w:val="002B6222"/>
    <w:rsid w:val="002B715B"/>
    <w:rsid w:val="002C0271"/>
    <w:rsid w:val="002C0337"/>
    <w:rsid w:val="002C081F"/>
    <w:rsid w:val="002C162D"/>
    <w:rsid w:val="002C1A11"/>
    <w:rsid w:val="002C1FA3"/>
    <w:rsid w:val="002C25B3"/>
    <w:rsid w:val="002C3F06"/>
    <w:rsid w:val="002C4941"/>
    <w:rsid w:val="002C569C"/>
    <w:rsid w:val="002C61C4"/>
    <w:rsid w:val="002C6365"/>
    <w:rsid w:val="002C63EB"/>
    <w:rsid w:val="002C73EE"/>
    <w:rsid w:val="002C7FD7"/>
    <w:rsid w:val="002D1AFB"/>
    <w:rsid w:val="002D240F"/>
    <w:rsid w:val="002D2BCC"/>
    <w:rsid w:val="002D31ED"/>
    <w:rsid w:val="002D3FDF"/>
    <w:rsid w:val="002D4EB4"/>
    <w:rsid w:val="002D68FA"/>
    <w:rsid w:val="002D7757"/>
    <w:rsid w:val="002D7AF8"/>
    <w:rsid w:val="002E0199"/>
    <w:rsid w:val="002E19F4"/>
    <w:rsid w:val="002E1A8C"/>
    <w:rsid w:val="002E26A1"/>
    <w:rsid w:val="002E2EEF"/>
    <w:rsid w:val="002E4102"/>
    <w:rsid w:val="002E50C4"/>
    <w:rsid w:val="002E55DD"/>
    <w:rsid w:val="002E5911"/>
    <w:rsid w:val="002E6148"/>
    <w:rsid w:val="002F01B3"/>
    <w:rsid w:val="002F2719"/>
    <w:rsid w:val="002F2F60"/>
    <w:rsid w:val="002F3BBB"/>
    <w:rsid w:val="002F50E3"/>
    <w:rsid w:val="002F57B2"/>
    <w:rsid w:val="002F7018"/>
    <w:rsid w:val="00300B8B"/>
    <w:rsid w:val="00301455"/>
    <w:rsid w:val="003016DC"/>
    <w:rsid w:val="0030171A"/>
    <w:rsid w:val="00301930"/>
    <w:rsid w:val="00301EC2"/>
    <w:rsid w:val="003024BC"/>
    <w:rsid w:val="003047E5"/>
    <w:rsid w:val="003049B5"/>
    <w:rsid w:val="00304A27"/>
    <w:rsid w:val="00304B2B"/>
    <w:rsid w:val="00306489"/>
    <w:rsid w:val="00306A16"/>
    <w:rsid w:val="00307889"/>
    <w:rsid w:val="003078A0"/>
    <w:rsid w:val="003079F5"/>
    <w:rsid w:val="00307BED"/>
    <w:rsid w:val="00307F59"/>
    <w:rsid w:val="003100CF"/>
    <w:rsid w:val="00311B56"/>
    <w:rsid w:val="00312645"/>
    <w:rsid w:val="003126B6"/>
    <w:rsid w:val="00312AC1"/>
    <w:rsid w:val="00312C14"/>
    <w:rsid w:val="0031337A"/>
    <w:rsid w:val="00314014"/>
    <w:rsid w:val="00314830"/>
    <w:rsid w:val="00314C31"/>
    <w:rsid w:val="003155E1"/>
    <w:rsid w:val="00315B4B"/>
    <w:rsid w:val="00315B7F"/>
    <w:rsid w:val="00315FCF"/>
    <w:rsid w:val="00317962"/>
    <w:rsid w:val="00320D62"/>
    <w:rsid w:val="0032181E"/>
    <w:rsid w:val="00322D40"/>
    <w:rsid w:val="0032353E"/>
    <w:rsid w:val="003237BF"/>
    <w:rsid w:val="003244E6"/>
    <w:rsid w:val="0032458C"/>
    <w:rsid w:val="003252EB"/>
    <w:rsid w:val="003255AE"/>
    <w:rsid w:val="003266A3"/>
    <w:rsid w:val="003266D2"/>
    <w:rsid w:val="0032696A"/>
    <w:rsid w:val="0033014D"/>
    <w:rsid w:val="003304FF"/>
    <w:rsid w:val="003318F4"/>
    <w:rsid w:val="00332601"/>
    <w:rsid w:val="00332D1C"/>
    <w:rsid w:val="00332E2A"/>
    <w:rsid w:val="00332E4E"/>
    <w:rsid w:val="00333F87"/>
    <w:rsid w:val="00333FE2"/>
    <w:rsid w:val="0033590A"/>
    <w:rsid w:val="00335A9A"/>
    <w:rsid w:val="00335CF2"/>
    <w:rsid w:val="00336147"/>
    <w:rsid w:val="003373E5"/>
    <w:rsid w:val="00337DD6"/>
    <w:rsid w:val="00337E59"/>
    <w:rsid w:val="003429AB"/>
    <w:rsid w:val="00343A1A"/>
    <w:rsid w:val="00343B12"/>
    <w:rsid w:val="0034437F"/>
    <w:rsid w:val="00344431"/>
    <w:rsid w:val="00344672"/>
    <w:rsid w:val="00344E53"/>
    <w:rsid w:val="003451DA"/>
    <w:rsid w:val="00345ED2"/>
    <w:rsid w:val="00347BE9"/>
    <w:rsid w:val="00347CCE"/>
    <w:rsid w:val="00350449"/>
    <w:rsid w:val="00351EBF"/>
    <w:rsid w:val="00352468"/>
    <w:rsid w:val="00352720"/>
    <w:rsid w:val="003527D2"/>
    <w:rsid w:val="0035381E"/>
    <w:rsid w:val="00353B91"/>
    <w:rsid w:val="00353C7C"/>
    <w:rsid w:val="00356C5D"/>
    <w:rsid w:val="00356F25"/>
    <w:rsid w:val="003573CA"/>
    <w:rsid w:val="003576F1"/>
    <w:rsid w:val="0036040E"/>
    <w:rsid w:val="0036057A"/>
    <w:rsid w:val="0036113C"/>
    <w:rsid w:val="0036180E"/>
    <w:rsid w:val="003624CF"/>
    <w:rsid w:val="00362546"/>
    <w:rsid w:val="00364A89"/>
    <w:rsid w:val="00364FEA"/>
    <w:rsid w:val="0036512C"/>
    <w:rsid w:val="00365539"/>
    <w:rsid w:val="00367FBF"/>
    <w:rsid w:val="0037015A"/>
    <w:rsid w:val="00373096"/>
    <w:rsid w:val="0037312B"/>
    <w:rsid w:val="0037343B"/>
    <w:rsid w:val="00373D76"/>
    <w:rsid w:val="00373F8D"/>
    <w:rsid w:val="003741DC"/>
    <w:rsid w:val="00374B5A"/>
    <w:rsid w:val="0037571C"/>
    <w:rsid w:val="00376469"/>
    <w:rsid w:val="00376898"/>
    <w:rsid w:val="0037694E"/>
    <w:rsid w:val="003770A6"/>
    <w:rsid w:val="0037762E"/>
    <w:rsid w:val="00380A73"/>
    <w:rsid w:val="00380D46"/>
    <w:rsid w:val="003811D6"/>
    <w:rsid w:val="0038131F"/>
    <w:rsid w:val="003818B6"/>
    <w:rsid w:val="003819CF"/>
    <w:rsid w:val="00381D0E"/>
    <w:rsid w:val="003824B3"/>
    <w:rsid w:val="00383D5D"/>
    <w:rsid w:val="00383DAD"/>
    <w:rsid w:val="0038410B"/>
    <w:rsid w:val="00385347"/>
    <w:rsid w:val="00386149"/>
    <w:rsid w:val="003904F3"/>
    <w:rsid w:val="003906DA"/>
    <w:rsid w:val="003909C2"/>
    <w:rsid w:val="003910D9"/>
    <w:rsid w:val="00393055"/>
    <w:rsid w:val="00394A83"/>
    <w:rsid w:val="00394EFA"/>
    <w:rsid w:val="0039518A"/>
    <w:rsid w:val="00396926"/>
    <w:rsid w:val="003979C2"/>
    <w:rsid w:val="00397F6D"/>
    <w:rsid w:val="003A016E"/>
    <w:rsid w:val="003A0764"/>
    <w:rsid w:val="003A238D"/>
    <w:rsid w:val="003A2CD6"/>
    <w:rsid w:val="003A351C"/>
    <w:rsid w:val="003A3FFF"/>
    <w:rsid w:val="003A421D"/>
    <w:rsid w:val="003A46C9"/>
    <w:rsid w:val="003A4709"/>
    <w:rsid w:val="003A5401"/>
    <w:rsid w:val="003A55F0"/>
    <w:rsid w:val="003A5A74"/>
    <w:rsid w:val="003A5D10"/>
    <w:rsid w:val="003A7978"/>
    <w:rsid w:val="003A79DA"/>
    <w:rsid w:val="003B1325"/>
    <w:rsid w:val="003B1344"/>
    <w:rsid w:val="003B1E05"/>
    <w:rsid w:val="003B33B8"/>
    <w:rsid w:val="003B4533"/>
    <w:rsid w:val="003B4F4B"/>
    <w:rsid w:val="003B517C"/>
    <w:rsid w:val="003B5CA9"/>
    <w:rsid w:val="003B61D3"/>
    <w:rsid w:val="003B62DB"/>
    <w:rsid w:val="003B6663"/>
    <w:rsid w:val="003B6771"/>
    <w:rsid w:val="003B6A37"/>
    <w:rsid w:val="003B6B4B"/>
    <w:rsid w:val="003B6F28"/>
    <w:rsid w:val="003C1376"/>
    <w:rsid w:val="003C16E1"/>
    <w:rsid w:val="003C1B50"/>
    <w:rsid w:val="003C3294"/>
    <w:rsid w:val="003C345C"/>
    <w:rsid w:val="003C3C71"/>
    <w:rsid w:val="003C49CF"/>
    <w:rsid w:val="003C57C4"/>
    <w:rsid w:val="003C5A20"/>
    <w:rsid w:val="003C5E14"/>
    <w:rsid w:val="003C66EB"/>
    <w:rsid w:val="003C6AA9"/>
    <w:rsid w:val="003C6B96"/>
    <w:rsid w:val="003C70D0"/>
    <w:rsid w:val="003C719E"/>
    <w:rsid w:val="003C792E"/>
    <w:rsid w:val="003D0660"/>
    <w:rsid w:val="003D071C"/>
    <w:rsid w:val="003D0D6D"/>
    <w:rsid w:val="003D106D"/>
    <w:rsid w:val="003D289C"/>
    <w:rsid w:val="003D416D"/>
    <w:rsid w:val="003D5FC5"/>
    <w:rsid w:val="003D6799"/>
    <w:rsid w:val="003D7992"/>
    <w:rsid w:val="003D7C29"/>
    <w:rsid w:val="003E0F6E"/>
    <w:rsid w:val="003E10AA"/>
    <w:rsid w:val="003E2099"/>
    <w:rsid w:val="003E20DB"/>
    <w:rsid w:val="003E2135"/>
    <w:rsid w:val="003E3C32"/>
    <w:rsid w:val="003E3FE3"/>
    <w:rsid w:val="003E416B"/>
    <w:rsid w:val="003E42FF"/>
    <w:rsid w:val="003E68D6"/>
    <w:rsid w:val="003F04F7"/>
    <w:rsid w:val="003F0BF6"/>
    <w:rsid w:val="003F1B2E"/>
    <w:rsid w:val="003F1EB2"/>
    <w:rsid w:val="003F245D"/>
    <w:rsid w:val="003F24F6"/>
    <w:rsid w:val="003F2874"/>
    <w:rsid w:val="003F30FF"/>
    <w:rsid w:val="003F35ED"/>
    <w:rsid w:val="003F4099"/>
    <w:rsid w:val="003F53F8"/>
    <w:rsid w:val="003F6195"/>
    <w:rsid w:val="003F69B4"/>
    <w:rsid w:val="003F7B99"/>
    <w:rsid w:val="004007A2"/>
    <w:rsid w:val="00400CF2"/>
    <w:rsid w:val="00401470"/>
    <w:rsid w:val="00401A38"/>
    <w:rsid w:val="00401C7B"/>
    <w:rsid w:val="00404239"/>
    <w:rsid w:val="004053B8"/>
    <w:rsid w:val="00405A65"/>
    <w:rsid w:val="00406013"/>
    <w:rsid w:val="00407073"/>
    <w:rsid w:val="004100D6"/>
    <w:rsid w:val="00411036"/>
    <w:rsid w:val="00411226"/>
    <w:rsid w:val="004117E0"/>
    <w:rsid w:val="00411956"/>
    <w:rsid w:val="00411CDE"/>
    <w:rsid w:val="00412287"/>
    <w:rsid w:val="00412858"/>
    <w:rsid w:val="00413416"/>
    <w:rsid w:val="00414E05"/>
    <w:rsid w:val="00414F90"/>
    <w:rsid w:val="00415F98"/>
    <w:rsid w:val="00416336"/>
    <w:rsid w:val="00416E22"/>
    <w:rsid w:val="0041774F"/>
    <w:rsid w:val="00417C59"/>
    <w:rsid w:val="00420942"/>
    <w:rsid w:val="00420CFE"/>
    <w:rsid w:val="004210A8"/>
    <w:rsid w:val="00423F24"/>
    <w:rsid w:val="00424E4B"/>
    <w:rsid w:val="0042550C"/>
    <w:rsid w:val="0042702D"/>
    <w:rsid w:val="004273F3"/>
    <w:rsid w:val="004315A3"/>
    <w:rsid w:val="00431782"/>
    <w:rsid w:val="00431C5B"/>
    <w:rsid w:val="00431CEC"/>
    <w:rsid w:val="00432931"/>
    <w:rsid w:val="00432B3C"/>
    <w:rsid w:val="00433E03"/>
    <w:rsid w:val="004343A6"/>
    <w:rsid w:val="0043549D"/>
    <w:rsid w:val="00435FD0"/>
    <w:rsid w:val="004363B6"/>
    <w:rsid w:val="00436769"/>
    <w:rsid w:val="00437C65"/>
    <w:rsid w:val="0044130D"/>
    <w:rsid w:val="00442E56"/>
    <w:rsid w:val="00443EEF"/>
    <w:rsid w:val="0044456D"/>
    <w:rsid w:val="0044479C"/>
    <w:rsid w:val="00445C19"/>
    <w:rsid w:val="004466B8"/>
    <w:rsid w:val="0044717E"/>
    <w:rsid w:val="00450D4E"/>
    <w:rsid w:val="00450EB3"/>
    <w:rsid w:val="00451BA1"/>
    <w:rsid w:val="00451CCD"/>
    <w:rsid w:val="004526B7"/>
    <w:rsid w:val="0045298B"/>
    <w:rsid w:val="00455241"/>
    <w:rsid w:val="00455949"/>
    <w:rsid w:val="00455CEA"/>
    <w:rsid w:val="00456534"/>
    <w:rsid w:val="0045668F"/>
    <w:rsid w:val="00456B52"/>
    <w:rsid w:val="0046287F"/>
    <w:rsid w:val="00462CB2"/>
    <w:rsid w:val="00463438"/>
    <w:rsid w:val="00463647"/>
    <w:rsid w:val="004638F1"/>
    <w:rsid w:val="00463D53"/>
    <w:rsid w:val="004655ED"/>
    <w:rsid w:val="00465967"/>
    <w:rsid w:val="00466622"/>
    <w:rsid w:val="004669A7"/>
    <w:rsid w:val="00467538"/>
    <w:rsid w:val="00467BD1"/>
    <w:rsid w:val="00467E25"/>
    <w:rsid w:val="004719F0"/>
    <w:rsid w:val="00472651"/>
    <w:rsid w:val="004742D7"/>
    <w:rsid w:val="00474378"/>
    <w:rsid w:val="00474CF7"/>
    <w:rsid w:val="004770B0"/>
    <w:rsid w:val="00477235"/>
    <w:rsid w:val="004774D1"/>
    <w:rsid w:val="0048060D"/>
    <w:rsid w:val="00482426"/>
    <w:rsid w:val="00482E02"/>
    <w:rsid w:val="00483399"/>
    <w:rsid w:val="004836B7"/>
    <w:rsid w:val="0048370F"/>
    <w:rsid w:val="00483846"/>
    <w:rsid w:val="00485052"/>
    <w:rsid w:val="00485517"/>
    <w:rsid w:val="004856D9"/>
    <w:rsid w:val="0048570B"/>
    <w:rsid w:val="00486646"/>
    <w:rsid w:val="00486A87"/>
    <w:rsid w:val="0048735D"/>
    <w:rsid w:val="004873B0"/>
    <w:rsid w:val="00487870"/>
    <w:rsid w:val="00487F0C"/>
    <w:rsid w:val="0049082A"/>
    <w:rsid w:val="00491AE5"/>
    <w:rsid w:val="004929FE"/>
    <w:rsid w:val="00492C0C"/>
    <w:rsid w:val="00492D8B"/>
    <w:rsid w:val="0049344D"/>
    <w:rsid w:val="00493C46"/>
    <w:rsid w:val="00494D2B"/>
    <w:rsid w:val="00494FC2"/>
    <w:rsid w:val="00496056"/>
    <w:rsid w:val="00496354"/>
    <w:rsid w:val="004966B9"/>
    <w:rsid w:val="0049772C"/>
    <w:rsid w:val="00497C63"/>
    <w:rsid w:val="004A1289"/>
    <w:rsid w:val="004A44E0"/>
    <w:rsid w:val="004A4B33"/>
    <w:rsid w:val="004A5707"/>
    <w:rsid w:val="004A5C03"/>
    <w:rsid w:val="004A705B"/>
    <w:rsid w:val="004A749A"/>
    <w:rsid w:val="004B01C5"/>
    <w:rsid w:val="004B0883"/>
    <w:rsid w:val="004B0A66"/>
    <w:rsid w:val="004B105D"/>
    <w:rsid w:val="004B1EEB"/>
    <w:rsid w:val="004B2495"/>
    <w:rsid w:val="004B2795"/>
    <w:rsid w:val="004B2C5B"/>
    <w:rsid w:val="004B2FA7"/>
    <w:rsid w:val="004B3337"/>
    <w:rsid w:val="004B35E3"/>
    <w:rsid w:val="004B381F"/>
    <w:rsid w:val="004B48F6"/>
    <w:rsid w:val="004B5A29"/>
    <w:rsid w:val="004B5C16"/>
    <w:rsid w:val="004B5D27"/>
    <w:rsid w:val="004B5E0C"/>
    <w:rsid w:val="004B64F4"/>
    <w:rsid w:val="004B65EA"/>
    <w:rsid w:val="004B71C7"/>
    <w:rsid w:val="004B78A0"/>
    <w:rsid w:val="004C05CC"/>
    <w:rsid w:val="004C05F4"/>
    <w:rsid w:val="004C0BA7"/>
    <w:rsid w:val="004C0CA6"/>
    <w:rsid w:val="004C13D7"/>
    <w:rsid w:val="004C18E5"/>
    <w:rsid w:val="004C1B1B"/>
    <w:rsid w:val="004C2960"/>
    <w:rsid w:val="004C2EFC"/>
    <w:rsid w:val="004C3D36"/>
    <w:rsid w:val="004C3E28"/>
    <w:rsid w:val="004C51A9"/>
    <w:rsid w:val="004C5A70"/>
    <w:rsid w:val="004C6B34"/>
    <w:rsid w:val="004C6F8F"/>
    <w:rsid w:val="004D0510"/>
    <w:rsid w:val="004D15CF"/>
    <w:rsid w:val="004D24FC"/>
    <w:rsid w:val="004D417B"/>
    <w:rsid w:val="004D508F"/>
    <w:rsid w:val="004D66A1"/>
    <w:rsid w:val="004D6DE3"/>
    <w:rsid w:val="004D6E2B"/>
    <w:rsid w:val="004D7516"/>
    <w:rsid w:val="004E10DB"/>
    <w:rsid w:val="004E114C"/>
    <w:rsid w:val="004E14A8"/>
    <w:rsid w:val="004E28DA"/>
    <w:rsid w:val="004E2D11"/>
    <w:rsid w:val="004E4267"/>
    <w:rsid w:val="004E53F8"/>
    <w:rsid w:val="004E54BF"/>
    <w:rsid w:val="004E5D31"/>
    <w:rsid w:val="004E68D5"/>
    <w:rsid w:val="004E6C5E"/>
    <w:rsid w:val="004E7D5D"/>
    <w:rsid w:val="004F03B3"/>
    <w:rsid w:val="004F045A"/>
    <w:rsid w:val="004F0FD5"/>
    <w:rsid w:val="004F1F5C"/>
    <w:rsid w:val="004F222F"/>
    <w:rsid w:val="004F2291"/>
    <w:rsid w:val="004F3A6E"/>
    <w:rsid w:val="004F45AC"/>
    <w:rsid w:val="004F490F"/>
    <w:rsid w:val="004F55C8"/>
    <w:rsid w:val="004F594F"/>
    <w:rsid w:val="004F6877"/>
    <w:rsid w:val="004F7D03"/>
    <w:rsid w:val="005005A3"/>
    <w:rsid w:val="00500A48"/>
    <w:rsid w:val="0050114E"/>
    <w:rsid w:val="005016BF"/>
    <w:rsid w:val="00501D4B"/>
    <w:rsid w:val="005042F2"/>
    <w:rsid w:val="0050482E"/>
    <w:rsid w:val="00504F30"/>
    <w:rsid w:val="0050561E"/>
    <w:rsid w:val="00507C6B"/>
    <w:rsid w:val="005113C2"/>
    <w:rsid w:val="005117E0"/>
    <w:rsid w:val="005122B5"/>
    <w:rsid w:val="00512DAD"/>
    <w:rsid w:val="00514554"/>
    <w:rsid w:val="00515340"/>
    <w:rsid w:val="00515F59"/>
    <w:rsid w:val="00516814"/>
    <w:rsid w:val="00516FD5"/>
    <w:rsid w:val="0051763F"/>
    <w:rsid w:val="00517D6B"/>
    <w:rsid w:val="00517FBA"/>
    <w:rsid w:val="00520A82"/>
    <w:rsid w:val="00521688"/>
    <w:rsid w:val="00521D1F"/>
    <w:rsid w:val="005224B9"/>
    <w:rsid w:val="0052256F"/>
    <w:rsid w:val="00523359"/>
    <w:rsid w:val="00524241"/>
    <w:rsid w:val="00524A07"/>
    <w:rsid w:val="00525B3F"/>
    <w:rsid w:val="00525BC3"/>
    <w:rsid w:val="005268D3"/>
    <w:rsid w:val="005268F3"/>
    <w:rsid w:val="0053000D"/>
    <w:rsid w:val="00530B17"/>
    <w:rsid w:val="00530E58"/>
    <w:rsid w:val="00531316"/>
    <w:rsid w:val="00531AF5"/>
    <w:rsid w:val="00532B0B"/>
    <w:rsid w:val="0053369C"/>
    <w:rsid w:val="00533C9A"/>
    <w:rsid w:val="00534806"/>
    <w:rsid w:val="00535349"/>
    <w:rsid w:val="00536576"/>
    <w:rsid w:val="00536C0C"/>
    <w:rsid w:val="00536E1C"/>
    <w:rsid w:val="0053714D"/>
    <w:rsid w:val="00541806"/>
    <w:rsid w:val="00543B94"/>
    <w:rsid w:val="00543EAD"/>
    <w:rsid w:val="005443B5"/>
    <w:rsid w:val="005447C2"/>
    <w:rsid w:val="00544C57"/>
    <w:rsid w:val="005453F1"/>
    <w:rsid w:val="005458C3"/>
    <w:rsid w:val="0054686D"/>
    <w:rsid w:val="00546FFC"/>
    <w:rsid w:val="005479E3"/>
    <w:rsid w:val="00550F67"/>
    <w:rsid w:val="00551D9B"/>
    <w:rsid w:val="00552808"/>
    <w:rsid w:val="005529AA"/>
    <w:rsid w:val="005529C3"/>
    <w:rsid w:val="00554B27"/>
    <w:rsid w:val="00555827"/>
    <w:rsid w:val="00555D56"/>
    <w:rsid w:val="0055608B"/>
    <w:rsid w:val="00556814"/>
    <w:rsid w:val="00556967"/>
    <w:rsid w:val="00557566"/>
    <w:rsid w:val="00560C54"/>
    <w:rsid w:val="00561A81"/>
    <w:rsid w:val="00561C19"/>
    <w:rsid w:val="0056309B"/>
    <w:rsid w:val="005640EA"/>
    <w:rsid w:val="00564780"/>
    <w:rsid w:val="00565669"/>
    <w:rsid w:val="0057048B"/>
    <w:rsid w:val="0057060D"/>
    <w:rsid w:val="00572018"/>
    <w:rsid w:val="0057229C"/>
    <w:rsid w:val="005725F5"/>
    <w:rsid w:val="005726B0"/>
    <w:rsid w:val="00573761"/>
    <w:rsid w:val="00574F65"/>
    <w:rsid w:val="00576E8E"/>
    <w:rsid w:val="0057753C"/>
    <w:rsid w:val="005808EE"/>
    <w:rsid w:val="00582165"/>
    <w:rsid w:val="0058247A"/>
    <w:rsid w:val="00582DE1"/>
    <w:rsid w:val="00584E99"/>
    <w:rsid w:val="0058554C"/>
    <w:rsid w:val="005856B3"/>
    <w:rsid w:val="005865B9"/>
    <w:rsid w:val="00586CA8"/>
    <w:rsid w:val="00587BCB"/>
    <w:rsid w:val="00590E48"/>
    <w:rsid w:val="00590FBC"/>
    <w:rsid w:val="00591DEC"/>
    <w:rsid w:val="00592321"/>
    <w:rsid w:val="00593EB5"/>
    <w:rsid w:val="00594D8F"/>
    <w:rsid w:val="00595C0F"/>
    <w:rsid w:val="0059698D"/>
    <w:rsid w:val="005975B5"/>
    <w:rsid w:val="005A0F30"/>
    <w:rsid w:val="005A1630"/>
    <w:rsid w:val="005A23A6"/>
    <w:rsid w:val="005A2CEE"/>
    <w:rsid w:val="005A501C"/>
    <w:rsid w:val="005A6B7C"/>
    <w:rsid w:val="005A70B5"/>
    <w:rsid w:val="005A7982"/>
    <w:rsid w:val="005A7D1F"/>
    <w:rsid w:val="005B08BB"/>
    <w:rsid w:val="005B0C38"/>
    <w:rsid w:val="005B2075"/>
    <w:rsid w:val="005B253E"/>
    <w:rsid w:val="005B2573"/>
    <w:rsid w:val="005B2B3A"/>
    <w:rsid w:val="005B37BD"/>
    <w:rsid w:val="005B40D9"/>
    <w:rsid w:val="005B4657"/>
    <w:rsid w:val="005B5001"/>
    <w:rsid w:val="005B5334"/>
    <w:rsid w:val="005B5FFA"/>
    <w:rsid w:val="005B654C"/>
    <w:rsid w:val="005B6A6D"/>
    <w:rsid w:val="005B785D"/>
    <w:rsid w:val="005B7F1D"/>
    <w:rsid w:val="005C0675"/>
    <w:rsid w:val="005C1822"/>
    <w:rsid w:val="005C213A"/>
    <w:rsid w:val="005C23B5"/>
    <w:rsid w:val="005C299B"/>
    <w:rsid w:val="005C2A58"/>
    <w:rsid w:val="005C2AFD"/>
    <w:rsid w:val="005C45DC"/>
    <w:rsid w:val="005C4E2E"/>
    <w:rsid w:val="005C6659"/>
    <w:rsid w:val="005C74B0"/>
    <w:rsid w:val="005C7C6F"/>
    <w:rsid w:val="005D015C"/>
    <w:rsid w:val="005D0CA7"/>
    <w:rsid w:val="005D11E4"/>
    <w:rsid w:val="005D1232"/>
    <w:rsid w:val="005D1893"/>
    <w:rsid w:val="005D1E39"/>
    <w:rsid w:val="005D21B9"/>
    <w:rsid w:val="005D2346"/>
    <w:rsid w:val="005D2D2C"/>
    <w:rsid w:val="005D3654"/>
    <w:rsid w:val="005D45D3"/>
    <w:rsid w:val="005D5853"/>
    <w:rsid w:val="005D7D68"/>
    <w:rsid w:val="005E012B"/>
    <w:rsid w:val="005E16B8"/>
    <w:rsid w:val="005E1EFA"/>
    <w:rsid w:val="005E22F2"/>
    <w:rsid w:val="005E2AEB"/>
    <w:rsid w:val="005E3799"/>
    <w:rsid w:val="005E4343"/>
    <w:rsid w:val="005E44A6"/>
    <w:rsid w:val="005E59D6"/>
    <w:rsid w:val="005E5B25"/>
    <w:rsid w:val="005F25C1"/>
    <w:rsid w:val="005F27F3"/>
    <w:rsid w:val="005F3DCE"/>
    <w:rsid w:val="005F5703"/>
    <w:rsid w:val="005F5D9C"/>
    <w:rsid w:val="005F5F0A"/>
    <w:rsid w:val="005F6BBA"/>
    <w:rsid w:val="005F6BE7"/>
    <w:rsid w:val="005F747D"/>
    <w:rsid w:val="005F7484"/>
    <w:rsid w:val="005F76F5"/>
    <w:rsid w:val="006024B4"/>
    <w:rsid w:val="006027DE"/>
    <w:rsid w:val="006029B0"/>
    <w:rsid w:val="00603A66"/>
    <w:rsid w:val="006105EC"/>
    <w:rsid w:val="00610C36"/>
    <w:rsid w:val="00611577"/>
    <w:rsid w:val="00612728"/>
    <w:rsid w:val="00612E8D"/>
    <w:rsid w:val="00613D46"/>
    <w:rsid w:val="006140E7"/>
    <w:rsid w:val="0061549A"/>
    <w:rsid w:val="00615AB4"/>
    <w:rsid w:val="00616A15"/>
    <w:rsid w:val="006201F8"/>
    <w:rsid w:val="00621A73"/>
    <w:rsid w:val="00621D48"/>
    <w:rsid w:val="00622116"/>
    <w:rsid w:val="0062220D"/>
    <w:rsid w:val="006230FB"/>
    <w:rsid w:val="00624970"/>
    <w:rsid w:val="00624D9D"/>
    <w:rsid w:val="00624F8C"/>
    <w:rsid w:val="00625ACE"/>
    <w:rsid w:val="00627FC4"/>
    <w:rsid w:val="00630095"/>
    <w:rsid w:val="00630589"/>
    <w:rsid w:val="006308E6"/>
    <w:rsid w:val="006310A3"/>
    <w:rsid w:val="006314DC"/>
    <w:rsid w:val="00631C0A"/>
    <w:rsid w:val="00632CE8"/>
    <w:rsid w:val="00633C19"/>
    <w:rsid w:val="00633DE8"/>
    <w:rsid w:val="00634937"/>
    <w:rsid w:val="00634E3E"/>
    <w:rsid w:val="00635588"/>
    <w:rsid w:val="00635706"/>
    <w:rsid w:val="006359F2"/>
    <w:rsid w:val="0063622B"/>
    <w:rsid w:val="00636934"/>
    <w:rsid w:val="00636E1E"/>
    <w:rsid w:val="00637671"/>
    <w:rsid w:val="00640E15"/>
    <w:rsid w:val="0064124E"/>
    <w:rsid w:val="0064149D"/>
    <w:rsid w:val="00641CD3"/>
    <w:rsid w:val="00642446"/>
    <w:rsid w:val="0064253B"/>
    <w:rsid w:val="006425E9"/>
    <w:rsid w:val="00642A1E"/>
    <w:rsid w:val="00642E86"/>
    <w:rsid w:val="00644225"/>
    <w:rsid w:val="00644693"/>
    <w:rsid w:val="00645B06"/>
    <w:rsid w:val="00646FF1"/>
    <w:rsid w:val="006473C7"/>
    <w:rsid w:val="00647BD9"/>
    <w:rsid w:val="00647C34"/>
    <w:rsid w:val="006503A8"/>
    <w:rsid w:val="0065083E"/>
    <w:rsid w:val="00652242"/>
    <w:rsid w:val="0065363B"/>
    <w:rsid w:val="006538E7"/>
    <w:rsid w:val="0065395F"/>
    <w:rsid w:val="0065467A"/>
    <w:rsid w:val="00654889"/>
    <w:rsid w:val="00654966"/>
    <w:rsid w:val="00654AC7"/>
    <w:rsid w:val="006553AD"/>
    <w:rsid w:val="00655FAC"/>
    <w:rsid w:val="00655FF2"/>
    <w:rsid w:val="006601DF"/>
    <w:rsid w:val="00660254"/>
    <w:rsid w:val="00661909"/>
    <w:rsid w:val="00661E82"/>
    <w:rsid w:val="00662088"/>
    <w:rsid w:val="0066282B"/>
    <w:rsid w:val="006649C0"/>
    <w:rsid w:val="0066530E"/>
    <w:rsid w:val="00665598"/>
    <w:rsid w:val="006656D8"/>
    <w:rsid w:val="006664EA"/>
    <w:rsid w:val="00667489"/>
    <w:rsid w:val="00667FB5"/>
    <w:rsid w:val="006706D8"/>
    <w:rsid w:val="00670718"/>
    <w:rsid w:val="00670828"/>
    <w:rsid w:val="00675425"/>
    <w:rsid w:val="006754D4"/>
    <w:rsid w:val="00676EA7"/>
    <w:rsid w:val="00676F97"/>
    <w:rsid w:val="006776D3"/>
    <w:rsid w:val="00680BC5"/>
    <w:rsid w:val="00681E0E"/>
    <w:rsid w:val="00682121"/>
    <w:rsid w:val="00684479"/>
    <w:rsid w:val="0068469F"/>
    <w:rsid w:val="006856B9"/>
    <w:rsid w:val="00686562"/>
    <w:rsid w:val="00686C65"/>
    <w:rsid w:val="0068716F"/>
    <w:rsid w:val="00691F62"/>
    <w:rsid w:val="00692504"/>
    <w:rsid w:val="00692671"/>
    <w:rsid w:val="00692BF5"/>
    <w:rsid w:val="00692D11"/>
    <w:rsid w:val="00693CA6"/>
    <w:rsid w:val="00695707"/>
    <w:rsid w:val="00695A31"/>
    <w:rsid w:val="006967C2"/>
    <w:rsid w:val="006968C2"/>
    <w:rsid w:val="00697899"/>
    <w:rsid w:val="00697D64"/>
    <w:rsid w:val="006A119B"/>
    <w:rsid w:val="006A3742"/>
    <w:rsid w:val="006A3A8C"/>
    <w:rsid w:val="006A4011"/>
    <w:rsid w:val="006A5237"/>
    <w:rsid w:val="006A59D3"/>
    <w:rsid w:val="006A777A"/>
    <w:rsid w:val="006A7CC6"/>
    <w:rsid w:val="006B056D"/>
    <w:rsid w:val="006B0880"/>
    <w:rsid w:val="006B13E2"/>
    <w:rsid w:val="006B1768"/>
    <w:rsid w:val="006B272D"/>
    <w:rsid w:val="006B31B1"/>
    <w:rsid w:val="006B3409"/>
    <w:rsid w:val="006B3696"/>
    <w:rsid w:val="006B3837"/>
    <w:rsid w:val="006B3C21"/>
    <w:rsid w:val="006B3C3C"/>
    <w:rsid w:val="006B405A"/>
    <w:rsid w:val="006B5400"/>
    <w:rsid w:val="006B57DB"/>
    <w:rsid w:val="006C194E"/>
    <w:rsid w:val="006C1DF1"/>
    <w:rsid w:val="006C224B"/>
    <w:rsid w:val="006C3392"/>
    <w:rsid w:val="006C3492"/>
    <w:rsid w:val="006C3592"/>
    <w:rsid w:val="006C3EAD"/>
    <w:rsid w:val="006C561F"/>
    <w:rsid w:val="006C57D6"/>
    <w:rsid w:val="006C6089"/>
    <w:rsid w:val="006C62A9"/>
    <w:rsid w:val="006C6362"/>
    <w:rsid w:val="006D21D4"/>
    <w:rsid w:val="006D33AB"/>
    <w:rsid w:val="006D3BEF"/>
    <w:rsid w:val="006D43B3"/>
    <w:rsid w:val="006D53D2"/>
    <w:rsid w:val="006D5424"/>
    <w:rsid w:val="006D634F"/>
    <w:rsid w:val="006D73CE"/>
    <w:rsid w:val="006E1916"/>
    <w:rsid w:val="006E1A70"/>
    <w:rsid w:val="006E2563"/>
    <w:rsid w:val="006E3B5E"/>
    <w:rsid w:val="006E49AD"/>
    <w:rsid w:val="006E6E5E"/>
    <w:rsid w:val="006E7730"/>
    <w:rsid w:val="006E7B4D"/>
    <w:rsid w:val="006F158D"/>
    <w:rsid w:val="006F180E"/>
    <w:rsid w:val="006F250E"/>
    <w:rsid w:val="006F271A"/>
    <w:rsid w:val="006F2E85"/>
    <w:rsid w:val="006F3465"/>
    <w:rsid w:val="006F37B1"/>
    <w:rsid w:val="006F3986"/>
    <w:rsid w:val="006F3D0E"/>
    <w:rsid w:val="006F4182"/>
    <w:rsid w:val="006F46F4"/>
    <w:rsid w:val="006F49F1"/>
    <w:rsid w:val="006F525E"/>
    <w:rsid w:val="006F7070"/>
    <w:rsid w:val="006F712E"/>
    <w:rsid w:val="006F7888"/>
    <w:rsid w:val="006F7D11"/>
    <w:rsid w:val="007004B7"/>
    <w:rsid w:val="007004E1"/>
    <w:rsid w:val="00700DBD"/>
    <w:rsid w:val="0070177F"/>
    <w:rsid w:val="00701BC7"/>
    <w:rsid w:val="00701CA1"/>
    <w:rsid w:val="00703788"/>
    <w:rsid w:val="00705431"/>
    <w:rsid w:val="0070717B"/>
    <w:rsid w:val="0070748C"/>
    <w:rsid w:val="0070784A"/>
    <w:rsid w:val="00707C5E"/>
    <w:rsid w:val="00710270"/>
    <w:rsid w:val="00711109"/>
    <w:rsid w:val="00711237"/>
    <w:rsid w:val="0071175A"/>
    <w:rsid w:val="00711815"/>
    <w:rsid w:val="0071196F"/>
    <w:rsid w:val="00713343"/>
    <w:rsid w:val="0071356A"/>
    <w:rsid w:val="0071365D"/>
    <w:rsid w:val="00713E09"/>
    <w:rsid w:val="007142DA"/>
    <w:rsid w:val="00714C78"/>
    <w:rsid w:val="00714FB9"/>
    <w:rsid w:val="00717093"/>
    <w:rsid w:val="00717146"/>
    <w:rsid w:val="007172C0"/>
    <w:rsid w:val="007179AA"/>
    <w:rsid w:val="00720104"/>
    <w:rsid w:val="00720400"/>
    <w:rsid w:val="00720844"/>
    <w:rsid w:val="00720BE1"/>
    <w:rsid w:val="00721480"/>
    <w:rsid w:val="00721E84"/>
    <w:rsid w:val="0072306F"/>
    <w:rsid w:val="0072360F"/>
    <w:rsid w:val="0072510B"/>
    <w:rsid w:val="00727850"/>
    <w:rsid w:val="00727CE5"/>
    <w:rsid w:val="007305AE"/>
    <w:rsid w:val="00730E7D"/>
    <w:rsid w:val="007310D1"/>
    <w:rsid w:val="00731F6B"/>
    <w:rsid w:val="00732010"/>
    <w:rsid w:val="007323E0"/>
    <w:rsid w:val="007325E4"/>
    <w:rsid w:val="00732D50"/>
    <w:rsid w:val="00732E6D"/>
    <w:rsid w:val="00733CE2"/>
    <w:rsid w:val="00737B22"/>
    <w:rsid w:val="00740299"/>
    <w:rsid w:val="00740A8D"/>
    <w:rsid w:val="00741AD8"/>
    <w:rsid w:val="00741F8E"/>
    <w:rsid w:val="00742E96"/>
    <w:rsid w:val="00743169"/>
    <w:rsid w:val="00743854"/>
    <w:rsid w:val="00743D4F"/>
    <w:rsid w:val="007442BE"/>
    <w:rsid w:val="007443F4"/>
    <w:rsid w:val="00745A12"/>
    <w:rsid w:val="00745BF6"/>
    <w:rsid w:val="00746BBB"/>
    <w:rsid w:val="00747544"/>
    <w:rsid w:val="00747CD3"/>
    <w:rsid w:val="007501D0"/>
    <w:rsid w:val="007501E6"/>
    <w:rsid w:val="007509F3"/>
    <w:rsid w:val="00751B2E"/>
    <w:rsid w:val="007525B9"/>
    <w:rsid w:val="00753A3C"/>
    <w:rsid w:val="00754230"/>
    <w:rsid w:val="00754C7B"/>
    <w:rsid w:val="007556F4"/>
    <w:rsid w:val="00755936"/>
    <w:rsid w:val="007570CD"/>
    <w:rsid w:val="007571D4"/>
    <w:rsid w:val="00757E7A"/>
    <w:rsid w:val="007600B3"/>
    <w:rsid w:val="0076215C"/>
    <w:rsid w:val="0076265B"/>
    <w:rsid w:val="00762716"/>
    <w:rsid w:val="00763009"/>
    <w:rsid w:val="007648F2"/>
    <w:rsid w:val="00764961"/>
    <w:rsid w:val="00764A18"/>
    <w:rsid w:val="007666F1"/>
    <w:rsid w:val="007669E8"/>
    <w:rsid w:val="00767048"/>
    <w:rsid w:val="00770CD7"/>
    <w:rsid w:val="00770FA2"/>
    <w:rsid w:val="00770FAC"/>
    <w:rsid w:val="0077120E"/>
    <w:rsid w:val="00771A44"/>
    <w:rsid w:val="0077237D"/>
    <w:rsid w:val="00772984"/>
    <w:rsid w:val="00773399"/>
    <w:rsid w:val="007734E0"/>
    <w:rsid w:val="00774A5A"/>
    <w:rsid w:val="00774E70"/>
    <w:rsid w:val="00775026"/>
    <w:rsid w:val="00775086"/>
    <w:rsid w:val="00775A70"/>
    <w:rsid w:val="00780E16"/>
    <w:rsid w:val="0078110C"/>
    <w:rsid w:val="00781567"/>
    <w:rsid w:val="00782B93"/>
    <w:rsid w:val="00783761"/>
    <w:rsid w:val="0078459E"/>
    <w:rsid w:val="00784838"/>
    <w:rsid w:val="00784880"/>
    <w:rsid w:val="00784D92"/>
    <w:rsid w:val="00785CC1"/>
    <w:rsid w:val="007877F1"/>
    <w:rsid w:val="00790375"/>
    <w:rsid w:val="00790EDA"/>
    <w:rsid w:val="00791073"/>
    <w:rsid w:val="00791555"/>
    <w:rsid w:val="00793887"/>
    <w:rsid w:val="00795A3F"/>
    <w:rsid w:val="007972D5"/>
    <w:rsid w:val="00797AD8"/>
    <w:rsid w:val="00797AE0"/>
    <w:rsid w:val="007A0438"/>
    <w:rsid w:val="007A0DF7"/>
    <w:rsid w:val="007A1EF7"/>
    <w:rsid w:val="007A21E1"/>
    <w:rsid w:val="007A24F8"/>
    <w:rsid w:val="007A2AC2"/>
    <w:rsid w:val="007A4446"/>
    <w:rsid w:val="007A45A6"/>
    <w:rsid w:val="007A49C1"/>
    <w:rsid w:val="007A550F"/>
    <w:rsid w:val="007A609B"/>
    <w:rsid w:val="007A6BB6"/>
    <w:rsid w:val="007A6C48"/>
    <w:rsid w:val="007A6CC0"/>
    <w:rsid w:val="007A784E"/>
    <w:rsid w:val="007A7F99"/>
    <w:rsid w:val="007B032B"/>
    <w:rsid w:val="007B13F0"/>
    <w:rsid w:val="007B21D5"/>
    <w:rsid w:val="007B233B"/>
    <w:rsid w:val="007B287A"/>
    <w:rsid w:val="007B33D8"/>
    <w:rsid w:val="007B3C51"/>
    <w:rsid w:val="007B4AD5"/>
    <w:rsid w:val="007B4C85"/>
    <w:rsid w:val="007B63E4"/>
    <w:rsid w:val="007C026D"/>
    <w:rsid w:val="007C0AF2"/>
    <w:rsid w:val="007C1EE8"/>
    <w:rsid w:val="007C1EED"/>
    <w:rsid w:val="007C1FEC"/>
    <w:rsid w:val="007C2777"/>
    <w:rsid w:val="007C2FF3"/>
    <w:rsid w:val="007C406C"/>
    <w:rsid w:val="007C59FE"/>
    <w:rsid w:val="007C75E4"/>
    <w:rsid w:val="007C7957"/>
    <w:rsid w:val="007D03CA"/>
    <w:rsid w:val="007D2B11"/>
    <w:rsid w:val="007D36C7"/>
    <w:rsid w:val="007D39FD"/>
    <w:rsid w:val="007D5ABB"/>
    <w:rsid w:val="007D719A"/>
    <w:rsid w:val="007D765E"/>
    <w:rsid w:val="007E0A60"/>
    <w:rsid w:val="007E0DE8"/>
    <w:rsid w:val="007E20B3"/>
    <w:rsid w:val="007E31A0"/>
    <w:rsid w:val="007E36A8"/>
    <w:rsid w:val="007E3FDB"/>
    <w:rsid w:val="007E6827"/>
    <w:rsid w:val="007E7F01"/>
    <w:rsid w:val="007F0AA2"/>
    <w:rsid w:val="007F1200"/>
    <w:rsid w:val="007F34B6"/>
    <w:rsid w:val="007F4051"/>
    <w:rsid w:val="007F4456"/>
    <w:rsid w:val="007F5A51"/>
    <w:rsid w:val="007F5DE1"/>
    <w:rsid w:val="007F71A3"/>
    <w:rsid w:val="007F77F3"/>
    <w:rsid w:val="00800ACF"/>
    <w:rsid w:val="0080223D"/>
    <w:rsid w:val="008028CE"/>
    <w:rsid w:val="008031FF"/>
    <w:rsid w:val="00804B36"/>
    <w:rsid w:val="008051AF"/>
    <w:rsid w:val="00806592"/>
    <w:rsid w:val="00806CBE"/>
    <w:rsid w:val="00810346"/>
    <w:rsid w:val="00810352"/>
    <w:rsid w:val="00810ABC"/>
    <w:rsid w:val="00811C4B"/>
    <w:rsid w:val="00812E2F"/>
    <w:rsid w:val="00814BD3"/>
    <w:rsid w:val="00814C31"/>
    <w:rsid w:val="00815815"/>
    <w:rsid w:val="00816428"/>
    <w:rsid w:val="00816C67"/>
    <w:rsid w:val="008176F0"/>
    <w:rsid w:val="00820A4A"/>
    <w:rsid w:val="00821086"/>
    <w:rsid w:val="008213AA"/>
    <w:rsid w:val="00822F02"/>
    <w:rsid w:val="008238CD"/>
    <w:rsid w:val="008244AD"/>
    <w:rsid w:val="00825254"/>
    <w:rsid w:val="00825805"/>
    <w:rsid w:val="008262FF"/>
    <w:rsid w:val="0083028B"/>
    <w:rsid w:val="008312E7"/>
    <w:rsid w:val="00831F09"/>
    <w:rsid w:val="008321BD"/>
    <w:rsid w:val="00834193"/>
    <w:rsid w:val="008358B4"/>
    <w:rsid w:val="0083664D"/>
    <w:rsid w:val="00836F8D"/>
    <w:rsid w:val="008371B8"/>
    <w:rsid w:val="0084094D"/>
    <w:rsid w:val="00840A38"/>
    <w:rsid w:val="00840D00"/>
    <w:rsid w:val="00841619"/>
    <w:rsid w:val="00841B1A"/>
    <w:rsid w:val="00841E27"/>
    <w:rsid w:val="00841E81"/>
    <w:rsid w:val="0084281C"/>
    <w:rsid w:val="00842E10"/>
    <w:rsid w:val="00843ADA"/>
    <w:rsid w:val="00843DFB"/>
    <w:rsid w:val="00843F3C"/>
    <w:rsid w:val="00844A10"/>
    <w:rsid w:val="00844AD6"/>
    <w:rsid w:val="00845B23"/>
    <w:rsid w:val="00845B7B"/>
    <w:rsid w:val="00845F06"/>
    <w:rsid w:val="00846FAF"/>
    <w:rsid w:val="00847165"/>
    <w:rsid w:val="00850B71"/>
    <w:rsid w:val="0085122C"/>
    <w:rsid w:val="00851346"/>
    <w:rsid w:val="00851C92"/>
    <w:rsid w:val="00851CC1"/>
    <w:rsid w:val="00852B51"/>
    <w:rsid w:val="00852F5B"/>
    <w:rsid w:val="0085367B"/>
    <w:rsid w:val="00854B71"/>
    <w:rsid w:val="0085571C"/>
    <w:rsid w:val="00855C30"/>
    <w:rsid w:val="00860775"/>
    <w:rsid w:val="00860CCB"/>
    <w:rsid w:val="008615D2"/>
    <w:rsid w:val="00862979"/>
    <w:rsid w:val="0086327C"/>
    <w:rsid w:val="008647E0"/>
    <w:rsid w:val="00864F8B"/>
    <w:rsid w:val="0086533B"/>
    <w:rsid w:val="00866137"/>
    <w:rsid w:val="00866863"/>
    <w:rsid w:val="00866FA1"/>
    <w:rsid w:val="0086704A"/>
    <w:rsid w:val="00867354"/>
    <w:rsid w:val="00867FEB"/>
    <w:rsid w:val="00870368"/>
    <w:rsid w:val="00870CD5"/>
    <w:rsid w:val="00870E35"/>
    <w:rsid w:val="008713A1"/>
    <w:rsid w:val="00871BBB"/>
    <w:rsid w:val="00871D73"/>
    <w:rsid w:val="00871D77"/>
    <w:rsid w:val="0087253A"/>
    <w:rsid w:val="0087261E"/>
    <w:rsid w:val="00872A32"/>
    <w:rsid w:val="00872A9E"/>
    <w:rsid w:val="00876C75"/>
    <w:rsid w:val="008773A2"/>
    <w:rsid w:val="00877DD7"/>
    <w:rsid w:val="008800A9"/>
    <w:rsid w:val="008816E1"/>
    <w:rsid w:val="00882939"/>
    <w:rsid w:val="00882AD8"/>
    <w:rsid w:val="00882E01"/>
    <w:rsid w:val="00883CFC"/>
    <w:rsid w:val="008844E5"/>
    <w:rsid w:val="00884FF7"/>
    <w:rsid w:val="008855E4"/>
    <w:rsid w:val="00886AFD"/>
    <w:rsid w:val="00887B26"/>
    <w:rsid w:val="008908F2"/>
    <w:rsid w:val="00891100"/>
    <w:rsid w:val="00891849"/>
    <w:rsid w:val="00891AB4"/>
    <w:rsid w:val="00891DC2"/>
    <w:rsid w:val="00893F35"/>
    <w:rsid w:val="008944EE"/>
    <w:rsid w:val="00894D6C"/>
    <w:rsid w:val="00895E40"/>
    <w:rsid w:val="008977E1"/>
    <w:rsid w:val="00897A9C"/>
    <w:rsid w:val="008A01B7"/>
    <w:rsid w:val="008A0CCC"/>
    <w:rsid w:val="008A1AE9"/>
    <w:rsid w:val="008A229B"/>
    <w:rsid w:val="008A2E3B"/>
    <w:rsid w:val="008A3063"/>
    <w:rsid w:val="008A52F9"/>
    <w:rsid w:val="008A63E5"/>
    <w:rsid w:val="008A7647"/>
    <w:rsid w:val="008A79D6"/>
    <w:rsid w:val="008B00BA"/>
    <w:rsid w:val="008B030C"/>
    <w:rsid w:val="008B0B76"/>
    <w:rsid w:val="008B3233"/>
    <w:rsid w:val="008B7C72"/>
    <w:rsid w:val="008C068A"/>
    <w:rsid w:val="008C1729"/>
    <w:rsid w:val="008C18DB"/>
    <w:rsid w:val="008C4453"/>
    <w:rsid w:val="008C49E4"/>
    <w:rsid w:val="008C4A80"/>
    <w:rsid w:val="008C4AA6"/>
    <w:rsid w:val="008C5031"/>
    <w:rsid w:val="008C66D1"/>
    <w:rsid w:val="008D0940"/>
    <w:rsid w:val="008D0D5D"/>
    <w:rsid w:val="008D161A"/>
    <w:rsid w:val="008D2892"/>
    <w:rsid w:val="008D3281"/>
    <w:rsid w:val="008D4274"/>
    <w:rsid w:val="008D4282"/>
    <w:rsid w:val="008D4C16"/>
    <w:rsid w:val="008D4D90"/>
    <w:rsid w:val="008D4F28"/>
    <w:rsid w:val="008D5A34"/>
    <w:rsid w:val="008D6722"/>
    <w:rsid w:val="008E0009"/>
    <w:rsid w:val="008E0B5B"/>
    <w:rsid w:val="008E2389"/>
    <w:rsid w:val="008E2725"/>
    <w:rsid w:val="008E368B"/>
    <w:rsid w:val="008E3AC8"/>
    <w:rsid w:val="008E5A72"/>
    <w:rsid w:val="008E716C"/>
    <w:rsid w:val="008F0EB2"/>
    <w:rsid w:val="008F0FD8"/>
    <w:rsid w:val="008F15D9"/>
    <w:rsid w:val="008F1893"/>
    <w:rsid w:val="008F1A2E"/>
    <w:rsid w:val="008F2497"/>
    <w:rsid w:val="008F2BE2"/>
    <w:rsid w:val="008F3683"/>
    <w:rsid w:val="008F3B63"/>
    <w:rsid w:val="008F3CB0"/>
    <w:rsid w:val="008F4F4A"/>
    <w:rsid w:val="008F6279"/>
    <w:rsid w:val="008F6B5B"/>
    <w:rsid w:val="008F6E68"/>
    <w:rsid w:val="008F6E91"/>
    <w:rsid w:val="008F740F"/>
    <w:rsid w:val="008F7533"/>
    <w:rsid w:val="00901A37"/>
    <w:rsid w:val="00901E2B"/>
    <w:rsid w:val="00903FB2"/>
    <w:rsid w:val="00904581"/>
    <w:rsid w:val="009067C2"/>
    <w:rsid w:val="00907884"/>
    <w:rsid w:val="00907AC5"/>
    <w:rsid w:val="00907D25"/>
    <w:rsid w:val="00910764"/>
    <w:rsid w:val="009108EA"/>
    <w:rsid w:val="00910D77"/>
    <w:rsid w:val="00910F3E"/>
    <w:rsid w:val="00912B76"/>
    <w:rsid w:val="0091382B"/>
    <w:rsid w:val="00913847"/>
    <w:rsid w:val="0091393C"/>
    <w:rsid w:val="0091470A"/>
    <w:rsid w:val="009147FD"/>
    <w:rsid w:val="00914CD5"/>
    <w:rsid w:val="009171EF"/>
    <w:rsid w:val="0091738F"/>
    <w:rsid w:val="00917DE3"/>
    <w:rsid w:val="009210B6"/>
    <w:rsid w:val="009216B6"/>
    <w:rsid w:val="009227E3"/>
    <w:rsid w:val="009227ED"/>
    <w:rsid w:val="00923D93"/>
    <w:rsid w:val="00924028"/>
    <w:rsid w:val="00924448"/>
    <w:rsid w:val="009256E5"/>
    <w:rsid w:val="00925969"/>
    <w:rsid w:val="00925A73"/>
    <w:rsid w:val="009306ED"/>
    <w:rsid w:val="00930B27"/>
    <w:rsid w:val="009311FC"/>
    <w:rsid w:val="00931E96"/>
    <w:rsid w:val="00933BC6"/>
    <w:rsid w:val="00935330"/>
    <w:rsid w:val="00935603"/>
    <w:rsid w:val="009358A3"/>
    <w:rsid w:val="00936F01"/>
    <w:rsid w:val="00936F7C"/>
    <w:rsid w:val="009370AA"/>
    <w:rsid w:val="00937108"/>
    <w:rsid w:val="00937636"/>
    <w:rsid w:val="00937B4F"/>
    <w:rsid w:val="00937C1C"/>
    <w:rsid w:val="00937FFB"/>
    <w:rsid w:val="0094018B"/>
    <w:rsid w:val="00940D1E"/>
    <w:rsid w:val="0094404C"/>
    <w:rsid w:val="009443C5"/>
    <w:rsid w:val="00944F59"/>
    <w:rsid w:val="00945B6C"/>
    <w:rsid w:val="00946953"/>
    <w:rsid w:val="00946D91"/>
    <w:rsid w:val="00947E07"/>
    <w:rsid w:val="00950127"/>
    <w:rsid w:val="0095085D"/>
    <w:rsid w:val="009512F0"/>
    <w:rsid w:val="0095138C"/>
    <w:rsid w:val="009518E3"/>
    <w:rsid w:val="009525A7"/>
    <w:rsid w:val="0095393A"/>
    <w:rsid w:val="00953EBD"/>
    <w:rsid w:val="0095538F"/>
    <w:rsid w:val="009555F1"/>
    <w:rsid w:val="00955E84"/>
    <w:rsid w:val="00956BCB"/>
    <w:rsid w:val="00957973"/>
    <w:rsid w:val="00957C4A"/>
    <w:rsid w:val="00957DB4"/>
    <w:rsid w:val="00957EA3"/>
    <w:rsid w:val="00960B40"/>
    <w:rsid w:val="0096174C"/>
    <w:rsid w:val="00962105"/>
    <w:rsid w:val="00962738"/>
    <w:rsid w:val="00962BB7"/>
    <w:rsid w:val="009638F5"/>
    <w:rsid w:val="00963E5B"/>
    <w:rsid w:val="00964898"/>
    <w:rsid w:val="009648EB"/>
    <w:rsid w:val="00964C48"/>
    <w:rsid w:val="0096526B"/>
    <w:rsid w:val="0096642B"/>
    <w:rsid w:val="00966BCA"/>
    <w:rsid w:val="009703FE"/>
    <w:rsid w:val="00970609"/>
    <w:rsid w:val="0097065D"/>
    <w:rsid w:val="009741B9"/>
    <w:rsid w:val="009751BD"/>
    <w:rsid w:val="0097647F"/>
    <w:rsid w:val="009775B5"/>
    <w:rsid w:val="0098082B"/>
    <w:rsid w:val="00981A11"/>
    <w:rsid w:val="009857F1"/>
    <w:rsid w:val="00985A89"/>
    <w:rsid w:val="009860D0"/>
    <w:rsid w:val="0098671F"/>
    <w:rsid w:val="0098676A"/>
    <w:rsid w:val="00986C3F"/>
    <w:rsid w:val="009875A0"/>
    <w:rsid w:val="00987AAA"/>
    <w:rsid w:val="00987B4D"/>
    <w:rsid w:val="00991070"/>
    <w:rsid w:val="0099110A"/>
    <w:rsid w:val="009911AE"/>
    <w:rsid w:val="00991978"/>
    <w:rsid w:val="00991DE7"/>
    <w:rsid w:val="00992220"/>
    <w:rsid w:val="00993E3A"/>
    <w:rsid w:val="00994D1B"/>
    <w:rsid w:val="00994E27"/>
    <w:rsid w:val="00995A0C"/>
    <w:rsid w:val="00996722"/>
    <w:rsid w:val="009977CF"/>
    <w:rsid w:val="00997C0C"/>
    <w:rsid w:val="00997FBA"/>
    <w:rsid w:val="009A04C7"/>
    <w:rsid w:val="009A0B03"/>
    <w:rsid w:val="009A0C12"/>
    <w:rsid w:val="009A1911"/>
    <w:rsid w:val="009A1D8A"/>
    <w:rsid w:val="009A3240"/>
    <w:rsid w:val="009A3861"/>
    <w:rsid w:val="009A4201"/>
    <w:rsid w:val="009A470E"/>
    <w:rsid w:val="009A4F1A"/>
    <w:rsid w:val="009A517B"/>
    <w:rsid w:val="009A653F"/>
    <w:rsid w:val="009A6CDC"/>
    <w:rsid w:val="009A6FC5"/>
    <w:rsid w:val="009A7A5B"/>
    <w:rsid w:val="009B03C9"/>
    <w:rsid w:val="009B1EF6"/>
    <w:rsid w:val="009B22F5"/>
    <w:rsid w:val="009B3989"/>
    <w:rsid w:val="009B5BE4"/>
    <w:rsid w:val="009B62E3"/>
    <w:rsid w:val="009B6699"/>
    <w:rsid w:val="009B710E"/>
    <w:rsid w:val="009C027A"/>
    <w:rsid w:val="009C0C6C"/>
    <w:rsid w:val="009C1219"/>
    <w:rsid w:val="009C2496"/>
    <w:rsid w:val="009C2557"/>
    <w:rsid w:val="009C32B8"/>
    <w:rsid w:val="009C3A14"/>
    <w:rsid w:val="009C3C8C"/>
    <w:rsid w:val="009C4759"/>
    <w:rsid w:val="009C5DA2"/>
    <w:rsid w:val="009C6FB5"/>
    <w:rsid w:val="009D01EE"/>
    <w:rsid w:val="009D03AA"/>
    <w:rsid w:val="009D2567"/>
    <w:rsid w:val="009D2812"/>
    <w:rsid w:val="009D292E"/>
    <w:rsid w:val="009D313B"/>
    <w:rsid w:val="009D3543"/>
    <w:rsid w:val="009D3919"/>
    <w:rsid w:val="009D4DD3"/>
    <w:rsid w:val="009D5F97"/>
    <w:rsid w:val="009D775C"/>
    <w:rsid w:val="009E0492"/>
    <w:rsid w:val="009E0511"/>
    <w:rsid w:val="009E0C52"/>
    <w:rsid w:val="009E0D7C"/>
    <w:rsid w:val="009E157A"/>
    <w:rsid w:val="009E174A"/>
    <w:rsid w:val="009E1BA6"/>
    <w:rsid w:val="009E220E"/>
    <w:rsid w:val="009E31BC"/>
    <w:rsid w:val="009E4379"/>
    <w:rsid w:val="009E4603"/>
    <w:rsid w:val="009E4D47"/>
    <w:rsid w:val="009E5BD8"/>
    <w:rsid w:val="009E5C98"/>
    <w:rsid w:val="009E6934"/>
    <w:rsid w:val="009E7749"/>
    <w:rsid w:val="009E7D31"/>
    <w:rsid w:val="009E7E51"/>
    <w:rsid w:val="009F1F7D"/>
    <w:rsid w:val="009F2871"/>
    <w:rsid w:val="009F3F94"/>
    <w:rsid w:val="009F476A"/>
    <w:rsid w:val="009F5694"/>
    <w:rsid w:val="009F56E5"/>
    <w:rsid w:val="009F576C"/>
    <w:rsid w:val="009F57B5"/>
    <w:rsid w:val="009F5F90"/>
    <w:rsid w:val="009F66D1"/>
    <w:rsid w:val="009F6FFF"/>
    <w:rsid w:val="009F73DC"/>
    <w:rsid w:val="009F75A9"/>
    <w:rsid w:val="009F783D"/>
    <w:rsid w:val="00A02C69"/>
    <w:rsid w:val="00A0318D"/>
    <w:rsid w:val="00A03284"/>
    <w:rsid w:val="00A03CA2"/>
    <w:rsid w:val="00A0523F"/>
    <w:rsid w:val="00A06037"/>
    <w:rsid w:val="00A06D9E"/>
    <w:rsid w:val="00A07724"/>
    <w:rsid w:val="00A10C9D"/>
    <w:rsid w:val="00A115A8"/>
    <w:rsid w:val="00A11B68"/>
    <w:rsid w:val="00A12766"/>
    <w:rsid w:val="00A136A3"/>
    <w:rsid w:val="00A13A50"/>
    <w:rsid w:val="00A13F3E"/>
    <w:rsid w:val="00A14861"/>
    <w:rsid w:val="00A15629"/>
    <w:rsid w:val="00A1573E"/>
    <w:rsid w:val="00A159F3"/>
    <w:rsid w:val="00A16061"/>
    <w:rsid w:val="00A162F0"/>
    <w:rsid w:val="00A1643A"/>
    <w:rsid w:val="00A177AF"/>
    <w:rsid w:val="00A2018F"/>
    <w:rsid w:val="00A21EA2"/>
    <w:rsid w:val="00A23677"/>
    <w:rsid w:val="00A23976"/>
    <w:rsid w:val="00A25E38"/>
    <w:rsid w:val="00A2740E"/>
    <w:rsid w:val="00A27AC7"/>
    <w:rsid w:val="00A27C27"/>
    <w:rsid w:val="00A316D5"/>
    <w:rsid w:val="00A323E1"/>
    <w:rsid w:val="00A32433"/>
    <w:rsid w:val="00A32814"/>
    <w:rsid w:val="00A32AEB"/>
    <w:rsid w:val="00A32EB9"/>
    <w:rsid w:val="00A33ABA"/>
    <w:rsid w:val="00A35D57"/>
    <w:rsid w:val="00A37889"/>
    <w:rsid w:val="00A405BC"/>
    <w:rsid w:val="00A410A8"/>
    <w:rsid w:val="00A417ED"/>
    <w:rsid w:val="00A41980"/>
    <w:rsid w:val="00A41B6A"/>
    <w:rsid w:val="00A426A3"/>
    <w:rsid w:val="00A43585"/>
    <w:rsid w:val="00A436A5"/>
    <w:rsid w:val="00A45186"/>
    <w:rsid w:val="00A45507"/>
    <w:rsid w:val="00A4555F"/>
    <w:rsid w:val="00A45ADB"/>
    <w:rsid w:val="00A4699F"/>
    <w:rsid w:val="00A471D4"/>
    <w:rsid w:val="00A502F1"/>
    <w:rsid w:val="00A50411"/>
    <w:rsid w:val="00A5140E"/>
    <w:rsid w:val="00A5206D"/>
    <w:rsid w:val="00A52665"/>
    <w:rsid w:val="00A54142"/>
    <w:rsid w:val="00A54228"/>
    <w:rsid w:val="00A54529"/>
    <w:rsid w:val="00A560B3"/>
    <w:rsid w:val="00A56DD0"/>
    <w:rsid w:val="00A605F4"/>
    <w:rsid w:val="00A6132D"/>
    <w:rsid w:val="00A61F12"/>
    <w:rsid w:val="00A6215E"/>
    <w:rsid w:val="00A62B80"/>
    <w:rsid w:val="00A63E3F"/>
    <w:rsid w:val="00A64694"/>
    <w:rsid w:val="00A64A0E"/>
    <w:rsid w:val="00A64A75"/>
    <w:rsid w:val="00A66159"/>
    <w:rsid w:val="00A6766C"/>
    <w:rsid w:val="00A70339"/>
    <w:rsid w:val="00A70823"/>
    <w:rsid w:val="00A71E23"/>
    <w:rsid w:val="00A7217F"/>
    <w:rsid w:val="00A732F5"/>
    <w:rsid w:val="00A73915"/>
    <w:rsid w:val="00A73F56"/>
    <w:rsid w:val="00A73FBC"/>
    <w:rsid w:val="00A740E7"/>
    <w:rsid w:val="00A75895"/>
    <w:rsid w:val="00A76AA7"/>
    <w:rsid w:val="00A770B4"/>
    <w:rsid w:val="00A77786"/>
    <w:rsid w:val="00A77ACB"/>
    <w:rsid w:val="00A80218"/>
    <w:rsid w:val="00A80EF5"/>
    <w:rsid w:val="00A81AB1"/>
    <w:rsid w:val="00A81B59"/>
    <w:rsid w:val="00A82908"/>
    <w:rsid w:val="00A82914"/>
    <w:rsid w:val="00A82945"/>
    <w:rsid w:val="00A82BFF"/>
    <w:rsid w:val="00A83899"/>
    <w:rsid w:val="00A8454D"/>
    <w:rsid w:val="00A84D38"/>
    <w:rsid w:val="00A854D9"/>
    <w:rsid w:val="00A85622"/>
    <w:rsid w:val="00A86CD5"/>
    <w:rsid w:val="00A86DE0"/>
    <w:rsid w:val="00A8760B"/>
    <w:rsid w:val="00A906D1"/>
    <w:rsid w:val="00A9092C"/>
    <w:rsid w:val="00A92E85"/>
    <w:rsid w:val="00A93A57"/>
    <w:rsid w:val="00A943CD"/>
    <w:rsid w:val="00A95A31"/>
    <w:rsid w:val="00A96D74"/>
    <w:rsid w:val="00A9793F"/>
    <w:rsid w:val="00AA0664"/>
    <w:rsid w:val="00AA0B64"/>
    <w:rsid w:val="00AA11B3"/>
    <w:rsid w:val="00AA19B5"/>
    <w:rsid w:val="00AA25C9"/>
    <w:rsid w:val="00AA2946"/>
    <w:rsid w:val="00AA29BA"/>
    <w:rsid w:val="00AA2B88"/>
    <w:rsid w:val="00AA3756"/>
    <w:rsid w:val="00AA3931"/>
    <w:rsid w:val="00AA428C"/>
    <w:rsid w:val="00AA49D6"/>
    <w:rsid w:val="00AA6649"/>
    <w:rsid w:val="00AB0637"/>
    <w:rsid w:val="00AB1A1E"/>
    <w:rsid w:val="00AB1C08"/>
    <w:rsid w:val="00AB1E1F"/>
    <w:rsid w:val="00AB203A"/>
    <w:rsid w:val="00AB26EC"/>
    <w:rsid w:val="00AB5D8A"/>
    <w:rsid w:val="00AB6428"/>
    <w:rsid w:val="00AB7CC5"/>
    <w:rsid w:val="00AC038E"/>
    <w:rsid w:val="00AC0CC9"/>
    <w:rsid w:val="00AC1661"/>
    <w:rsid w:val="00AC2219"/>
    <w:rsid w:val="00AC27C3"/>
    <w:rsid w:val="00AC3898"/>
    <w:rsid w:val="00AC415D"/>
    <w:rsid w:val="00AC44F9"/>
    <w:rsid w:val="00AC4F68"/>
    <w:rsid w:val="00AC7C02"/>
    <w:rsid w:val="00AD0A15"/>
    <w:rsid w:val="00AD1B49"/>
    <w:rsid w:val="00AD42C3"/>
    <w:rsid w:val="00AD5534"/>
    <w:rsid w:val="00AD5EEF"/>
    <w:rsid w:val="00AD6CDC"/>
    <w:rsid w:val="00AD77A2"/>
    <w:rsid w:val="00AD7D78"/>
    <w:rsid w:val="00AE0C1C"/>
    <w:rsid w:val="00AE1A18"/>
    <w:rsid w:val="00AE1EC6"/>
    <w:rsid w:val="00AE2E51"/>
    <w:rsid w:val="00AE5445"/>
    <w:rsid w:val="00AE5B9B"/>
    <w:rsid w:val="00AE5F63"/>
    <w:rsid w:val="00AE6CC2"/>
    <w:rsid w:val="00AE725C"/>
    <w:rsid w:val="00AE777F"/>
    <w:rsid w:val="00AF05B4"/>
    <w:rsid w:val="00AF082C"/>
    <w:rsid w:val="00AF0E06"/>
    <w:rsid w:val="00AF1D4E"/>
    <w:rsid w:val="00AF2CBC"/>
    <w:rsid w:val="00AF38F8"/>
    <w:rsid w:val="00AF3C53"/>
    <w:rsid w:val="00AF3EA1"/>
    <w:rsid w:val="00AF4112"/>
    <w:rsid w:val="00AF4296"/>
    <w:rsid w:val="00AF4727"/>
    <w:rsid w:val="00AF52C4"/>
    <w:rsid w:val="00AF56A7"/>
    <w:rsid w:val="00AF693A"/>
    <w:rsid w:val="00AF72E0"/>
    <w:rsid w:val="00B01D96"/>
    <w:rsid w:val="00B02994"/>
    <w:rsid w:val="00B0303D"/>
    <w:rsid w:val="00B035A5"/>
    <w:rsid w:val="00B038CC"/>
    <w:rsid w:val="00B04394"/>
    <w:rsid w:val="00B047F8"/>
    <w:rsid w:val="00B04EE8"/>
    <w:rsid w:val="00B06849"/>
    <w:rsid w:val="00B06BF5"/>
    <w:rsid w:val="00B100FB"/>
    <w:rsid w:val="00B10460"/>
    <w:rsid w:val="00B10A3D"/>
    <w:rsid w:val="00B12939"/>
    <w:rsid w:val="00B13C03"/>
    <w:rsid w:val="00B13CA2"/>
    <w:rsid w:val="00B14710"/>
    <w:rsid w:val="00B148AC"/>
    <w:rsid w:val="00B1767F"/>
    <w:rsid w:val="00B17A11"/>
    <w:rsid w:val="00B17DEE"/>
    <w:rsid w:val="00B17F4A"/>
    <w:rsid w:val="00B2044E"/>
    <w:rsid w:val="00B21AD7"/>
    <w:rsid w:val="00B25D0F"/>
    <w:rsid w:val="00B267E1"/>
    <w:rsid w:val="00B269B4"/>
    <w:rsid w:val="00B26A32"/>
    <w:rsid w:val="00B26C28"/>
    <w:rsid w:val="00B279D4"/>
    <w:rsid w:val="00B30B3C"/>
    <w:rsid w:val="00B30C48"/>
    <w:rsid w:val="00B30D3E"/>
    <w:rsid w:val="00B311CE"/>
    <w:rsid w:val="00B322E1"/>
    <w:rsid w:val="00B325C5"/>
    <w:rsid w:val="00B34415"/>
    <w:rsid w:val="00B3471E"/>
    <w:rsid w:val="00B352B0"/>
    <w:rsid w:val="00B36B22"/>
    <w:rsid w:val="00B377F6"/>
    <w:rsid w:val="00B4058F"/>
    <w:rsid w:val="00B40DB6"/>
    <w:rsid w:val="00B42421"/>
    <w:rsid w:val="00B42AB9"/>
    <w:rsid w:val="00B4348A"/>
    <w:rsid w:val="00B4359C"/>
    <w:rsid w:val="00B43F10"/>
    <w:rsid w:val="00B446DB"/>
    <w:rsid w:val="00B45C56"/>
    <w:rsid w:val="00B462B6"/>
    <w:rsid w:val="00B5298C"/>
    <w:rsid w:val="00B529F1"/>
    <w:rsid w:val="00B52F3D"/>
    <w:rsid w:val="00B5388C"/>
    <w:rsid w:val="00B5489D"/>
    <w:rsid w:val="00B54C11"/>
    <w:rsid w:val="00B54DCE"/>
    <w:rsid w:val="00B5587C"/>
    <w:rsid w:val="00B569CE"/>
    <w:rsid w:val="00B570A9"/>
    <w:rsid w:val="00B57911"/>
    <w:rsid w:val="00B606D5"/>
    <w:rsid w:val="00B609D2"/>
    <w:rsid w:val="00B60DAE"/>
    <w:rsid w:val="00B6103A"/>
    <w:rsid w:val="00B61F37"/>
    <w:rsid w:val="00B62057"/>
    <w:rsid w:val="00B62D20"/>
    <w:rsid w:val="00B62E06"/>
    <w:rsid w:val="00B62EF4"/>
    <w:rsid w:val="00B63CE3"/>
    <w:rsid w:val="00B644C7"/>
    <w:rsid w:val="00B65544"/>
    <w:rsid w:val="00B65A73"/>
    <w:rsid w:val="00B663A0"/>
    <w:rsid w:val="00B709EB"/>
    <w:rsid w:val="00B70F19"/>
    <w:rsid w:val="00B71A76"/>
    <w:rsid w:val="00B727AA"/>
    <w:rsid w:val="00B75A73"/>
    <w:rsid w:val="00B76415"/>
    <w:rsid w:val="00B76546"/>
    <w:rsid w:val="00B77BEC"/>
    <w:rsid w:val="00B77E11"/>
    <w:rsid w:val="00B800BE"/>
    <w:rsid w:val="00B81D20"/>
    <w:rsid w:val="00B847F0"/>
    <w:rsid w:val="00B84ED4"/>
    <w:rsid w:val="00B87D8F"/>
    <w:rsid w:val="00B87D9E"/>
    <w:rsid w:val="00B9000B"/>
    <w:rsid w:val="00B90E56"/>
    <w:rsid w:val="00B92415"/>
    <w:rsid w:val="00B926B2"/>
    <w:rsid w:val="00B926FA"/>
    <w:rsid w:val="00B933FA"/>
    <w:rsid w:val="00B933FC"/>
    <w:rsid w:val="00B93765"/>
    <w:rsid w:val="00B94D43"/>
    <w:rsid w:val="00B9507F"/>
    <w:rsid w:val="00B963B4"/>
    <w:rsid w:val="00B9688A"/>
    <w:rsid w:val="00B97100"/>
    <w:rsid w:val="00B9743E"/>
    <w:rsid w:val="00BA0342"/>
    <w:rsid w:val="00BA0454"/>
    <w:rsid w:val="00BA08BE"/>
    <w:rsid w:val="00BA09C6"/>
    <w:rsid w:val="00BA1101"/>
    <w:rsid w:val="00BA20AA"/>
    <w:rsid w:val="00BA3156"/>
    <w:rsid w:val="00BA575E"/>
    <w:rsid w:val="00BA673B"/>
    <w:rsid w:val="00BA7BFB"/>
    <w:rsid w:val="00BB03E2"/>
    <w:rsid w:val="00BB1540"/>
    <w:rsid w:val="00BB1F18"/>
    <w:rsid w:val="00BB21F9"/>
    <w:rsid w:val="00BB26B9"/>
    <w:rsid w:val="00BB3029"/>
    <w:rsid w:val="00BB4687"/>
    <w:rsid w:val="00BB47A7"/>
    <w:rsid w:val="00BB4DBB"/>
    <w:rsid w:val="00BB6BC4"/>
    <w:rsid w:val="00BB74AF"/>
    <w:rsid w:val="00BB7854"/>
    <w:rsid w:val="00BC0206"/>
    <w:rsid w:val="00BC0752"/>
    <w:rsid w:val="00BC3F29"/>
    <w:rsid w:val="00BC466C"/>
    <w:rsid w:val="00BC4CE4"/>
    <w:rsid w:val="00BC5018"/>
    <w:rsid w:val="00BC50B9"/>
    <w:rsid w:val="00BC5A00"/>
    <w:rsid w:val="00BC675D"/>
    <w:rsid w:val="00BC69F6"/>
    <w:rsid w:val="00BC77FC"/>
    <w:rsid w:val="00BD01D0"/>
    <w:rsid w:val="00BD0389"/>
    <w:rsid w:val="00BD0576"/>
    <w:rsid w:val="00BD0B36"/>
    <w:rsid w:val="00BD1664"/>
    <w:rsid w:val="00BD227B"/>
    <w:rsid w:val="00BD2D8B"/>
    <w:rsid w:val="00BD3E57"/>
    <w:rsid w:val="00BD40E0"/>
    <w:rsid w:val="00BD50B9"/>
    <w:rsid w:val="00BD56B5"/>
    <w:rsid w:val="00BD58E3"/>
    <w:rsid w:val="00BD5E3E"/>
    <w:rsid w:val="00BD68D5"/>
    <w:rsid w:val="00BD7DBF"/>
    <w:rsid w:val="00BE06AD"/>
    <w:rsid w:val="00BE0F4D"/>
    <w:rsid w:val="00BE1FB1"/>
    <w:rsid w:val="00BE22D5"/>
    <w:rsid w:val="00BE3BC1"/>
    <w:rsid w:val="00BE50BB"/>
    <w:rsid w:val="00BE5656"/>
    <w:rsid w:val="00BE57D1"/>
    <w:rsid w:val="00BE6FD2"/>
    <w:rsid w:val="00BE7528"/>
    <w:rsid w:val="00BE7CF9"/>
    <w:rsid w:val="00BF0020"/>
    <w:rsid w:val="00BF1215"/>
    <w:rsid w:val="00BF15E6"/>
    <w:rsid w:val="00BF1B2C"/>
    <w:rsid w:val="00BF2A42"/>
    <w:rsid w:val="00BF2B47"/>
    <w:rsid w:val="00BF2C50"/>
    <w:rsid w:val="00BF3562"/>
    <w:rsid w:val="00BF519F"/>
    <w:rsid w:val="00BF5213"/>
    <w:rsid w:val="00BF5BE9"/>
    <w:rsid w:val="00BF6137"/>
    <w:rsid w:val="00BF6936"/>
    <w:rsid w:val="00C02255"/>
    <w:rsid w:val="00C03726"/>
    <w:rsid w:val="00C04917"/>
    <w:rsid w:val="00C0565B"/>
    <w:rsid w:val="00C05F40"/>
    <w:rsid w:val="00C05F42"/>
    <w:rsid w:val="00C063CF"/>
    <w:rsid w:val="00C06432"/>
    <w:rsid w:val="00C068FF"/>
    <w:rsid w:val="00C07076"/>
    <w:rsid w:val="00C0767B"/>
    <w:rsid w:val="00C133A3"/>
    <w:rsid w:val="00C1372B"/>
    <w:rsid w:val="00C14660"/>
    <w:rsid w:val="00C14DFD"/>
    <w:rsid w:val="00C15C68"/>
    <w:rsid w:val="00C16CCB"/>
    <w:rsid w:val="00C17396"/>
    <w:rsid w:val="00C17420"/>
    <w:rsid w:val="00C204AD"/>
    <w:rsid w:val="00C2080F"/>
    <w:rsid w:val="00C2107F"/>
    <w:rsid w:val="00C216CD"/>
    <w:rsid w:val="00C217A6"/>
    <w:rsid w:val="00C220ED"/>
    <w:rsid w:val="00C22D8C"/>
    <w:rsid w:val="00C24490"/>
    <w:rsid w:val="00C24562"/>
    <w:rsid w:val="00C24AFF"/>
    <w:rsid w:val="00C24C76"/>
    <w:rsid w:val="00C24CE6"/>
    <w:rsid w:val="00C24E2E"/>
    <w:rsid w:val="00C25098"/>
    <w:rsid w:val="00C25256"/>
    <w:rsid w:val="00C25EBC"/>
    <w:rsid w:val="00C26B7C"/>
    <w:rsid w:val="00C26F86"/>
    <w:rsid w:val="00C27680"/>
    <w:rsid w:val="00C27B80"/>
    <w:rsid w:val="00C27E15"/>
    <w:rsid w:val="00C27F05"/>
    <w:rsid w:val="00C303F6"/>
    <w:rsid w:val="00C30E30"/>
    <w:rsid w:val="00C31410"/>
    <w:rsid w:val="00C32395"/>
    <w:rsid w:val="00C32B07"/>
    <w:rsid w:val="00C343F2"/>
    <w:rsid w:val="00C34576"/>
    <w:rsid w:val="00C348F7"/>
    <w:rsid w:val="00C34AFC"/>
    <w:rsid w:val="00C355B8"/>
    <w:rsid w:val="00C3575C"/>
    <w:rsid w:val="00C35859"/>
    <w:rsid w:val="00C3661D"/>
    <w:rsid w:val="00C36DD0"/>
    <w:rsid w:val="00C3733D"/>
    <w:rsid w:val="00C42A45"/>
    <w:rsid w:val="00C42E77"/>
    <w:rsid w:val="00C43A19"/>
    <w:rsid w:val="00C440CD"/>
    <w:rsid w:val="00C45629"/>
    <w:rsid w:val="00C46017"/>
    <w:rsid w:val="00C46CCC"/>
    <w:rsid w:val="00C475DE"/>
    <w:rsid w:val="00C47E0F"/>
    <w:rsid w:val="00C503D8"/>
    <w:rsid w:val="00C510DF"/>
    <w:rsid w:val="00C51285"/>
    <w:rsid w:val="00C51C0E"/>
    <w:rsid w:val="00C53623"/>
    <w:rsid w:val="00C5561C"/>
    <w:rsid w:val="00C55659"/>
    <w:rsid w:val="00C563CC"/>
    <w:rsid w:val="00C56800"/>
    <w:rsid w:val="00C56AB8"/>
    <w:rsid w:val="00C57A51"/>
    <w:rsid w:val="00C57C12"/>
    <w:rsid w:val="00C57D78"/>
    <w:rsid w:val="00C602BF"/>
    <w:rsid w:val="00C60F62"/>
    <w:rsid w:val="00C6189B"/>
    <w:rsid w:val="00C61AE8"/>
    <w:rsid w:val="00C621C2"/>
    <w:rsid w:val="00C62219"/>
    <w:rsid w:val="00C6305F"/>
    <w:rsid w:val="00C633E4"/>
    <w:rsid w:val="00C63825"/>
    <w:rsid w:val="00C6389E"/>
    <w:rsid w:val="00C65C8F"/>
    <w:rsid w:val="00C667B1"/>
    <w:rsid w:val="00C66840"/>
    <w:rsid w:val="00C66CEE"/>
    <w:rsid w:val="00C673A1"/>
    <w:rsid w:val="00C70601"/>
    <w:rsid w:val="00C7101B"/>
    <w:rsid w:val="00C71521"/>
    <w:rsid w:val="00C71FA6"/>
    <w:rsid w:val="00C72237"/>
    <w:rsid w:val="00C7273B"/>
    <w:rsid w:val="00C72F45"/>
    <w:rsid w:val="00C742C4"/>
    <w:rsid w:val="00C74B58"/>
    <w:rsid w:val="00C77C97"/>
    <w:rsid w:val="00C80777"/>
    <w:rsid w:val="00C8083F"/>
    <w:rsid w:val="00C808F8"/>
    <w:rsid w:val="00C80923"/>
    <w:rsid w:val="00C80CC8"/>
    <w:rsid w:val="00C82FB2"/>
    <w:rsid w:val="00C83E16"/>
    <w:rsid w:val="00C845A6"/>
    <w:rsid w:val="00C84DE7"/>
    <w:rsid w:val="00C85F23"/>
    <w:rsid w:val="00C86B7D"/>
    <w:rsid w:val="00C8709C"/>
    <w:rsid w:val="00C90157"/>
    <w:rsid w:val="00C91203"/>
    <w:rsid w:val="00C950E1"/>
    <w:rsid w:val="00C95218"/>
    <w:rsid w:val="00C961C3"/>
    <w:rsid w:val="00C96BC7"/>
    <w:rsid w:val="00C97B7F"/>
    <w:rsid w:val="00CA0B83"/>
    <w:rsid w:val="00CA10BD"/>
    <w:rsid w:val="00CA12F0"/>
    <w:rsid w:val="00CA235E"/>
    <w:rsid w:val="00CA2E2A"/>
    <w:rsid w:val="00CA3F20"/>
    <w:rsid w:val="00CA41A3"/>
    <w:rsid w:val="00CA429D"/>
    <w:rsid w:val="00CA4D9F"/>
    <w:rsid w:val="00CA5B68"/>
    <w:rsid w:val="00CA6384"/>
    <w:rsid w:val="00CA7B68"/>
    <w:rsid w:val="00CA7F8F"/>
    <w:rsid w:val="00CA7FD2"/>
    <w:rsid w:val="00CB033D"/>
    <w:rsid w:val="00CB04E2"/>
    <w:rsid w:val="00CB11C2"/>
    <w:rsid w:val="00CB1FE5"/>
    <w:rsid w:val="00CB2198"/>
    <w:rsid w:val="00CB2EA8"/>
    <w:rsid w:val="00CB4785"/>
    <w:rsid w:val="00CB516C"/>
    <w:rsid w:val="00CB7D80"/>
    <w:rsid w:val="00CC2B5E"/>
    <w:rsid w:val="00CC3FF8"/>
    <w:rsid w:val="00CC5401"/>
    <w:rsid w:val="00CC55A7"/>
    <w:rsid w:val="00CC5E69"/>
    <w:rsid w:val="00CC6134"/>
    <w:rsid w:val="00CC7372"/>
    <w:rsid w:val="00CC7F66"/>
    <w:rsid w:val="00CD08B0"/>
    <w:rsid w:val="00CD15B2"/>
    <w:rsid w:val="00CD1A97"/>
    <w:rsid w:val="00CD3266"/>
    <w:rsid w:val="00CD4DB8"/>
    <w:rsid w:val="00CD5F9E"/>
    <w:rsid w:val="00CD68BA"/>
    <w:rsid w:val="00CD72D7"/>
    <w:rsid w:val="00CD7A30"/>
    <w:rsid w:val="00CD7AD3"/>
    <w:rsid w:val="00CD7C1C"/>
    <w:rsid w:val="00CE2306"/>
    <w:rsid w:val="00CE3329"/>
    <w:rsid w:val="00CE4CFF"/>
    <w:rsid w:val="00CE5E3B"/>
    <w:rsid w:val="00CE7178"/>
    <w:rsid w:val="00CF128F"/>
    <w:rsid w:val="00CF1891"/>
    <w:rsid w:val="00CF3DA0"/>
    <w:rsid w:val="00CF4EC3"/>
    <w:rsid w:val="00CF65C6"/>
    <w:rsid w:val="00CF6D4C"/>
    <w:rsid w:val="00CF6E61"/>
    <w:rsid w:val="00CF735F"/>
    <w:rsid w:val="00CF7C51"/>
    <w:rsid w:val="00D00186"/>
    <w:rsid w:val="00D00212"/>
    <w:rsid w:val="00D04118"/>
    <w:rsid w:val="00D052B6"/>
    <w:rsid w:val="00D05D87"/>
    <w:rsid w:val="00D0688C"/>
    <w:rsid w:val="00D06952"/>
    <w:rsid w:val="00D07204"/>
    <w:rsid w:val="00D0735E"/>
    <w:rsid w:val="00D103A5"/>
    <w:rsid w:val="00D10FDC"/>
    <w:rsid w:val="00D1185D"/>
    <w:rsid w:val="00D11F42"/>
    <w:rsid w:val="00D121A6"/>
    <w:rsid w:val="00D12720"/>
    <w:rsid w:val="00D15EF5"/>
    <w:rsid w:val="00D1625F"/>
    <w:rsid w:val="00D168BA"/>
    <w:rsid w:val="00D1732E"/>
    <w:rsid w:val="00D1781B"/>
    <w:rsid w:val="00D17CDA"/>
    <w:rsid w:val="00D20177"/>
    <w:rsid w:val="00D2040B"/>
    <w:rsid w:val="00D206E2"/>
    <w:rsid w:val="00D212D0"/>
    <w:rsid w:val="00D21E56"/>
    <w:rsid w:val="00D223A5"/>
    <w:rsid w:val="00D234BA"/>
    <w:rsid w:val="00D244A0"/>
    <w:rsid w:val="00D24964"/>
    <w:rsid w:val="00D24D76"/>
    <w:rsid w:val="00D25E31"/>
    <w:rsid w:val="00D272A6"/>
    <w:rsid w:val="00D27351"/>
    <w:rsid w:val="00D304DE"/>
    <w:rsid w:val="00D3196E"/>
    <w:rsid w:val="00D32973"/>
    <w:rsid w:val="00D332DF"/>
    <w:rsid w:val="00D35875"/>
    <w:rsid w:val="00D35C9E"/>
    <w:rsid w:val="00D369F5"/>
    <w:rsid w:val="00D37218"/>
    <w:rsid w:val="00D37898"/>
    <w:rsid w:val="00D40A1B"/>
    <w:rsid w:val="00D41677"/>
    <w:rsid w:val="00D41930"/>
    <w:rsid w:val="00D435C9"/>
    <w:rsid w:val="00D439EC"/>
    <w:rsid w:val="00D43F32"/>
    <w:rsid w:val="00D445A2"/>
    <w:rsid w:val="00D44B95"/>
    <w:rsid w:val="00D4553C"/>
    <w:rsid w:val="00D45ABE"/>
    <w:rsid w:val="00D45F0C"/>
    <w:rsid w:val="00D468DE"/>
    <w:rsid w:val="00D46FD8"/>
    <w:rsid w:val="00D46FEE"/>
    <w:rsid w:val="00D477D8"/>
    <w:rsid w:val="00D47B60"/>
    <w:rsid w:val="00D47CA3"/>
    <w:rsid w:val="00D50683"/>
    <w:rsid w:val="00D533F2"/>
    <w:rsid w:val="00D5398F"/>
    <w:rsid w:val="00D53C1E"/>
    <w:rsid w:val="00D54B5E"/>
    <w:rsid w:val="00D54BFD"/>
    <w:rsid w:val="00D54D85"/>
    <w:rsid w:val="00D54F5C"/>
    <w:rsid w:val="00D55652"/>
    <w:rsid w:val="00D56DF2"/>
    <w:rsid w:val="00D57D45"/>
    <w:rsid w:val="00D600ED"/>
    <w:rsid w:val="00D61213"/>
    <w:rsid w:val="00D61B05"/>
    <w:rsid w:val="00D637E8"/>
    <w:rsid w:val="00D63C5A"/>
    <w:rsid w:val="00D6415A"/>
    <w:rsid w:val="00D65104"/>
    <w:rsid w:val="00D65BBA"/>
    <w:rsid w:val="00D65EB4"/>
    <w:rsid w:val="00D65FD2"/>
    <w:rsid w:val="00D669BF"/>
    <w:rsid w:val="00D66EDC"/>
    <w:rsid w:val="00D67EE1"/>
    <w:rsid w:val="00D70836"/>
    <w:rsid w:val="00D726A1"/>
    <w:rsid w:val="00D7312D"/>
    <w:rsid w:val="00D73A14"/>
    <w:rsid w:val="00D756D4"/>
    <w:rsid w:val="00D759C8"/>
    <w:rsid w:val="00D76813"/>
    <w:rsid w:val="00D77468"/>
    <w:rsid w:val="00D77B4D"/>
    <w:rsid w:val="00D809E3"/>
    <w:rsid w:val="00D81497"/>
    <w:rsid w:val="00D8198F"/>
    <w:rsid w:val="00D81FA8"/>
    <w:rsid w:val="00D827AB"/>
    <w:rsid w:val="00D837D3"/>
    <w:rsid w:val="00D839E4"/>
    <w:rsid w:val="00D8448C"/>
    <w:rsid w:val="00D848B2"/>
    <w:rsid w:val="00D85232"/>
    <w:rsid w:val="00D8544E"/>
    <w:rsid w:val="00D85607"/>
    <w:rsid w:val="00D86246"/>
    <w:rsid w:val="00D869B1"/>
    <w:rsid w:val="00D87528"/>
    <w:rsid w:val="00D87D78"/>
    <w:rsid w:val="00D900C7"/>
    <w:rsid w:val="00D9055A"/>
    <w:rsid w:val="00D90A2B"/>
    <w:rsid w:val="00D90E2D"/>
    <w:rsid w:val="00D90E3B"/>
    <w:rsid w:val="00D90FD2"/>
    <w:rsid w:val="00D92079"/>
    <w:rsid w:val="00D92251"/>
    <w:rsid w:val="00D927BC"/>
    <w:rsid w:val="00D92BB2"/>
    <w:rsid w:val="00D930DD"/>
    <w:rsid w:val="00D938DB"/>
    <w:rsid w:val="00D94A60"/>
    <w:rsid w:val="00D9589E"/>
    <w:rsid w:val="00D95C4F"/>
    <w:rsid w:val="00D95EA4"/>
    <w:rsid w:val="00D961C9"/>
    <w:rsid w:val="00D969D9"/>
    <w:rsid w:val="00D96B5C"/>
    <w:rsid w:val="00D97950"/>
    <w:rsid w:val="00DA0318"/>
    <w:rsid w:val="00DA0F7A"/>
    <w:rsid w:val="00DA1E69"/>
    <w:rsid w:val="00DA2396"/>
    <w:rsid w:val="00DA27EC"/>
    <w:rsid w:val="00DA3E3B"/>
    <w:rsid w:val="00DA5543"/>
    <w:rsid w:val="00DA669E"/>
    <w:rsid w:val="00DA6E48"/>
    <w:rsid w:val="00DB0F67"/>
    <w:rsid w:val="00DB1915"/>
    <w:rsid w:val="00DB1AD6"/>
    <w:rsid w:val="00DB3481"/>
    <w:rsid w:val="00DB3CAC"/>
    <w:rsid w:val="00DB3D9F"/>
    <w:rsid w:val="00DB4F63"/>
    <w:rsid w:val="00DB683F"/>
    <w:rsid w:val="00DB69BA"/>
    <w:rsid w:val="00DC1332"/>
    <w:rsid w:val="00DC2552"/>
    <w:rsid w:val="00DC2711"/>
    <w:rsid w:val="00DC279A"/>
    <w:rsid w:val="00DC36A9"/>
    <w:rsid w:val="00DC3768"/>
    <w:rsid w:val="00DC3918"/>
    <w:rsid w:val="00DC3B84"/>
    <w:rsid w:val="00DC528A"/>
    <w:rsid w:val="00DC5B7E"/>
    <w:rsid w:val="00DC67AE"/>
    <w:rsid w:val="00DC6ED2"/>
    <w:rsid w:val="00DC79A2"/>
    <w:rsid w:val="00DD00F0"/>
    <w:rsid w:val="00DD0DD4"/>
    <w:rsid w:val="00DD15AE"/>
    <w:rsid w:val="00DD1781"/>
    <w:rsid w:val="00DD3662"/>
    <w:rsid w:val="00DD3F74"/>
    <w:rsid w:val="00DD415C"/>
    <w:rsid w:val="00DD4434"/>
    <w:rsid w:val="00DD4E8E"/>
    <w:rsid w:val="00DD6227"/>
    <w:rsid w:val="00DD68A3"/>
    <w:rsid w:val="00DE193C"/>
    <w:rsid w:val="00DE27D5"/>
    <w:rsid w:val="00DE3658"/>
    <w:rsid w:val="00DE5087"/>
    <w:rsid w:val="00DE5C74"/>
    <w:rsid w:val="00DE67D8"/>
    <w:rsid w:val="00DE7305"/>
    <w:rsid w:val="00DF0A09"/>
    <w:rsid w:val="00DF2FDC"/>
    <w:rsid w:val="00DF4B2E"/>
    <w:rsid w:val="00DF51CE"/>
    <w:rsid w:val="00DF53A2"/>
    <w:rsid w:val="00DF53C9"/>
    <w:rsid w:val="00DF6457"/>
    <w:rsid w:val="00DF7ADA"/>
    <w:rsid w:val="00E001FA"/>
    <w:rsid w:val="00E01A16"/>
    <w:rsid w:val="00E0226D"/>
    <w:rsid w:val="00E02CC9"/>
    <w:rsid w:val="00E039D0"/>
    <w:rsid w:val="00E07752"/>
    <w:rsid w:val="00E07C87"/>
    <w:rsid w:val="00E07F5D"/>
    <w:rsid w:val="00E10618"/>
    <w:rsid w:val="00E10856"/>
    <w:rsid w:val="00E10F19"/>
    <w:rsid w:val="00E11320"/>
    <w:rsid w:val="00E11876"/>
    <w:rsid w:val="00E12337"/>
    <w:rsid w:val="00E123E0"/>
    <w:rsid w:val="00E12480"/>
    <w:rsid w:val="00E13970"/>
    <w:rsid w:val="00E14001"/>
    <w:rsid w:val="00E1408A"/>
    <w:rsid w:val="00E14756"/>
    <w:rsid w:val="00E14F0C"/>
    <w:rsid w:val="00E1547B"/>
    <w:rsid w:val="00E169CB"/>
    <w:rsid w:val="00E169F1"/>
    <w:rsid w:val="00E210DA"/>
    <w:rsid w:val="00E21695"/>
    <w:rsid w:val="00E219FC"/>
    <w:rsid w:val="00E221C7"/>
    <w:rsid w:val="00E22557"/>
    <w:rsid w:val="00E22A46"/>
    <w:rsid w:val="00E235D6"/>
    <w:rsid w:val="00E237FF"/>
    <w:rsid w:val="00E2479D"/>
    <w:rsid w:val="00E24BC7"/>
    <w:rsid w:val="00E266B8"/>
    <w:rsid w:val="00E27687"/>
    <w:rsid w:val="00E30D46"/>
    <w:rsid w:val="00E30DAA"/>
    <w:rsid w:val="00E31091"/>
    <w:rsid w:val="00E31948"/>
    <w:rsid w:val="00E32476"/>
    <w:rsid w:val="00E32478"/>
    <w:rsid w:val="00E32B67"/>
    <w:rsid w:val="00E33B3D"/>
    <w:rsid w:val="00E34189"/>
    <w:rsid w:val="00E35408"/>
    <w:rsid w:val="00E35A3E"/>
    <w:rsid w:val="00E36E15"/>
    <w:rsid w:val="00E37D7B"/>
    <w:rsid w:val="00E402D4"/>
    <w:rsid w:val="00E4285F"/>
    <w:rsid w:val="00E428F4"/>
    <w:rsid w:val="00E42920"/>
    <w:rsid w:val="00E42C09"/>
    <w:rsid w:val="00E441C6"/>
    <w:rsid w:val="00E44292"/>
    <w:rsid w:val="00E45A0B"/>
    <w:rsid w:val="00E4679F"/>
    <w:rsid w:val="00E50809"/>
    <w:rsid w:val="00E5143D"/>
    <w:rsid w:val="00E516B3"/>
    <w:rsid w:val="00E53F7F"/>
    <w:rsid w:val="00E54305"/>
    <w:rsid w:val="00E54D29"/>
    <w:rsid w:val="00E55502"/>
    <w:rsid w:val="00E55734"/>
    <w:rsid w:val="00E55CB6"/>
    <w:rsid w:val="00E56277"/>
    <w:rsid w:val="00E56C2D"/>
    <w:rsid w:val="00E56DCE"/>
    <w:rsid w:val="00E57942"/>
    <w:rsid w:val="00E57B29"/>
    <w:rsid w:val="00E606D8"/>
    <w:rsid w:val="00E62187"/>
    <w:rsid w:val="00E639DC"/>
    <w:rsid w:val="00E6625E"/>
    <w:rsid w:val="00E66B4A"/>
    <w:rsid w:val="00E67028"/>
    <w:rsid w:val="00E67234"/>
    <w:rsid w:val="00E6758E"/>
    <w:rsid w:val="00E67677"/>
    <w:rsid w:val="00E679A3"/>
    <w:rsid w:val="00E701B8"/>
    <w:rsid w:val="00E701C6"/>
    <w:rsid w:val="00E71103"/>
    <w:rsid w:val="00E72608"/>
    <w:rsid w:val="00E73455"/>
    <w:rsid w:val="00E73ADF"/>
    <w:rsid w:val="00E73D55"/>
    <w:rsid w:val="00E742F5"/>
    <w:rsid w:val="00E75FA0"/>
    <w:rsid w:val="00E76E6E"/>
    <w:rsid w:val="00E77F0C"/>
    <w:rsid w:val="00E80ABC"/>
    <w:rsid w:val="00E80CBC"/>
    <w:rsid w:val="00E8188B"/>
    <w:rsid w:val="00E8195E"/>
    <w:rsid w:val="00E8197A"/>
    <w:rsid w:val="00E8265D"/>
    <w:rsid w:val="00E82ABF"/>
    <w:rsid w:val="00E83966"/>
    <w:rsid w:val="00E8485A"/>
    <w:rsid w:val="00E8573D"/>
    <w:rsid w:val="00E8659A"/>
    <w:rsid w:val="00E86984"/>
    <w:rsid w:val="00E86B59"/>
    <w:rsid w:val="00E87413"/>
    <w:rsid w:val="00E877AC"/>
    <w:rsid w:val="00E87EDD"/>
    <w:rsid w:val="00E90446"/>
    <w:rsid w:val="00E9047F"/>
    <w:rsid w:val="00E90E68"/>
    <w:rsid w:val="00E9189B"/>
    <w:rsid w:val="00E918C6"/>
    <w:rsid w:val="00E92072"/>
    <w:rsid w:val="00E92ECE"/>
    <w:rsid w:val="00E93871"/>
    <w:rsid w:val="00E95039"/>
    <w:rsid w:val="00E950DA"/>
    <w:rsid w:val="00E955F3"/>
    <w:rsid w:val="00E95ACB"/>
    <w:rsid w:val="00E96690"/>
    <w:rsid w:val="00E96CDF"/>
    <w:rsid w:val="00E9702A"/>
    <w:rsid w:val="00E972EB"/>
    <w:rsid w:val="00EA388D"/>
    <w:rsid w:val="00EA3913"/>
    <w:rsid w:val="00EA3E0A"/>
    <w:rsid w:val="00EA4693"/>
    <w:rsid w:val="00EA51A8"/>
    <w:rsid w:val="00EA59D8"/>
    <w:rsid w:val="00EA6C48"/>
    <w:rsid w:val="00EA6E3B"/>
    <w:rsid w:val="00EA6E42"/>
    <w:rsid w:val="00EA72BC"/>
    <w:rsid w:val="00EB14F8"/>
    <w:rsid w:val="00EB18AC"/>
    <w:rsid w:val="00EB1AF0"/>
    <w:rsid w:val="00EB1BC2"/>
    <w:rsid w:val="00EB397F"/>
    <w:rsid w:val="00EB3B3B"/>
    <w:rsid w:val="00EB435E"/>
    <w:rsid w:val="00EB4A7E"/>
    <w:rsid w:val="00EB5F06"/>
    <w:rsid w:val="00EB6569"/>
    <w:rsid w:val="00EB66C1"/>
    <w:rsid w:val="00EB7143"/>
    <w:rsid w:val="00EC077B"/>
    <w:rsid w:val="00EC0904"/>
    <w:rsid w:val="00EC18C6"/>
    <w:rsid w:val="00EC2385"/>
    <w:rsid w:val="00EC24BC"/>
    <w:rsid w:val="00EC37A7"/>
    <w:rsid w:val="00EC3F0F"/>
    <w:rsid w:val="00EC4652"/>
    <w:rsid w:val="00EC497B"/>
    <w:rsid w:val="00EC5039"/>
    <w:rsid w:val="00EC5F84"/>
    <w:rsid w:val="00EC62B9"/>
    <w:rsid w:val="00EC63A4"/>
    <w:rsid w:val="00EC672F"/>
    <w:rsid w:val="00EC6F59"/>
    <w:rsid w:val="00EC7225"/>
    <w:rsid w:val="00ED0049"/>
    <w:rsid w:val="00ED0B5D"/>
    <w:rsid w:val="00ED27AC"/>
    <w:rsid w:val="00ED3B05"/>
    <w:rsid w:val="00ED3B51"/>
    <w:rsid w:val="00ED4731"/>
    <w:rsid w:val="00ED4BB7"/>
    <w:rsid w:val="00ED4CFF"/>
    <w:rsid w:val="00ED5092"/>
    <w:rsid w:val="00ED5F87"/>
    <w:rsid w:val="00ED5FF5"/>
    <w:rsid w:val="00ED6CEC"/>
    <w:rsid w:val="00ED762B"/>
    <w:rsid w:val="00EE3439"/>
    <w:rsid w:val="00EE450C"/>
    <w:rsid w:val="00EE56F9"/>
    <w:rsid w:val="00EE5E0F"/>
    <w:rsid w:val="00EE605B"/>
    <w:rsid w:val="00EE67D6"/>
    <w:rsid w:val="00EE6B9C"/>
    <w:rsid w:val="00EF0F07"/>
    <w:rsid w:val="00EF10C3"/>
    <w:rsid w:val="00EF1A9E"/>
    <w:rsid w:val="00EF1D42"/>
    <w:rsid w:val="00EF3266"/>
    <w:rsid w:val="00EF3428"/>
    <w:rsid w:val="00EF3739"/>
    <w:rsid w:val="00EF3D82"/>
    <w:rsid w:val="00EF5399"/>
    <w:rsid w:val="00EF7CB3"/>
    <w:rsid w:val="00F01AAA"/>
    <w:rsid w:val="00F01F96"/>
    <w:rsid w:val="00F03AFA"/>
    <w:rsid w:val="00F03F0B"/>
    <w:rsid w:val="00F047CE"/>
    <w:rsid w:val="00F04C0E"/>
    <w:rsid w:val="00F04E64"/>
    <w:rsid w:val="00F0530C"/>
    <w:rsid w:val="00F05420"/>
    <w:rsid w:val="00F05934"/>
    <w:rsid w:val="00F067A0"/>
    <w:rsid w:val="00F07767"/>
    <w:rsid w:val="00F11C77"/>
    <w:rsid w:val="00F11EBB"/>
    <w:rsid w:val="00F125E2"/>
    <w:rsid w:val="00F12B8F"/>
    <w:rsid w:val="00F130AA"/>
    <w:rsid w:val="00F13491"/>
    <w:rsid w:val="00F14019"/>
    <w:rsid w:val="00F144B3"/>
    <w:rsid w:val="00F14502"/>
    <w:rsid w:val="00F153C2"/>
    <w:rsid w:val="00F15441"/>
    <w:rsid w:val="00F163C1"/>
    <w:rsid w:val="00F17131"/>
    <w:rsid w:val="00F17F63"/>
    <w:rsid w:val="00F200AE"/>
    <w:rsid w:val="00F202E8"/>
    <w:rsid w:val="00F20AB9"/>
    <w:rsid w:val="00F210BE"/>
    <w:rsid w:val="00F211F0"/>
    <w:rsid w:val="00F21B6B"/>
    <w:rsid w:val="00F228B9"/>
    <w:rsid w:val="00F22AF3"/>
    <w:rsid w:val="00F23A57"/>
    <w:rsid w:val="00F24F04"/>
    <w:rsid w:val="00F252D4"/>
    <w:rsid w:val="00F2561C"/>
    <w:rsid w:val="00F273B1"/>
    <w:rsid w:val="00F30492"/>
    <w:rsid w:val="00F30835"/>
    <w:rsid w:val="00F31481"/>
    <w:rsid w:val="00F3162C"/>
    <w:rsid w:val="00F324E0"/>
    <w:rsid w:val="00F3359A"/>
    <w:rsid w:val="00F33776"/>
    <w:rsid w:val="00F33864"/>
    <w:rsid w:val="00F3471B"/>
    <w:rsid w:val="00F35091"/>
    <w:rsid w:val="00F36570"/>
    <w:rsid w:val="00F37216"/>
    <w:rsid w:val="00F40C90"/>
    <w:rsid w:val="00F4112F"/>
    <w:rsid w:val="00F42556"/>
    <w:rsid w:val="00F429A0"/>
    <w:rsid w:val="00F42D4D"/>
    <w:rsid w:val="00F43301"/>
    <w:rsid w:val="00F438F3"/>
    <w:rsid w:val="00F44089"/>
    <w:rsid w:val="00F44B81"/>
    <w:rsid w:val="00F44C8E"/>
    <w:rsid w:val="00F4507A"/>
    <w:rsid w:val="00F45092"/>
    <w:rsid w:val="00F45A67"/>
    <w:rsid w:val="00F45A90"/>
    <w:rsid w:val="00F46963"/>
    <w:rsid w:val="00F46D33"/>
    <w:rsid w:val="00F4749A"/>
    <w:rsid w:val="00F47BF5"/>
    <w:rsid w:val="00F47DF7"/>
    <w:rsid w:val="00F47E0F"/>
    <w:rsid w:val="00F5072E"/>
    <w:rsid w:val="00F50ABB"/>
    <w:rsid w:val="00F510A2"/>
    <w:rsid w:val="00F51D3A"/>
    <w:rsid w:val="00F52194"/>
    <w:rsid w:val="00F52DB5"/>
    <w:rsid w:val="00F5350A"/>
    <w:rsid w:val="00F542B0"/>
    <w:rsid w:val="00F54F8D"/>
    <w:rsid w:val="00F55C8F"/>
    <w:rsid w:val="00F56BA7"/>
    <w:rsid w:val="00F5741C"/>
    <w:rsid w:val="00F60F9B"/>
    <w:rsid w:val="00F6260B"/>
    <w:rsid w:val="00F6353A"/>
    <w:rsid w:val="00F63CD0"/>
    <w:rsid w:val="00F649F8"/>
    <w:rsid w:val="00F64C71"/>
    <w:rsid w:val="00F6502B"/>
    <w:rsid w:val="00F654BF"/>
    <w:rsid w:val="00F65BAF"/>
    <w:rsid w:val="00F65CEB"/>
    <w:rsid w:val="00F65DDF"/>
    <w:rsid w:val="00F661C0"/>
    <w:rsid w:val="00F66B3C"/>
    <w:rsid w:val="00F66E6E"/>
    <w:rsid w:val="00F67614"/>
    <w:rsid w:val="00F67BA6"/>
    <w:rsid w:val="00F67CBB"/>
    <w:rsid w:val="00F70582"/>
    <w:rsid w:val="00F70C90"/>
    <w:rsid w:val="00F71588"/>
    <w:rsid w:val="00F728CF"/>
    <w:rsid w:val="00F72DD9"/>
    <w:rsid w:val="00F7347F"/>
    <w:rsid w:val="00F73875"/>
    <w:rsid w:val="00F738BC"/>
    <w:rsid w:val="00F74A8D"/>
    <w:rsid w:val="00F74FB4"/>
    <w:rsid w:val="00F75079"/>
    <w:rsid w:val="00F761A1"/>
    <w:rsid w:val="00F76303"/>
    <w:rsid w:val="00F76D55"/>
    <w:rsid w:val="00F80064"/>
    <w:rsid w:val="00F80324"/>
    <w:rsid w:val="00F806A0"/>
    <w:rsid w:val="00F810CA"/>
    <w:rsid w:val="00F81950"/>
    <w:rsid w:val="00F81E69"/>
    <w:rsid w:val="00F8257D"/>
    <w:rsid w:val="00F82F82"/>
    <w:rsid w:val="00F83182"/>
    <w:rsid w:val="00F8366D"/>
    <w:rsid w:val="00F8529F"/>
    <w:rsid w:val="00F854A7"/>
    <w:rsid w:val="00F85B2F"/>
    <w:rsid w:val="00F86140"/>
    <w:rsid w:val="00F86E77"/>
    <w:rsid w:val="00F874F4"/>
    <w:rsid w:val="00F90440"/>
    <w:rsid w:val="00F907FD"/>
    <w:rsid w:val="00F90E4E"/>
    <w:rsid w:val="00F914A4"/>
    <w:rsid w:val="00F916B2"/>
    <w:rsid w:val="00F91754"/>
    <w:rsid w:val="00F92C90"/>
    <w:rsid w:val="00F931A7"/>
    <w:rsid w:val="00F94A97"/>
    <w:rsid w:val="00F9566E"/>
    <w:rsid w:val="00F95F48"/>
    <w:rsid w:val="00F962B8"/>
    <w:rsid w:val="00F96653"/>
    <w:rsid w:val="00F9667C"/>
    <w:rsid w:val="00F96A69"/>
    <w:rsid w:val="00F96B12"/>
    <w:rsid w:val="00F96F0F"/>
    <w:rsid w:val="00F9718F"/>
    <w:rsid w:val="00F97BDA"/>
    <w:rsid w:val="00F97DFD"/>
    <w:rsid w:val="00FA05F6"/>
    <w:rsid w:val="00FA0CC6"/>
    <w:rsid w:val="00FA22A2"/>
    <w:rsid w:val="00FA2BD5"/>
    <w:rsid w:val="00FA321E"/>
    <w:rsid w:val="00FA342E"/>
    <w:rsid w:val="00FA37AE"/>
    <w:rsid w:val="00FA4493"/>
    <w:rsid w:val="00FA4966"/>
    <w:rsid w:val="00FA4B68"/>
    <w:rsid w:val="00FA4CEC"/>
    <w:rsid w:val="00FA5A0D"/>
    <w:rsid w:val="00FA5FAA"/>
    <w:rsid w:val="00FB1204"/>
    <w:rsid w:val="00FB1391"/>
    <w:rsid w:val="00FB1CE9"/>
    <w:rsid w:val="00FB30AC"/>
    <w:rsid w:val="00FB3147"/>
    <w:rsid w:val="00FB3786"/>
    <w:rsid w:val="00FB3A95"/>
    <w:rsid w:val="00FB4783"/>
    <w:rsid w:val="00FB4A12"/>
    <w:rsid w:val="00FB4A48"/>
    <w:rsid w:val="00FB569C"/>
    <w:rsid w:val="00FB6878"/>
    <w:rsid w:val="00FB73A5"/>
    <w:rsid w:val="00FB76FD"/>
    <w:rsid w:val="00FB78B6"/>
    <w:rsid w:val="00FB7AB8"/>
    <w:rsid w:val="00FB7F80"/>
    <w:rsid w:val="00FC0471"/>
    <w:rsid w:val="00FC0472"/>
    <w:rsid w:val="00FC15BD"/>
    <w:rsid w:val="00FC1F20"/>
    <w:rsid w:val="00FC21BB"/>
    <w:rsid w:val="00FC3354"/>
    <w:rsid w:val="00FC544E"/>
    <w:rsid w:val="00FC55A5"/>
    <w:rsid w:val="00FC5C91"/>
    <w:rsid w:val="00FC6B50"/>
    <w:rsid w:val="00FC7063"/>
    <w:rsid w:val="00FD0097"/>
    <w:rsid w:val="00FD0675"/>
    <w:rsid w:val="00FD0E00"/>
    <w:rsid w:val="00FD14D1"/>
    <w:rsid w:val="00FD18A3"/>
    <w:rsid w:val="00FD1D52"/>
    <w:rsid w:val="00FD1E3E"/>
    <w:rsid w:val="00FD2CAE"/>
    <w:rsid w:val="00FD434F"/>
    <w:rsid w:val="00FD4D98"/>
    <w:rsid w:val="00FD5240"/>
    <w:rsid w:val="00FD5680"/>
    <w:rsid w:val="00FD5EDB"/>
    <w:rsid w:val="00FD6F8B"/>
    <w:rsid w:val="00FE0BF7"/>
    <w:rsid w:val="00FE0C0C"/>
    <w:rsid w:val="00FE103E"/>
    <w:rsid w:val="00FE1453"/>
    <w:rsid w:val="00FE1631"/>
    <w:rsid w:val="00FE1B6C"/>
    <w:rsid w:val="00FE217C"/>
    <w:rsid w:val="00FE2A8E"/>
    <w:rsid w:val="00FE308F"/>
    <w:rsid w:val="00FE30BA"/>
    <w:rsid w:val="00FE31F0"/>
    <w:rsid w:val="00FF0248"/>
    <w:rsid w:val="00FF048D"/>
    <w:rsid w:val="00FF150A"/>
    <w:rsid w:val="00FF25B4"/>
    <w:rsid w:val="00FF3D0B"/>
    <w:rsid w:val="00FF3EF8"/>
    <w:rsid w:val="00FF3F0F"/>
    <w:rsid w:val="00FF604C"/>
    <w:rsid w:val="00FF61D6"/>
    <w:rsid w:val="0243656C"/>
    <w:rsid w:val="028B2474"/>
    <w:rsid w:val="02A64E4B"/>
    <w:rsid w:val="05386431"/>
    <w:rsid w:val="05995BFC"/>
    <w:rsid w:val="05A63938"/>
    <w:rsid w:val="072F2834"/>
    <w:rsid w:val="09297F8B"/>
    <w:rsid w:val="0A14003B"/>
    <w:rsid w:val="0A1D63E7"/>
    <w:rsid w:val="0A741AF4"/>
    <w:rsid w:val="0A9162B0"/>
    <w:rsid w:val="0ADC65B3"/>
    <w:rsid w:val="0AE90690"/>
    <w:rsid w:val="0AEB7849"/>
    <w:rsid w:val="0B365FC0"/>
    <w:rsid w:val="0B434614"/>
    <w:rsid w:val="0BDA07BF"/>
    <w:rsid w:val="0C5B3487"/>
    <w:rsid w:val="0C6514E0"/>
    <w:rsid w:val="0C954A0F"/>
    <w:rsid w:val="0DAB1BFB"/>
    <w:rsid w:val="0E06335A"/>
    <w:rsid w:val="0E4E7740"/>
    <w:rsid w:val="0ED30077"/>
    <w:rsid w:val="0FB53FC0"/>
    <w:rsid w:val="116475CA"/>
    <w:rsid w:val="117C22FF"/>
    <w:rsid w:val="11C15AD8"/>
    <w:rsid w:val="11FF0C86"/>
    <w:rsid w:val="12AF6EED"/>
    <w:rsid w:val="15D95007"/>
    <w:rsid w:val="1670688B"/>
    <w:rsid w:val="17EF02B1"/>
    <w:rsid w:val="180C740F"/>
    <w:rsid w:val="19A5007A"/>
    <w:rsid w:val="19E07799"/>
    <w:rsid w:val="19E11E56"/>
    <w:rsid w:val="1A431015"/>
    <w:rsid w:val="1C554101"/>
    <w:rsid w:val="1C693AB2"/>
    <w:rsid w:val="1C86245E"/>
    <w:rsid w:val="1D4B06E3"/>
    <w:rsid w:val="1E412F14"/>
    <w:rsid w:val="1E5D3AAC"/>
    <w:rsid w:val="1FB84370"/>
    <w:rsid w:val="20C93006"/>
    <w:rsid w:val="21C61C7A"/>
    <w:rsid w:val="21D57E75"/>
    <w:rsid w:val="21F21E40"/>
    <w:rsid w:val="23795EAA"/>
    <w:rsid w:val="23B311EE"/>
    <w:rsid w:val="253A15B6"/>
    <w:rsid w:val="26805A14"/>
    <w:rsid w:val="28E94850"/>
    <w:rsid w:val="29056D95"/>
    <w:rsid w:val="29EA329B"/>
    <w:rsid w:val="29F83D65"/>
    <w:rsid w:val="2A021F1C"/>
    <w:rsid w:val="2A5B4399"/>
    <w:rsid w:val="2BCA263F"/>
    <w:rsid w:val="2D8548D2"/>
    <w:rsid w:val="2DAA68F2"/>
    <w:rsid w:val="2E5C769D"/>
    <w:rsid w:val="2E985C30"/>
    <w:rsid w:val="2FA202D9"/>
    <w:rsid w:val="30252DB5"/>
    <w:rsid w:val="311729C6"/>
    <w:rsid w:val="32D93D4A"/>
    <w:rsid w:val="33877815"/>
    <w:rsid w:val="33FE6D2D"/>
    <w:rsid w:val="348A4D0C"/>
    <w:rsid w:val="34A721B8"/>
    <w:rsid w:val="38D0538E"/>
    <w:rsid w:val="3A6174EA"/>
    <w:rsid w:val="3AE90E40"/>
    <w:rsid w:val="3B200D02"/>
    <w:rsid w:val="3BAC6305"/>
    <w:rsid w:val="41015DC6"/>
    <w:rsid w:val="413A48C2"/>
    <w:rsid w:val="413D3F89"/>
    <w:rsid w:val="438D60C0"/>
    <w:rsid w:val="45D11C60"/>
    <w:rsid w:val="46250FDC"/>
    <w:rsid w:val="46D72C6F"/>
    <w:rsid w:val="472361BF"/>
    <w:rsid w:val="47D7140A"/>
    <w:rsid w:val="48332273"/>
    <w:rsid w:val="494840F2"/>
    <w:rsid w:val="4A2F3307"/>
    <w:rsid w:val="4B083B93"/>
    <w:rsid w:val="4B23637D"/>
    <w:rsid w:val="4B2C346A"/>
    <w:rsid w:val="4B5119E9"/>
    <w:rsid w:val="4B680D12"/>
    <w:rsid w:val="4B8D7420"/>
    <w:rsid w:val="4D0A3EA8"/>
    <w:rsid w:val="4DA22F59"/>
    <w:rsid w:val="4DCC0F6D"/>
    <w:rsid w:val="4E0F7AB9"/>
    <w:rsid w:val="4EE15552"/>
    <w:rsid w:val="4F9D561A"/>
    <w:rsid w:val="50186219"/>
    <w:rsid w:val="505527B8"/>
    <w:rsid w:val="5075493D"/>
    <w:rsid w:val="52015AC7"/>
    <w:rsid w:val="522306A1"/>
    <w:rsid w:val="522326CE"/>
    <w:rsid w:val="52F90086"/>
    <w:rsid w:val="531C54C3"/>
    <w:rsid w:val="53A23012"/>
    <w:rsid w:val="540339E9"/>
    <w:rsid w:val="556F7677"/>
    <w:rsid w:val="55F313C3"/>
    <w:rsid w:val="56603599"/>
    <w:rsid w:val="57DD6447"/>
    <w:rsid w:val="590D3E4E"/>
    <w:rsid w:val="59DD5FA9"/>
    <w:rsid w:val="59F7673C"/>
    <w:rsid w:val="5A92184A"/>
    <w:rsid w:val="5AE91EA3"/>
    <w:rsid w:val="5B7D3375"/>
    <w:rsid w:val="5C0541CA"/>
    <w:rsid w:val="5D202C66"/>
    <w:rsid w:val="5D987D95"/>
    <w:rsid w:val="5DFC5E93"/>
    <w:rsid w:val="5F267335"/>
    <w:rsid w:val="61B5758C"/>
    <w:rsid w:val="61FA09D7"/>
    <w:rsid w:val="6241135A"/>
    <w:rsid w:val="62507DED"/>
    <w:rsid w:val="6535552B"/>
    <w:rsid w:val="6586536E"/>
    <w:rsid w:val="658D7E44"/>
    <w:rsid w:val="65F34729"/>
    <w:rsid w:val="67EB2787"/>
    <w:rsid w:val="6822716C"/>
    <w:rsid w:val="69416196"/>
    <w:rsid w:val="69554BB5"/>
    <w:rsid w:val="69CD47D9"/>
    <w:rsid w:val="6BEC42D0"/>
    <w:rsid w:val="6C6F632C"/>
    <w:rsid w:val="6C8D3EF9"/>
    <w:rsid w:val="6C912EC8"/>
    <w:rsid w:val="6D0416DD"/>
    <w:rsid w:val="6D2A1098"/>
    <w:rsid w:val="6E712701"/>
    <w:rsid w:val="6E9D28C8"/>
    <w:rsid w:val="6EA16254"/>
    <w:rsid w:val="6EC11BF6"/>
    <w:rsid w:val="6EE06511"/>
    <w:rsid w:val="6F2C76CF"/>
    <w:rsid w:val="7018292E"/>
    <w:rsid w:val="70BB2D9F"/>
    <w:rsid w:val="70C1204D"/>
    <w:rsid w:val="71D30DFF"/>
    <w:rsid w:val="728C6641"/>
    <w:rsid w:val="72C741BD"/>
    <w:rsid w:val="73576E17"/>
    <w:rsid w:val="736817B9"/>
    <w:rsid w:val="73961647"/>
    <w:rsid w:val="74A7735B"/>
    <w:rsid w:val="766928D9"/>
    <w:rsid w:val="76901FFA"/>
    <w:rsid w:val="77591E62"/>
    <w:rsid w:val="781166B4"/>
    <w:rsid w:val="782C01E6"/>
    <w:rsid w:val="79287FA9"/>
    <w:rsid w:val="7A9311F3"/>
    <w:rsid w:val="7B417381"/>
    <w:rsid w:val="7BAE523D"/>
    <w:rsid w:val="7BB92A6F"/>
    <w:rsid w:val="7BFF60E0"/>
    <w:rsid w:val="7C601891"/>
    <w:rsid w:val="7CE324E4"/>
    <w:rsid w:val="7DA723B2"/>
    <w:rsid w:val="7DDD22D9"/>
    <w:rsid w:val="7F581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7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7"/>
    <w:qFormat/>
    <w:uiPriority w:val="0"/>
    <w:pPr>
      <w:keepNext/>
      <w:keepLines/>
      <w:spacing w:line="360" w:lineRule="auto"/>
      <w:outlineLvl w:val="1"/>
    </w:pPr>
    <w:rPr>
      <w:rFonts w:ascii="Times New Roman" w:hAnsi="Times New Roman"/>
      <w:b/>
      <w:bCs/>
      <w:sz w:val="28"/>
      <w:szCs w:val="32"/>
    </w:rPr>
  </w:style>
  <w:style w:type="paragraph" w:styleId="4">
    <w:name w:val="heading 3"/>
    <w:basedOn w:val="1"/>
    <w:next w:val="1"/>
    <w:link w:val="52"/>
    <w:qFormat/>
    <w:uiPriority w:val="0"/>
    <w:pPr>
      <w:keepNext/>
      <w:autoSpaceDE w:val="0"/>
      <w:autoSpaceDN w:val="0"/>
      <w:adjustRightInd w:val="0"/>
      <w:snapToGrid w:val="0"/>
      <w:spacing w:line="360" w:lineRule="auto"/>
      <w:jc w:val="left"/>
      <w:textAlignment w:val="baseline"/>
      <w:outlineLvl w:val="2"/>
    </w:pPr>
    <w:rPr>
      <w:rFonts w:ascii="Times New Roman" w:hAnsi="Times New Roman" w:cs="Arial"/>
      <w:b/>
      <w:snapToGrid w:val="0"/>
      <w:spacing w:val="4"/>
      <w:kern w:val="0"/>
      <w:sz w:val="24"/>
      <w:szCs w:val="24"/>
    </w:rPr>
  </w:style>
  <w:style w:type="paragraph" w:styleId="5">
    <w:name w:val="heading 4"/>
    <w:basedOn w:val="1"/>
    <w:next w:val="1"/>
    <w:link w:val="67"/>
    <w:qFormat/>
    <w:uiPriority w:val="0"/>
    <w:pPr>
      <w:keepNext/>
      <w:keepLines/>
      <w:spacing w:line="360" w:lineRule="auto"/>
      <w:outlineLvl w:val="3"/>
    </w:pPr>
    <w:rPr>
      <w:rFonts w:ascii="Times New Roman" w:hAnsi="Times New Roman" w:eastAsiaTheme="minorEastAsia"/>
      <w:b/>
      <w:bCs/>
      <w:sz w:val="24"/>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6"/>
    <w:qFormat/>
    <w:uiPriority w:val="0"/>
    <w:pPr>
      <w:ind w:firstLine="420" w:firstLineChars="200"/>
    </w:pPr>
    <w:rPr>
      <w:rFonts w:ascii="宋体" w:hAnsi="宋体"/>
    </w:rPr>
  </w:style>
  <w:style w:type="paragraph" w:styleId="7">
    <w:name w:val="caption"/>
    <w:basedOn w:val="1"/>
    <w:next w:val="1"/>
    <w:qFormat/>
    <w:uiPriority w:val="0"/>
    <w:rPr>
      <w:rFonts w:ascii="Arial" w:hAnsi="Arial" w:eastAsia="黑体" w:cs="Arial"/>
      <w:sz w:val="20"/>
    </w:rPr>
  </w:style>
  <w:style w:type="paragraph" w:styleId="8">
    <w:name w:val="Document Map"/>
    <w:basedOn w:val="1"/>
    <w:semiHidden/>
    <w:qFormat/>
    <w:uiPriority w:val="0"/>
    <w:pPr>
      <w:shd w:val="clear" w:color="auto" w:fill="000080"/>
    </w:pPr>
  </w:style>
  <w:style w:type="paragraph" w:styleId="9">
    <w:name w:val="annotation text"/>
    <w:basedOn w:val="1"/>
    <w:link w:val="61"/>
    <w:qFormat/>
    <w:uiPriority w:val="0"/>
    <w:pPr>
      <w:jc w:val="left"/>
    </w:pPr>
  </w:style>
  <w:style w:type="paragraph" w:styleId="10">
    <w:name w:val="Body Text"/>
    <w:basedOn w:val="1"/>
    <w:link w:val="51"/>
    <w:qFormat/>
    <w:uiPriority w:val="99"/>
    <w:pPr>
      <w:spacing w:after="120"/>
    </w:pPr>
  </w:style>
  <w:style w:type="paragraph" w:styleId="11">
    <w:name w:val="Body Text Indent"/>
    <w:basedOn w:val="1"/>
    <w:link w:val="144"/>
    <w:qFormat/>
    <w:uiPriority w:val="0"/>
    <w:pPr>
      <w:spacing w:after="120"/>
      <w:ind w:left="420" w:leftChars="200"/>
    </w:pPr>
    <w:rPr>
      <w:szCs w:val="24"/>
    </w:rPr>
  </w:style>
  <w:style w:type="paragraph" w:styleId="12">
    <w:name w:val="Block Text"/>
    <w:basedOn w:val="1"/>
    <w:qFormat/>
    <w:uiPriority w:val="0"/>
    <w:pPr>
      <w:adjustRightInd w:val="0"/>
      <w:spacing w:line="500" w:lineRule="exact"/>
      <w:ind w:left="57" w:right="113" w:firstLine="200" w:firstLineChars="200"/>
      <w:textAlignment w:val="baseline"/>
    </w:pPr>
    <w:rPr>
      <w:rFonts w:ascii="宋体"/>
      <w:kern w:val="0"/>
      <w:sz w:val="28"/>
    </w:rPr>
  </w:style>
  <w:style w:type="paragraph" w:styleId="13">
    <w:name w:val="toc 3"/>
    <w:basedOn w:val="1"/>
    <w:next w:val="1"/>
    <w:semiHidden/>
    <w:qFormat/>
    <w:uiPriority w:val="0"/>
    <w:pPr>
      <w:ind w:left="840" w:leftChars="400"/>
    </w:pPr>
  </w:style>
  <w:style w:type="paragraph" w:styleId="14">
    <w:name w:val="Plain Text"/>
    <w:basedOn w:val="1"/>
    <w:link w:val="50"/>
    <w:unhideWhenUsed/>
    <w:qFormat/>
    <w:uiPriority w:val="0"/>
    <w:rPr>
      <w:rFonts w:ascii="宋体" w:hAnsi="Courier New"/>
      <w:szCs w:val="21"/>
    </w:rPr>
  </w:style>
  <w:style w:type="paragraph" w:styleId="15">
    <w:name w:val="Body Text Indent 2"/>
    <w:basedOn w:val="1"/>
    <w:link w:val="143"/>
    <w:qFormat/>
    <w:uiPriority w:val="0"/>
    <w:pPr>
      <w:spacing w:after="120" w:line="480" w:lineRule="auto"/>
      <w:ind w:left="420" w:leftChars="200"/>
    </w:pPr>
    <w:rPr>
      <w:szCs w:val="24"/>
    </w:rPr>
  </w:style>
  <w:style w:type="paragraph" w:styleId="16">
    <w:name w:val="Balloon Text"/>
    <w:basedOn w:val="1"/>
    <w:semiHidden/>
    <w:qFormat/>
    <w:uiPriority w:val="0"/>
    <w:rPr>
      <w:sz w:val="18"/>
      <w:szCs w:val="18"/>
    </w:rPr>
  </w:style>
  <w:style w:type="paragraph" w:styleId="17">
    <w:name w:val="footer"/>
    <w:basedOn w:val="1"/>
    <w:link w:val="70"/>
    <w:qFormat/>
    <w:uiPriority w:val="99"/>
    <w:pPr>
      <w:tabs>
        <w:tab w:val="center" w:pos="4153"/>
        <w:tab w:val="right" w:pos="8306"/>
      </w:tabs>
      <w:snapToGrid w:val="0"/>
      <w:jc w:val="left"/>
    </w:pPr>
    <w:rPr>
      <w:sz w:val="18"/>
    </w:rPr>
  </w:style>
  <w:style w:type="paragraph" w:styleId="18">
    <w:name w:val="header"/>
    <w:basedOn w:val="1"/>
    <w:link w:val="14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6"/>
    <w:basedOn w:val="1"/>
    <w:next w:val="1"/>
    <w:semiHidden/>
    <w:qFormat/>
    <w:uiPriority w:val="0"/>
    <w:pPr>
      <w:spacing w:line="360" w:lineRule="auto"/>
      <w:ind w:left="1200" w:firstLine="499"/>
      <w:jc w:val="left"/>
    </w:pPr>
    <w:rPr>
      <w:rFonts w:ascii="宋体"/>
      <w:spacing w:val="4"/>
      <w:sz w:val="18"/>
      <w:szCs w:val="18"/>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semiHidden/>
    <w:qFormat/>
    <w:uiPriority w:val="0"/>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index 1"/>
    <w:basedOn w:val="1"/>
    <w:next w:val="1"/>
    <w:semiHidden/>
    <w:qFormat/>
    <w:uiPriority w:val="0"/>
    <w:pPr>
      <w:tabs>
        <w:tab w:val="left" w:pos="5580"/>
      </w:tabs>
      <w:spacing w:line="280" w:lineRule="exact"/>
    </w:pPr>
    <w:rPr>
      <w:rFonts w:ascii="宋体" w:hAnsi="宋体"/>
      <w:spacing w:val="10"/>
      <w:szCs w:val="24"/>
    </w:rPr>
  </w:style>
  <w:style w:type="paragraph" w:styleId="25">
    <w:name w:val="annotation subject"/>
    <w:basedOn w:val="9"/>
    <w:next w:val="9"/>
    <w:semiHidden/>
    <w:qFormat/>
    <w:uiPriority w:val="0"/>
    <w:rPr>
      <w:b/>
      <w:bCs/>
    </w:rPr>
  </w:style>
  <w:style w:type="paragraph" w:styleId="26">
    <w:name w:val="Body Text First Indent"/>
    <w:basedOn w:val="1"/>
    <w:link w:val="56"/>
    <w:qFormat/>
    <w:uiPriority w:val="0"/>
    <w:pPr>
      <w:overflowPunct w:val="0"/>
      <w:autoSpaceDE w:val="0"/>
      <w:autoSpaceDN w:val="0"/>
      <w:adjustRightInd w:val="0"/>
      <w:spacing w:line="360" w:lineRule="auto"/>
      <w:ind w:firstLine="539"/>
    </w:pPr>
    <w:rPr>
      <w:kern w:val="0"/>
      <w:sz w:val="28"/>
    </w:rPr>
  </w:style>
  <w:style w:type="paragraph" w:styleId="27">
    <w:name w:val="Body Text First Indent 2"/>
    <w:basedOn w:val="11"/>
    <w:uiPriority w:val="0"/>
    <w:pPr>
      <w:ind w:firstLine="420" w:firstLineChars="200"/>
    </w:pPr>
    <w:rPr>
      <w:szCs w:val="20"/>
    </w:rPr>
  </w:style>
  <w:style w:type="table" w:styleId="29">
    <w:name w:val="Table Grid"/>
    <w:basedOn w:val="2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uiPriority w:val="0"/>
    <w:rPr>
      <w:b/>
      <w:bCs/>
    </w:rPr>
  </w:style>
  <w:style w:type="character" w:styleId="32">
    <w:name w:val="page number"/>
    <w:basedOn w:val="30"/>
    <w:uiPriority w:val="0"/>
  </w:style>
  <w:style w:type="character" w:styleId="33">
    <w:name w:val="Hyperlink"/>
    <w:uiPriority w:val="99"/>
    <w:rPr>
      <w:color w:val="000000"/>
      <w:u w:val="none"/>
    </w:rPr>
  </w:style>
  <w:style w:type="character" w:styleId="34">
    <w:name w:val="annotation reference"/>
    <w:uiPriority w:val="0"/>
    <w:rPr>
      <w:sz w:val="21"/>
      <w:szCs w:val="21"/>
    </w:rPr>
  </w:style>
  <w:style w:type="character" w:customStyle="1" w:styleId="35">
    <w:name w:val="表格文字 Char Char"/>
    <w:qFormat/>
    <w:uiPriority w:val="0"/>
    <w:rPr>
      <w:rFonts w:eastAsia="宋体"/>
      <w:kern w:val="2"/>
      <w:sz w:val="21"/>
      <w:szCs w:val="18"/>
      <w:lang w:val="en-US" w:eastAsia="zh-CN" w:bidi="ar-SA"/>
    </w:rPr>
  </w:style>
  <w:style w:type="character" w:customStyle="1" w:styleId="36">
    <w:name w:val="正文内容 Char"/>
    <w:link w:val="37"/>
    <w:qFormat/>
    <w:uiPriority w:val="0"/>
    <w:rPr>
      <w:sz w:val="24"/>
      <w:szCs w:val="21"/>
    </w:rPr>
  </w:style>
  <w:style w:type="paragraph" w:customStyle="1" w:styleId="37">
    <w:name w:val="正文内容"/>
    <w:basedOn w:val="1"/>
    <w:link w:val="36"/>
    <w:uiPriority w:val="0"/>
    <w:pPr>
      <w:spacing w:line="360" w:lineRule="auto"/>
      <w:ind w:firstLine="200" w:firstLineChars="200"/>
    </w:pPr>
    <w:rPr>
      <w:kern w:val="0"/>
      <w:sz w:val="24"/>
      <w:szCs w:val="21"/>
    </w:rPr>
  </w:style>
  <w:style w:type="character" w:customStyle="1" w:styleId="38">
    <w:name w:val="样式 样式 样式 样式 正文首行缩进 2Char2 + 首行缩进:  2 字符 + 首行缩进:  2 字符 + 首行缩进:  2... Char"/>
    <w:link w:val="39"/>
    <w:qFormat/>
    <w:uiPriority w:val="0"/>
    <w:rPr>
      <w:rFonts w:ascii="宋体" w:eastAsia="宋体"/>
      <w:kern w:val="2"/>
      <w:sz w:val="24"/>
      <w:lang w:val="en-US" w:eastAsia="zh-CN" w:bidi="ar-SA"/>
    </w:rPr>
  </w:style>
  <w:style w:type="paragraph" w:customStyle="1" w:styleId="39">
    <w:name w:val="样式 样式 样式 样式 正文首行缩进 2Char2 + 首行缩进:  2 字符 + 首行缩进:  2 字符 + 首行缩进:  2..."/>
    <w:basedOn w:val="1"/>
    <w:link w:val="38"/>
    <w:uiPriority w:val="0"/>
    <w:pPr>
      <w:spacing w:line="360" w:lineRule="auto"/>
      <w:ind w:firstLine="480" w:firstLineChars="200"/>
    </w:pPr>
    <w:rPr>
      <w:rFonts w:ascii="宋体"/>
      <w:sz w:val="24"/>
    </w:rPr>
  </w:style>
  <w:style w:type="character" w:customStyle="1" w:styleId="40">
    <w:name w:val="日期 Char"/>
    <w:link w:val="41"/>
    <w:qFormat/>
    <w:uiPriority w:val="0"/>
    <w:rPr>
      <w:rFonts w:eastAsia="宋体"/>
      <w:sz w:val="28"/>
      <w:lang w:val="en-US" w:eastAsia="zh-CN" w:bidi="ar-SA"/>
    </w:rPr>
  </w:style>
  <w:style w:type="paragraph" w:customStyle="1" w:styleId="41">
    <w:name w:val="日期1"/>
    <w:basedOn w:val="1"/>
    <w:next w:val="1"/>
    <w:link w:val="40"/>
    <w:uiPriority w:val="0"/>
    <w:rPr>
      <w:kern w:val="0"/>
      <w:sz w:val="28"/>
    </w:rPr>
  </w:style>
  <w:style w:type="character" w:customStyle="1" w:styleId="42">
    <w:name w:val="样式1 Char Char"/>
    <w:link w:val="43"/>
    <w:qFormat/>
    <w:uiPriority w:val="0"/>
    <w:rPr>
      <w:rFonts w:eastAsia="楷体_GB2312"/>
      <w:kern w:val="2"/>
      <w:sz w:val="21"/>
      <w:lang w:bidi="ar-SA"/>
    </w:rPr>
  </w:style>
  <w:style w:type="paragraph" w:customStyle="1" w:styleId="43">
    <w:name w:val="样式1"/>
    <w:basedOn w:val="1"/>
    <w:link w:val="42"/>
    <w:uiPriority w:val="0"/>
    <w:pPr>
      <w:spacing w:after="40" w:line="300" w:lineRule="atLeast"/>
      <w:jc w:val="center"/>
      <w:outlineLvl w:val="2"/>
    </w:pPr>
    <w:rPr>
      <w:rFonts w:eastAsia="楷体_GB2312"/>
    </w:rPr>
  </w:style>
  <w:style w:type="character" w:customStyle="1" w:styleId="44">
    <w:name w:val="样式 正文首行缩进 2 + 首行缩进:  2.5 字符 Char"/>
    <w:link w:val="45"/>
    <w:qFormat/>
    <w:uiPriority w:val="0"/>
    <w:rPr>
      <w:rFonts w:ascii="宋体" w:eastAsia="宋体"/>
      <w:kern w:val="2"/>
      <w:sz w:val="28"/>
      <w:lang w:val="en-US" w:eastAsia="zh-CN" w:bidi="ar-SA"/>
    </w:rPr>
  </w:style>
  <w:style w:type="paragraph" w:customStyle="1" w:styleId="45">
    <w:name w:val="样式 正文首行缩进 2 + 首行缩进:  2.5 字符"/>
    <w:basedOn w:val="27"/>
    <w:link w:val="44"/>
    <w:uiPriority w:val="0"/>
    <w:pPr>
      <w:adjustRightInd w:val="0"/>
      <w:spacing w:after="0" w:line="360" w:lineRule="auto"/>
      <w:ind w:left="0" w:leftChars="0" w:firstLine="200"/>
      <w:textAlignment w:val="baseline"/>
    </w:pPr>
    <w:rPr>
      <w:rFonts w:ascii="宋体"/>
      <w:sz w:val="28"/>
    </w:rPr>
  </w:style>
  <w:style w:type="character" w:customStyle="1" w:styleId="46">
    <w:name w:val="样式 标题 3 + 段前: 0.5 行 段后: 0.5 行5 Char"/>
    <w:link w:val="47"/>
    <w:qFormat/>
    <w:uiPriority w:val="0"/>
    <w:rPr>
      <w:rFonts w:ascii="Times New Roman" w:hAnsi="Times New Roman"/>
      <w:b/>
      <w:kern w:val="2"/>
      <w:sz w:val="24"/>
    </w:rPr>
  </w:style>
  <w:style w:type="paragraph" w:customStyle="1" w:styleId="47">
    <w:name w:val="样式 标题 3 + 段前: 0.5 行 段后: 0.5 行5"/>
    <w:basedOn w:val="4"/>
    <w:link w:val="46"/>
    <w:uiPriority w:val="0"/>
    <w:pPr>
      <w:keepLines/>
      <w:tabs>
        <w:tab w:val="left" w:pos="588"/>
        <w:tab w:val="left" w:pos="833"/>
      </w:tabs>
      <w:autoSpaceDE/>
      <w:autoSpaceDN/>
      <w:snapToGrid/>
      <w:ind w:left="1260" w:hanging="420"/>
      <w:jc w:val="both"/>
    </w:pPr>
    <w:rPr>
      <w:rFonts w:cs="Times New Roman"/>
      <w:snapToGrid/>
      <w:spacing w:val="0"/>
      <w:kern w:val="2"/>
      <w:szCs w:val="20"/>
    </w:rPr>
  </w:style>
  <w:style w:type="character" w:customStyle="1" w:styleId="48">
    <w:name w:val="正文缩进 Char1"/>
    <w:link w:val="49"/>
    <w:qFormat/>
    <w:uiPriority w:val="0"/>
    <w:rPr>
      <w:rFonts w:ascii="宋体" w:hAnsi="宋体" w:eastAsia="宋体"/>
      <w:kern w:val="2"/>
      <w:sz w:val="21"/>
      <w:lang w:val="en-US" w:eastAsia="zh-CN" w:bidi="ar-SA"/>
    </w:rPr>
  </w:style>
  <w:style w:type="paragraph" w:customStyle="1" w:styleId="49">
    <w:name w:val="正文缩进1"/>
    <w:basedOn w:val="1"/>
    <w:link w:val="48"/>
    <w:uiPriority w:val="0"/>
    <w:pPr>
      <w:ind w:firstLine="420" w:firstLineChars="200"/>
    </w:pPr>
    <w:rPr>
      <w:rFonts w:ascii="宋体" w:hAnsi="宋体"/>
    </w:rPr>
  </w:style>
  <w:style w:type="character" w:customStyle="1" w:styleId="50">
    <w:name w:val="纯文本 Char"/>
    <w:link w:val="14"/>
    <w:qFormat/>
    <w:uiPriority w:val="0"/>
    <w:rPr>
      <w:rFonts w:ascii="宋体" w:hAnsi="Courier New" w:eastAsia="宋体"/>
      <w:kern w:val="2"/>
      <w:sz w:val="21"/>
      <w:szCs w:val="21"/>
      <w:lang w:bidi="ar-SA"/>
    </w:rPr>
  </w:style>
  <w:style w:type="character" w:customStyle="1" w:styleId="51">
    <w:name w:val="正文文本 Char"/>
    <w:link w:val="10"/>
    <w:qFormat/>
    <w:uiPriority w:val="99"/>
    <w:rPr>
      <w:kern w:val="2"/>
      <w:sz w:val="21"/>
    </w:rPr>
  </w:style>
  <w:style w:type="character" w:customStyle="1" w:styleId="52">
    <w:name w:val="标题 3 Char"/>
    <w:link w:val="4"/>
    <w:qFormat/>
    <w:uiPriority w:val="0"/>
    <w:rPr>
      <w:rFonts w:cs="Arial"/>
      <w:b/>
      <w:snapToGrid w:val="0"/>
      <w:spacing w:val="4"/>
      <w:sz w:val="24"/>
      <w:szCs w:val="24"/>
    </w:rPr>
  </w:style>
  <w:style w:type="character" w:customStyle="1" w:styleId="53">
    <w:name w:val="报告正文 Char Char"/>
    <w:link w:val="54"/>
    <w:qFormat/>
    <w:uiPriority w:val="0"/>
    <w:rPr>
      <w:rFonts w:ascii="Times New Roman" w:hAnsi="Times New Roman"/>
      <w:kern w:val="2"/>
      <w:sz w:val="24"/>
    </w:rPr>
  </w:style>
  <w:style w:type="paragraph" w:customStyle="1" w:styleId="54">
    <w:name w:val="报告正文"/>
    <w:basedOn w:val="1"/>
    <w:link w:val="53"/>
    <w:qFormat/>
    <w:uiPriority w:val="0"/>
    <w:pPr>
      <w:adjustRightInd w:val="0"/>
      <w:snapToGrid w:val="0"/>
      <w:spacing w:line="360" w:lineRule="auto"/>
      <w:ind w:firstLine="200" w:firstLineChars="200"/>
    </w:pPr>
    <w:rPr>
      <w:rFonts w:ascii="Times New Roman" w:hAnsi="Times New Roman"/>
      <w:sz w:val="24"/>
    </w:rPr>
  </w:style>
  <w:style w:type="character" w:customStyle="1" w:styleId="55">
    <w:name w:val="t_tag"/>
    <w:basedOn w:val="30"/>
    <w:uiPriority w:val="0"/>
  </w:style>
  <w:style w:type="character" w:customStyle="1" w:styleId="56">
    <w:name w:val="正文首行缩进 Char"/>
    <w:link w:val="26"/>
    <w:qFormat/>
    <w:uiPriority w:val="0"/>
    <w:rPr>
      <w:rFonts w:eastAsia="宋体"/>
      <w:sz w:val="28"/>
      <w:lang w:val="en-US" w:eastAsia="zh-CN" w:bidi="ar-SA"/>
    </w:rPr>
  </w:style>
  <w:style w:type="character" w:customStyle="1" w:styleId="57">
    <w:name w:val="正文四号 Char"/>
    <w:link w:val="58"/>
    <w:qFormat/>
    <w:uiPriority w:val="0"/>
    <w:rPr>
      <w:rFonts w:eastAsia="宋体"/>
      <w:color w:val="000000"/>
      <w:kern w:val="2"/>
      <w:sz w:val="28"/>
      <w:szCs w:val="28"/>
      <w:lang w:val="zh-CN" w:eastAsia="zh-CN" w:bidi="ar-SA"/>
    </w:rPr>
  </w:style>
  <w:style w:type="paragraph" w:customStyle="1" w:styleId="58">
    <w:name w:val="正文四号"/>
    <w:basedOn w:val="1"/>
    <w:link w:val="57"/>
    <w:uiPriority w:val="0"/>
    <w:pPr>
      <w:spacing w:line="360" w:lineRule="auto"/>
    </w:pPr>
    <w:rPr>
      <w:color w:val="000000"/>
      <w:sz w:val="28"/>
      <w:szCs w:val="28"/>
      <w:lang w:val="zh-CN"/>
    </w:rPr>
  </w:style>
  <w:style w:type="character" w:customStyle="1" w:styleId="59">
    <w:name w:val="中气表头 Char"/>
    <w:link w:val="60"/>
    <w:qFormat/>
    <w:uiPriority w:val="0"/>
    <w:rPr>
      <w:rFonts w:ascii="黑体" w:eastAsia="黑体"/>
      <w:b/>
      <w:kern w:val="2"/>
      <w:sz w:val="21"/>
      <w:lang w:val="en-US" w:eastAsia="zh-CN" w:bidi="ar-SA"/>
    </w:rPr>
  </w:style>
  <w:style w:type="paragraph" w:customStyle="1" w:styleId="60">
    <w:name w:val="中气表头"/>
    <w:basedOn w:val="1"/>
    <w:link w:val="59"/>
    <w:uiPriority w:val="0"/>
    <w:pPr>
      <w:jc w:val="center"/>
    </w:pPr>
    <w:rPr>
      <w:rFonts w:ascii="黑体" w:eastAsia="黑体"/>
      <w:b/>
    </w:rPr>
  </w:style>
  <w:style w:type="character" w:customStyle="1" w:styleId="61">
    <w:name w:val="批注文字 Char"/>
    <w:link w:val="9"/>
    <w:qFormat/>
    <w:uiPriority w:val="0"/>
    <w:rPr>
      <w:rFonts w:eastAsia="宋体"/>
      <w:kern w:val="2"/>
      <w:sz w:val="21"/>
      <w:lang w:val="en-US" w:eastAsia="zh-CN" w:bidi="ar-SA"/>
    </w:rPr>
  </w:style>
  <w:style w:type="character" w:customStyle="1" w:styleId="62">
    <w:name w:val="15"/>
    <w:uiPriority w:val="0"/>
    <w:rPr>
      <w:rFonts w:hint="default" w:ascii="Times New Roman" w:hAnsi="Times New Roman" w:eastAsia="宋体" w:cs="Times New Roman"/>
      <w:sz w:val="21"/>
      <w:szCs w:val="21"/>
    </w:rPr>
  </w:style>
  <w:style w:type="character" w:customStyle="1" w:styleId="63">
    <w:name w:val="表文字 Char"/>
    <w:link w:val="64"/>
    <w:qFormat/>
    <w:uiPriority w:val="0"/>
    <w:rPr>
      <w:rFonts w:eastAsia="仿宋_GB2312"/>
      <w:sz w:val="24"/>
      <w:szCs w:val="24"/>
      <w:lang w:val="en-US" w:eastAsia="zh-CN" w:bidi="ar-SA"/>
    </w:rPr>
  </w:style>
  <w:style w:type="paragraph" w:customStyle="1" w:styleId="64">
    <w:name w:val="表文字"/>
    <w:basedOn w:val="1"/>
    <w:link w:val="63"/>
    <w:uiPriority w:val="0"/>
    <w:pPr>
      <w:overflowPunct w:val="0"/>
      <w:autoSpaceDE w:val="0"/>
      <w:autoSpaceDN w:val="0"/>
      <w:adjustRightInd w:val="0"/>
      <w:spacing w:line="240" w:lineRule="atLeast"/>
      <w:jc w:val="center"/>
      <w:textAlignment w:val="baseline"/>
    </w:pPr>
    <w:rPr>
      <w:rFonts w:eastAsia="仿宋_GB2312"/>
      <w:kern w:val="0"/>
      <w:sz w:val="24"/>
      <w:szCs w:val="24"/>
    </w:rPr>
  </w:style>
  <w:style w:type="character" w:customStyle="1" w:styleId="65">
    <w:name w:val="Char Char27"/>
    <w:uiPriority w:val="0"/>
    <w:rPr>
      <w:rFonts w:eastAsia="宋体"/>
      <w:lang w:val="en-US" w:eastAsia="zh-CN" w:bidi="ar-SA"/>
    </w:rPr>
  </w:style>
  <w:style w:type="character" w:customStyle="1" w:styleId="66">
    <w:name w:val="正文缩进 Char"/>
    <w:link w:val="6"/>
    <w:qFormat/>
    <w:uiPriority w:val="0"/>
    <w:rPr>
      <w:rFonts w:ascii="宋体" w:hAnsi="宋体" w:eastAsia="宋体"/>
      <w:kern w:val="2"/>
      <w:sz w:val="21"/>
      <w:lang w:val="en-US" w:eastAsia="zh-CN" w:bidi="ar-SA"/>
    </w:rPr>
  </w:style>
  <w:style w:type="character" w:customStyle="1" w:styleId="67">
    <w:name w:val="标题 4 Char"/>
    <w:link w:val="5"/>
    <w:qFormat/>
    <w:uiPriority w:val="0"/>
    <w:rPr>
      <w:rFonts w:eastAsiaTheme="minorEastAsia"/>
      <w:b/>
      <w:bCs/>
      <w:kern w:val="2"/>
      <w:sz w:val="24"/>
      <w:szCs w:val="28"/>
    </w:rPr>
  </w:style>
  <w:style w:type="character" w:customStyle="1" w:styleId="68">
    <w:name w:val="我的正文 Char"/>
    <w:link w:val="69"/>
    <w:qFormat/>
    <w:uiPriority w:val="0"/>
    <w:rPr>
      <w:rFonts w:eastAsia="宋体"/>
      <w:sz w:val="28"/>
      <w:lang w:val="en-US" w:eastAsia="en-US" w:bidi="en-US"/>
    </w:rPr>
  </w:style>
  <w:style w:type="paragraph" w:customStyle="1" w:styleId="69">
    <w:name w:val="我的正文"/>
    <w:basedOn w:val="1"/>
    <w:link w:val="68"/>
    <w:uiPriority w:val="0"/>
    <w:pPr>
      <w:widowControl/>
      <w:ind w:firstLine="538"/>
    </w:pPr>
    <w:rPr>
      <w:kern w:val="0"/>
      <w:sz w:val="28"/>
      <w:lang w:eastAsia="en-US" w:bidi="en-US"/>
    </w:rPr>
  </w:style>
  <w:style w:type="character" w:customStyle="1" w:styleId="70">
    <w:name w:val="页脚 Char"/>
    <w:link w:val="17"/>
    <w:qFormat/>
    <w:uiPriority w:val="99"/>
    <w:rPr>
      <w:rFonts w:eastAsia="宋体"/>
      <w:kern w:val="2"/>
      <w:sz w:val="18"/>
      <w:lang w:val="en-US" w:eastAsia="zh-CN" w:bidi="ar-SA"/>
    </w:rPr>
  </w:style>
  <w:style w:type="character" w:customStyle="1" w:styleId="71">
    <w:name w:val="albumcount"/>
    <w:basedOn w:val="30"/>
    <w:uiPriority w:val="0"/>
  </w:style>
  <w:style w:type="character" w:customStyle="1" w:styleId="72">
    <w:name w:val="postbody1"/>
    <w:uiPriority w:val="0"/>
    <w:rPr>
      <w:sz w:val="21"/>
    </w:rPr>
  </w:style>
  <w:style w:type="character" w:customStyle="1" w:styleId="73">
    <w:name w:val="标题 1 Char"/>
    <w:link w:val="2"/>
    <w:qFormat/>
    <w:uiPriority w:val="0"/>
    <w:rPr>
      <w:rFonts w:eastAsia="宋体"/>
      <w:b/>
      <w:bCs/>
      <w:kern w:val="44"/>
      <w:sz w:val="44"/>
      <w:szCs w:val="44"/>
      <w:lang w:val="en-US" w:eastAsia="zh-CN" w:bidi="ar-SA"/>
    </w:rPr>
  </w:style>
  <w:style w:type="character" w:customStyle="1" w:styleId="74">
    <w:name w:val="表头 Char"/>
    <w:link w:val="75"/>
    <w:qFormat/>
    <w:uiPriority w:val="0"/>
    <w:rPr>
      <w:rFonts w:ascii="宋体" w:eastAsia="宋体"/>
      <w:snapToGrid w:val="0"/>
      <w:spacing w:val="6"/>
      <w:kern w:val="10"/>
      <w:sz w:val="24"/>
      <w:szCs w:val="24"/>
      <w:lang w:val="en-US" w:eastAsia="zh-CN" w:bidi="ar-SA"/>
    </w:rPr>
  </w:style>
  <w:style w:type="paragraph" w:customStyle="1" w:styleId="75">
    <w:name w:val="表头"/>
    <w:basedOn w:val="1"/>
    <w:link w:val="74"/>
    <w:uiPriority w:val="0"/>
    <w:pPr>
      <w:adjustRightInd w:val="0"/>
      <w:snapToGrid w:val="0"/>
      <w:jc w:val="center"/>
      <w:textAlignment w:val="baseline"/>
    </w:pPr>
    <w:rPr>
      <w:rFonts w:ascii="宋体"/>
      <w:snapToGrid w:val="0"/>
      <w:spacing w:val="6"/>
      <w:kern w:val="10"/>
      <w:sz w:val="24"/>
      <w:szCs w:val="24"/>
    </w:rPr>
  </w:style>
  <w:style w:type="character" w:customStyle="1" w:styleId="76">
    <w:name w:val="正文首行缩进 2 + Times New Roman Char Char"/>
    <w:uiPriority w:val="0"/>
    <w:rPr>
      <w:rFonts w:eastAsia="宋体"/>
      <w:sz w:val="24"/>
      <w:szCs w:val="24"/>
      <w:lang w:bidi="ar-SA"/>
    </w:rPr>
  </w:style>
  <w:style w:type="character" w:customStyle="1" w:styleId="77">
    <w:name w:val="标题 2 Char"/>
    <w:link w:val="3"/>
    <w:qFormat/>
    <w:uiPriority w:val="0"/>
    <w:rPr>
      <w:b/>
      <w:bCs/>
      <w:kern w:val="2"/>
      <w:sz w:val="28"/>
      <w:szCs w:val="32"/>
    </w:rPr>
  </w:style>
  <w:style w:type="character" w:customStyle="1" w:styleId="78">
    <w:name w:val="表格文字 Char"/>
    <w:link w:val="79"/>
    <w:qFormat/>
    <w:uiPriority w:val="0"/>
    <w:rPr>
      <w:rFonts w:ascii="Times New Roman" w:hAnsi="Times New Roman"/>
      <w:kern w:val="2"/>
      <w:sz w:val="21"/>
    </w:rPr>
  </w:style>
  <w:style w:type="paragraph" w:customStyle="1" w:styleId="79">
    <w:name w:val="表格文字"/>
    <w:basedOn w:val="1"/>
    <w:link w:val="78"/>
    <w:qFormat/>
    <w:uiPriority w:val="0"/>
    <w:pPr>
      <w:adjustRightInd w:val="0"/>
      <w:snapToGrid w:val="0"/>
      <w:spacing w:line="340" w:lineRule="exact"/>
      <w:jc w:val="center"/>
    </w:pPr>
    <w:rPr>
      <w:rFonts w:ascii="Times New Roman" w:hAnsi="Times New Roman"/>
    </w:rPr>
  </w:style>
  <w:style w:type="character" w:customStyle="1" w:styleId="80">
    <w:name w:val="content1"/>
    <w:uiPriority w:val="0"/>
    <w:rPr>
      <w:color w:val="000000"/>
      <w:sz w:val="20"/>
      <w:szCs w:val="20"/>
    </w:rPr>
  </w:style>
  <w:style w:type="character" w:customStyle="1" w:styleId="81">
    <w:name w:val="样式 样式 标题 2 + 段前: 1 行4 + 小四 段前: 0.5 行 段后: 0.5 行 Char"/>
    <w:link w:val="82"/>
    <w:qFormat/>
    <w:uiPriority w:val="0"/>
    <w:rPr>
      <w:rFonts w:ascii="Arial" w:hAnsi="Arial"/>
      <w:b/>
      <w:kern w:val="2"/>
      <w:sz w:val="24"/>
    </w:rPr>
  </w:style>
  <w:style w:type="paragraph" w:customStyle="1" w:styleId="82">
    <w:name w:val="样式 样式 标题 2 + 段前: 1 行4 + 小四 段前: 0.5 行 段后: 0.5 行"/>
    <w:basedOn w:val="1"/>
    <w:link w:val="81"/>
    <w:uiPriority w:val="0"/>
    <w:pPr>
      <w:keepNext/>
      <w:keepLines/>
      <w:tabs>
        <w:tab w:val="left" w:pos="490"/>
      </w:tabs>
      <w:adjustRightInd w:val="0"/>
      <w:spacing w:line="360" w:lineRule="auto"/>
      <w:ind w:left="840" w:hanging="420"/>
      <w:textAlignment w:val="baseline"/>
      <w:outlineLvl w:val="1"/>
    </w:pPr>
    <w:rPr>
      <w:rFonts w:ascii="Arial" w:hAnsi="Arial"/>
      <w:b/>
      <w:sz w:val="24"/>
    </w:rPr>
  </w:style>
  <w:style w:type="character" w:customStyle="1" w:styleId="83">
    <w:name w:val="样式 样式 样式 小四 左 首行缩进:  2 字符 + 首行缩进:  2 字符 Char + 右  0 字符1 Char"/>
    <w:link w:val="84"/>
    <w:qFormat/>
    <w:uiPriority w:val="0"/>
    <w:rPr>
      <w:rFonts w:eastAsia="Times New Roman"/>
      <w:kern w:val="2"/>
      <w:sz w:val="24"/>
      <w:lang w:val="en-US" w:eastAsia="zh-CN" w:bidi="ar-SA"/>
    </w:rPr>
  </w:style>
  <w:style w:type="paragraph" w:customStyle="1" w:styleId="84">
    <w:name w:val="样式 样式 样式 小四 左 首行缩进:  2 字符 + 首行缩进:  2 字符 Char + 右  0 字符1"/>
    <w:link w:val="83"/>
    <w:uiPriority w:val="0"/>
    <w:pPr>
      <w:ind w:firstLine="200"/>
    </w:pPr>
    <w:rPr>
      <w:rFonts w:ascii="Calibri" w:hAnsi="Calibri" w:eastAsia="Times New Roman" w:cs="Times New Roman"/>
      <w:kern w:val="2"/>
      <w:sz w:val="24"/>
      <w:lang w:val="en-US" w:eastAsia="zh-CN" w:bidi="ar-SA"/>
    </w:rPr>
  </w:style>
  <w:style w:type="character" w:customStyle="1" w:styleId="85">
    <w:name w:val="font41"/>
    <w:uiPriority w:val="0"/>
    <w:rPr>
      <w:rFonts w:hint="default" w:ascii="Times New Roman" w:hAnsi="Times New Roman" w:cs="Times New Roman"/>
      <w:color w:val="000000"/>
      <w:sz w:val="20"/>
      <w:szCs w:val="20"/>
      <w:u w:val="none"/>
    </w:rPr>
  </w:style>
  <w:style w:type="character" w:customStyle="1" w:styleId="86">
    <w:name w:val="表文字 Char Char"/>
    <w:uiPriority w:val="0"/>
    <w:rPr>
      <w:rFonts w:eastAsia="宋体"/>
      <w:sz w:val="24"/>
      <w:lang w:val="en-US" w:eastAsia="zh-CN" w:bidi="ar-SA"/>
    </w:rPr>
  </w:style>
  <w:style w:type="character" w:customStyle="1" w:styleId="87">
    <w:name w:val="图表标题 Char"/>
    <w:link w:val="88"/>
    <w:qFormat/>
    <w:uiPriority w:val="0"/>
    <w:rPr>
      <w:rFonts w:ascii="Times New Roman" w:hAnsi="Times New Roman" w:eastAsia="黑体"/>
      <w:kern w:val="2"/>
      <w:sz w:val="24"/>
      <w:szCs w:val="22"/>
    </w:rPr>
  </w:style>
  <w:style w:type="paragraph" w:customStyle="1" w:styleId="88">
    <w:name w:val="图表标题"/>
    <w:next w:val="1"/>
    <w:link w:val="87"/>
    <w:qFormat/>
    <w:uiPriority w:val="0"/>
    <w:pPr>
      <w:spacing w:line="360" w:lineRule="auto"/>
      <w:jc w:val="center"/>
    </w:pPr>
    <w:rPr>
      <w:rFonts w:ascii="Times New Roman" w:hAnsi="Times New Roman" w:eastAsia="黑体" w:cs="Times New Roman"/>
      <w:kern w:val="2"/>
      <w:sz w:val="24"/>
      <w:szCs w:val="22"/>
      <w:lang w:val="en-US" w:eastAsia="zh-CN" w:bidi="ar-SA"/>
    </w:rPr>
  </w:style>
  <w:style w:type="character" w:customStyle="1" w:styleId="89">
    <w:name w:val="表格 Char"/>
    <w:link w:val="90"/>
    <w:qFormat/>
    <w:uiPriority w:val="0"/>
    <w:rPr>
      <w:rFonts w:ascii="昆仑仿宋" w:eastAsia="昆仑仿宋"/>
      <w:sz w:val="24"/>
      <w:lang w:val="en-US" w:eastAsia="zh-CN" w:bidi="ar-SA"/>
    </w:rPr>
  </w:style>
  <w:style w:type="paragraph" w:customStyle="1" w:styleId="90">
    <w:name w:val="表格"/>
    <w:basedOn w:val="1"/>
    <w:link w:val="89"/>
    <w:uiPriority w:val="0"/>
    <w:pPr>
      <w:adjustRightInd w:val="0"/>
      <w:spacing w:before="40" w:after="40"/>
      <w:textAlignment w:val="baseline"/>
    </w:pPr>
    <w:rPr>
      <w:rFonts w:ascii="昆仑仿宋" w:eastAsia="昆仑仿宋"/>
      <w:kern w:val="0"/>
      <w:sz w:val="24"/>
    </w:rPr>
  </w:style>
  <w:style w:type="character" w:customStyle="1" w:styleId="91">
    <w:name w:val="表格正文 Char"/>
    <w:link w:val="92"/>
    <w:qFormat/>
    <w:uiPriority w:val="0"/>
    <w:rPr>
      <w:rFonts w:ascii="宋体" w:eastAsia="宋体"/>
      <w:snapToGrid w:val="0"/>
      <w:sz w:val="21"/>
      <w:szCs w:val="21"/>
      <w:lang w:val="en-US" w:eastAsia="zh-CN" w:bidi="ar-SA"/>
    </w:rPr>
  </w:style>
  <w:style w:type="paragraph" w:customStyle="1" w:styleId="92">
    <w:name w:val="表格正文"/>
    <w:basedOn w:val="1"/>
    <w:next w:val="1"/>
    <w:link w:val="91"/>
    <w:uiPriority w:val="0"/>
    <w:pPr>
      <w:adjustRightInd w:val="0"/>
      <w:snapToGrid w:val="0"/>
      <w:jc w:val="center"/>
      <w:textAlignment w:val="baseline"/>
    </w:pPr>
    <w:rPr>
      <w:rFonts w:ascii="宋体"/>
      <w:snapToGrid w:val="0"/>
      <w:kern w:val="0"/>
      <w:szCs w:val="21"/>
    </w:rPr>
  </w:style>
  <w:style w:type="character" w:customStyle="1" w:styleId="93">
    <w:name w:val="标题1"/>
    <w:basedOn w:val="30"/>
    <w:uiPriority w:val="0"/>
  </w:style>
  <w:style w:type="character" w:customStyle="1" w:styleId="94">
    <w:name w:val="正文首行缩进 2 + Times New Roman Char"/>
    <w:link w:val="95"/>
    <w:qFormat/>
    <w:uiPriority w:val="0"/>
    <w:rPr>
      <w:rFonts w:eastAsia="宋体"/>
      <w:kern w:val="2"/>
      <w:sz w:val="24"/>
      <w:szCs w:val="24"/>
      <w:lang w:bidi="ar-SA"/>
    </w:rPr>
  </w:style>
  <w:style w:type="paragraph" w:customStyle="1" w:styleId="95">
    <w:name w:val="正文首行缩进 2 + Times New Roman"/>
    <w:basedOn w:val="1"/>
    <w:link w:val="94"/>
    <w:uiPriority w:val="0"/>
    <w:pPr>
      <w:tabs>
        <w:tab w:val="left" w:pos="0"/>
        <w:tab w:val="left" w:pos="870"/>
        <w:tab w:val="left" w:pos="3150"/>
      </w:tabs>
      <w:autoSpaceDE w:val="0"/>
      <w:autoSpaceDN w:val="0"/>
      <w:spacing w:line="360" w:lineRule="auto"/>
      <w:ind w:firstLine="480" w:firstLineChars="200"/>
      <w:jc w:val="left"/>
    </w:pPr>
    <w:rPr>
      <w:sz w:val="24"/>
      <w:szCs w:val="24"/>
    </w:rPr>
  </w:style>
  <w:style w:type="character" w:customStyle="1" w:styleId="96">
    <w:name w:val="font31"/>
    <w:uiPriority w:val="0"/>
    <w:rPr>
      <w:rFonts w:hint="default" w:ascii="Times New Roman" w:hAnsi="Times New Roman" w:cs="Times New Roman"/>
      <w:color w:val="000000"/>
      <w:sz w:val="20"/>
      <w:szCs w:val="20"/>
      <w:u w:val="none"/>
      <w:vertAlign w:val="subscript"/>
    </w:rPr>
  </w:style>
  <w:style w:type="paragraph" w:customStyle="1" w:styleId="97">
    <w:name w:val="表文"/>
    <w:basedOn w:val="1"/>
    <w:uiPriority w:val="0"/>
    <w:pPr>
      <w:tabs>
        <w:tab w:val="left" w:pos="1021"/>
      </w:tabs>
      <w:spacing w:line="300" w:lineRule="auto"/>
      <w:jc w:val="center"/>
    </w:pPr>
    <w:rPr>
      <w:kern w:val="0"/>
      <w:position w:val="-24"/>
      <w:sz w:val="24"/>
      <w:szCs w:val="21"/>
    </w:rPr>
  </w:style>
  <w:style w:type="paragraph" w:customStyle="1" w:styleId="98">
    <w:name w:val="Char Char Char Char Char Char Char Char Char Char Char Char Char Char Char Char Char Char Char"/>
    <w:basedOn w:val="1"/>
    <w:uiPriority w:val="0"/>
    <w:pPr>
      <w:spacing w:line="360" w:lineRule="auto"/>
      <w:ind w:firstLine="200" w:firstLineChars="200"/>
    </w:pPr>
  </w:style>
  <w:style w:type="paragraph" w:customStyle="1" w:styleId="99">
    <w:name w:val="环正文"/>
    <w:basedOn w:val="1"/>
    <w:uiPriority w:val="0"/>
    <w:pPr>
      <w:widowControl/>
      <w:suppressAutoHyphens/>
      <w:adjustRightInd w:val="0"/>
      <w:spacing w:line="312" w:lineRule="atLeast"/>
      <w:ind w:firstLine="567"/>
      <w:textAlignment w:val="baseline"/>
    </w:pPr>
    <w:rPr>
      <w:rFonts w:ascii="宋体" w:hAnsi="宋体"/>
      <w:kern w:val="0"/>
      <w:sz w:val="24"/>
    </w:rPr>
  </w:style>
  <w:style w:type="paragraph" w:customStyle="1" w:styleId="100">
    <w:name w:val="表格内容"/>
    <w:uiPriority w:val="0"/>
    <w:pPr>
      <w:jc w:val="center"/>
    </w:pPr>
    <w:rPr>
      <w:rFonts w:ascii="Calibri" w:hAnsi="Calibri" w:eastAsia="宋体" w:cs="Times New Roman"/>
      <w:sz w:val="21"/>
      <w:lang w:val="en-US" w:eastAsia="zh-CN" w:bidi="ar-SA"/>
    </w:rPr>
  </w:style>
  <w:style w:type="paragraph" w:customStyle="1" w:styleId="101">
    <w:name w:val="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02">
    <w:name w:val="正文首行缩进1"/>
    <w:basedOn w:val="1"/>
    <w:uiPriority w:val="0"/>
    <w:pPr>
      <w:overflowPunct w:val="0"/>
      <w:autoSpaceDE w:val="0"/>
      <w:autoSpaceDN w:val="0"/>
      <w:adjustRightInd w:val="0"/>
      <w:spacing w:line="360" w:lineRule="auto"/>
      <w:ind w:firstLine="539"/>
    </w:pPr>
    <w:rPr>
      <w:kern w:val="0"/>
      <w:sz w:val="28"/>
    </w:rPr>
  </w:style>
  <w:style w:type="paragraph" w:customStyle="1" w:styleId="103">
    <w:name w:val="Char Char Char Char Char Char1 Char Char Char Char Char Char Char Char Char Char Char Char Char Char Char Char"/>
    <w:basedOn w:val="1"/>
    <w:uiPriority w:val="0"/>
    <w:rPr>
      <w:sz w:val="24"/>
      <w:szCs w:val="24"/>
    </w:rPr>
  </w:style>
  <w:style w:type="paragraph" w:customStyle="1" w:styleId="104">
    <w:name w:val="正文5"/>
    <w:uiPriority w:val="0"/>
    <w:pPr>
      <w:spacing w:line="360" w:lineRule="auto"/>
      <w:ind w:firstLine="200" w:firstLineChars="200"/>
    </w:pPr>
    <w:rPr>
      <w:rFonts w:ascii="Calibri" w:hAnsi="Calibri" w:eastAsia="宋体" w:cs="宋体"/>
      <w:sz w:val="24"/>
      <w:lang w:val="en-US" w:eastAsia="zh-CN" w:bidi="ar-SA"/>
    </w:rPr>
  </w:style>
  <w:style w:type="paragraph" w:customStyle="1" w:styleId="105">
    <w:name w:val="Char Char5"/>
    <w:basedOn w:val="1"/>
    <w:uiPriority w:val="0"/>
    <w:rPr>
      <w:szCs w:val="24"/>
    </w:rPr>
  </w:style>
  <w:style w:type="paragraph" w:customStyle="1" w:styleId="106">
    <w:name w:val="表内文字"/>
    <w:basedOn w:val="1"/>
    <w:uiPriority w:val="0"/>
    <w:pPr>
      <w:snapToGrid w:val="0"/>
      <w:jc w:val="center"/>
    </w:pPr>
    <w:rPr>
      <w:spacing w:val="2"/>
      <w:szCs w:val="24"/>
    </w:rPr>
  </w:style>
  <w:style w:type="paragraph" w:customStyle="1" w:styleId="107">
    <w:name w:val="样式 正文首行缩进正文首行缩进 Char + 首行缩进:  2 字符"/>
    <w:basedOn w:val="26"/>
    <w:uiPriority w:val="0"/>
    <w:pPr>
      <w:overflowPunct/>
      <w:autoSpaceDE/>
      <w:autoSpaceDN/>
      <w:adjustRightInd/>
      <w:ind w:firstLine="200" w:firstLineChars="200"/>
    </w:pPr>
    <w:rPr>
      <w:kern w:val="2"/>
    </w:rPr>
  </w:style>
  <w:style w:type="paragraph" w:customStyle="1" w:styleId="108">
    <w:name w:val="默认段落字体 Para Char Char Char Char"/>
    <w:basedOn w:val="1"/>
    <w:uiPriority w:val="0"/>
    <w:rPr>
      <w:szCs w:val="21"/>
    </w:rPr>
  </w:style>
  <w:style w:type="paragraph" w:customStyle="1" w:styleId="109">
    <w:name w:val="环评表内容"/>
    <w:basedOn w:val="1"/>
    <w:uiPriority w:val="0"/>
    <w:pPr>
      <w:spacing w:line="260" w:lineRule="exact"/>
      <w:jc w:val="center"/>
    </w:pPr>
    <w:rPr>
      <w:rFonts w:ascii="Tahoma" w:hAnsi="Tahoma" w:cs="Tahoma"/>
    </w:rPr>
  </w:style>
  <w:style w:type="paragraph" w:customStyle="1" w:styleId="110">
    <w:name w:val="xl31"/>
    <w:basedOn w:val="1"/>
    <w:uiPriority w:val="0"/>
    <w:pPr>
      <w:widowControl/>
      <w:spacing w:before="100" w:beforeAutospacing="1" w:after="100" w:afterAutospacing="1"/>
      <w:jc w:val="center"/>
    </w:pPr>
    <w:rPr>
      <w:rFonts w:ascii="Kingsoft Phonetic Plain" w:hAnsi="Kingsoft Phonetic Plain"/>
      <w:kern w:val="0"/>
      <w:sz w:val="24"/>
      <w:szCs w:val="24"/>
    </w:rPr>
  </w:style>
  <w:style w:type="paragraph" w:customStyle="1" w:styleId="111">
    <w:name w:val="Char Char19 Char Char"/>
    <w:basedOn w:val="1"/>
    <w:uiPriority w:val="0"/>
    <w:rPr>
      <w:sz w:val="24"/>
      <w:szCs w:val="24"/>
    </w:rPr>
  </w:style>
  <w:style w:type="paragraph" w:customStyle="1" w:styleId="112">
    <w:name w:val="表格 32"/>
    <w:basedOn w:val="1"/>
    <w:uiPriority w:val="0"/>
    <w:pPr>
      <w:autoSpaceDE w:val="0"/>
      <w:autoSpaceDN w:val="0"/>
      <w:adjustRightInd w:val="0"/>
      <w:jc w:val="center"/>
      <w:textAlignment w:val="baseline"/>
    </w:pPr>
    <w:rPr>
      <w:kern w:val="0"/>
      <w:sz w:val="20"/>
      <w:szCs w:val="21"/>
    </w:rPr>
  </w:style>
  <w:style w:type="paragraph" w:customStyle="1" w:styleId="113">
    <w:name w:val="正文标准样式"/>
    <w:basedOn w:val="1"/>
    <w:uiPriority w:val="0"/>
    <w:pPr>
      <w:adjustRightInd w:val="0"/>
      <w:spacing w:line="300" w:lineRule="auto"/>
      <w:ind w:firstLine="482"/>
      <w:textAlignment w:val="baseline"/>
    </w:pPr>
    <w:rPr>
      <w:kern w:val="0"/>
      <w:sz w:val="24"/>
    </w:rPr>
  </w:style>
  <w:style w:type="paragraph" w:customStyle="1" w:styleId="114">
    <w:name w:val="默认段落字体 Para Char"/>
    <w:basedOn w:val="1"/>
    <w:next w:val="1"/>
    <w:uiPriority w:val="0"/>
    <w:pPr>
      <w:spacing w:line="360" w:lineRule="auto"/>
      <w:ind w:firstLine="200" w:firstLineChars="200"/>
    </w:pPr>
  </w:style>
  <w:style w:type="paragraph" w:customStyle="1" w:styleId="115">
    <w:name w:val="正文文本缩进1"/>
    <w:basedOn w:val="1"/>
    <w:uiPriority w:val="0"/>
    <w:pPr>
      <w:spacing w:after="120"/>
      <w:ind w:left="420" w:leftChars="200"/>
    </w:pPr>
  </w:style>
  <w:style w:type="paragraph" w:customStyle="1" w:styleId="116">
    <w:name w:val="Char Char Char Char Char Char1 Char"/>
    <w:basedOn w:val="1"/>
    <w:uiPriority w:val="0"/>
    <w:pPr>
      <w:spacing w:line="360" w:lineRule="auto"/>
    </w:pPr>
    <w:rPr>
      <w:sz w:val="24"/>
      <w:szCs w:val="24"/>
    </w:rPr>
  </w:style>
  <w:style w:type="paragraph" w:customStyle="1" w:styleId="117">
    <w:name w:val="缩进"/>
    <w:basedOn w:val="1"/>
    <w:uiPriority w:val="0"/>
    <w:pPr>
      <w:autoSpaceDE w:val="0"/>
      <w:autoSpaceDN w:val="0"/>
      <w:adjustRightInd w:val="0"/>
      <w:spacing w:line="400" w:lineRule="atLeast"/>
      <w:ind w:firstLine="425"/>
      <w:textAlignment w:val="baseline"/>
    </w:pPr>
    <w:rPr>
      <w:kern w:val="0"/>
      <w:sz w:val="24"/>
    </w:rPr>
  </w:style>
  <w:style w:type="paragraph" w:customStyle="1" w:styleId="118">
    <w:name w:val="正文文本缩进 21"/>
    <w:basedOn w:val="1"/>
    <w:uiPriority w:val="0"/>
    <w:pPr>
      <w:spacing w:after="120" w:line="480" w:lineRule="auto"/>
      <w:ind w:left="420" w:leftChars="200"/>
    </w:pPr>
  </w:style>
  <w:style w:type="paragraph" w:customStyle="1" w:styleId="119">
    <w:name w:val="Char Char Char Char Char Char Char Char Char Char Char Char Char Char Char Char Char Char Char Char Char Char Char Char Char Char Char Char Char Char Char Char Char Char"/>
    <w:basedOn w:val="1"/>
    <w:uiPriority w:val="0"/>
    <w:pPr>
      <w:spacing w:line="360" w:lineRule="auto"/>
      <w:ind w:firstLine="200" w:firstLineChars="200"/>
    </w:pPr>
    <w:rPr>
      <w:rFonts w:ascii="宋体" w:hAnsi="宋体" w:cs="宋体"/>
      <w:sz w:val="24"/>
      <w:szCs w:val="24"/>
    </w:rPr>
  </w:style>
  <w:style w:type="paragraph" w:customStyle="1" w:styleId="120">
    <w:name w:val="表格标题"/>
    <w:basedOn w:val="1"/>
    <w:uiPriority w:val="0"/>
    <w:pPr>
      <w:adjustRightInd w:val="0"/>
      <w:spacing w:before="120" w:line="360" w:lineRule="auto"/>
      <w:ind w:firstLine="200" w:firstLineChars="200"/>
      <w:jc w:val="center"/>
      <w:textAlignment w:val="baseline"/>
    </w:pPr>
    <w:rPr>
      <w:rFonts w:eastAsia="文鼎CS中宋"/>
      <w:kern w:val="0"/>
      <w:sz w:val="24"/>
    </w:rPr>
  </w:style>
  <w:style w:type="paragraph" w:customStyle="1" w:styleId="121">
    <w:name w:val="注释标题1"/>
    <w:basedOn w:val="1"/>
    <w:next w:val="1"/>
    <w:uiPriority w:val="0"/>
    <w:pPr>
      <w:jc w:val="center"/>
    </w:pPr>
    <w:rPr>
      <w:sz w:val="28"/>
      <w:szCs w:val="24"/>
    </w:rPr>
  </w:style>
  <w:style w:type="paragraph" w:customStyle="1" w:styleId="122">
    <w:name w:val="Char Char Char 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23">
    <w:name w:val="p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4">
    <w:name w:val="中文报告书样式"/>
    <w:basedOn w:val="1"/>
    <w:uiPriority w:val="0"/>
    <w:pPr>
      <w:adjustRightInd w:val="0"/>
      <w:spacing w:line="480" w:lineRule="atLeast"/>
      <w:ind w:firstLine="482"/>
      <w:textAlignment w:val="baseline"/>
    </w:pPr>
    <w:rPr>
      <w:kern w:val="24"/>
      <w:sz w:val="24"/>
    </w:rPr>
  </w:style>
  <w:style w:type="paragraph" w:customStyle="1" w:styleId="125">
    <w:name w:val="样式 小四 首行缩进:  0.85 厘米 行距: 1.5 倍行距"/>
    <w:basedOn w:val="1"/>
    <w:uiPriority w:val="0"/>
    <w:pPr>
      <w:spacing w:line="360" w:lineRule="auto"/>
      <w:ind w:firstLine="482"/>
    </w:pPr>
    <w:rPr>
      <w:sz w:val="24"/>
      <w:szCs w:val="24"/>
    </w:rPr>
  </w:style>
  <w:style w:type="paragraph" w:customStyle="1" w:styleId="126">
    <w:name w:val="1正文缩进"/>
    <w:basedOn w:val="1"/>
    <w:uiPriority w:val="0"/>
    <w:pPr>
      <w:adjustRightInd w:val="0"/>
      <w:spacing w:line="360" w:lineRule="auto"/>
      <w:ind w:firstLine="200" w:firstLineChars="200"/>
    </w:pPr>
    <w:rPr>
      <w:sz w:val="24"/>
      <w:szCs w:val="24"/>
    </w:rPr>
  </w:style>
  <w:style w:type="paragraph" w:customStyle="1" w:styleId="127">
    <w:name w:val="Char1 Char Char Char2"/>
    <w:basedOn w:val="1"/>
    <w:uiPriority w:val="0"/>
  </w:style>
  <w:style w:type="paragraph" w:customStyle="1" w:styleId="128">
    <w:name w:val="album-div"/>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段落"/>
    <w:basedOn w:val="1"/>
    <w:uiPriority w:val="0"/>
    <w:pPr>
      <w:tabs>
        <w:tab w:val="left" w:pos="1021"/>
      </w:tabs>
      <w:adjustRightInd w:val="0"/>
      <w:spacing w:line="360" w:lineRule="auto"/>
      <w:ind w:firstLine="480" w:firstLineChars="200"/>
    </w:pPr>
    <w:rPr>
      <w:color w:val="000000"/>
      <w:kern w:val="24"/>
      <w:sz w:val="24"/>
      <w:szCs w:val="24"/>
      <w:lang w:val="zh-CN"/>
    </w:rPr>
  </w:style>
  <w:style w:type="paragraph" w:customStyle="1" w:styleId="130">
    <w:name w:val="正文（首行不缩进）"/>
    <w:basedOn w:val="1"/>
    <w:uiPriority w:val="0"/>
    <w:pPr>
      <w:adjustRightInd w:val="0"/>
      <w:spacing w:line="300" w:lineRule="auto"/>
      <w:ind w:firstLine="200" w:firstLineChars="200"/>
      <w:jc w:val="left"/>
      <w:textAlignment w:val="baseline"/>
    </w:pPr>
    <w:rPr>
      <w:color w:val="000000"/>
      <w:kern w:val="0"/>
      <w:sz w:val="24"/>
      <w:szCs w:val="24"/>
    </w:rPr>
  </w:style>
  <w:style w:type="paragraph" w:customStyle="1" w:styleId="131">
    <w:name w:val="Char"/>
    <w:basedOn w:val="1"/>
    <w:uiPriority w:val="0"/>
    <w:pPr>
      <w:spacing w:line="360" w:lineRule="auto"/>
      <w:ind w:firstLine="200" w:firstLineChars="200"/>
    </w:pPr>
    <w:rPr>
      <w:rFonts w:ascii="宋体" w:hAnsi="宋体" w:cs="宋体"/>
      <w:sz w:val="24"/>
      <w:szCs w:val="24"/>
    </w:rPr>
  </w:style>
  <w:style w:type="paragraph" w:customStyle="1" w:styleId="132">
    <w:name w:val="Char Char Char Char Char Char Char Char Char Char Char Char Char Char Char1 Char Char Char Char Char Char Char Char Char Char Char Char Char"/>
    <w:basedOn w:val="1"/>
    <w:uiPriority w:val="0"/>
    <w:pPr>
      <w:autoSpaceDE w:val="0"/>
      <w:autoSpaceDN w:val="0"/>
      <w:adjustRightInd w:val="0"/>
      <w:snapToGrid w:val="0"/>
      <w:spacing w:before="50" w:after="50" w:line="360" w:lineRule="auto"/>
      <w:ind w:firstLine="560" w:firstLineChars="200"/>
    </w:pPr>
    <w:rPr>
      <w:rFonts w:eastAsia="仿宋_GB2312"/>
      <w:color w:val="000000"/>
      <w:sz w:val="24"/>
      <w:szCs w:val="24"/>
    </w:rPr>
  </w:style>
  <w:style w:type="paragraph" w:customStyle="1" w:styleId="133">
    <w:name w:val="正文2"/>
    <w:basedOn w:val="1"/>
    <w:uiPriority w:val="0"/>
    <w:pPr>
      <w:adjustRightInd w:val="0"/>
      <w:snapToGrid w:val="0"/>
      <w:spacing w:line="440" w:lineRule="atLeast"/>
      <w:ind w:firstLine="567"/>
    </w:pPr>
    <w:rPr>
      <w:sz w:val="24"/>
    </w:rPr>
  </w:style>
  <w:style w:type="paragraph" w:customStyle="1" w:styleId="134">
    <w:name w:val="正文1"/>
    <w:basedOn w:val="1"/>
    <w:uiPriority w:val="0"/>
    <w:pPr>
      <w:spacing w:line="360" w:lineRule="auto"/>
      <w:ind w:firstLine="200" w:firstLineChars="200"/>
    </w:pPr>
    <w:rPr>
      <w:sz w:val="24"/>
      <w:szCs w:val="24"/>
    </w:rPr>
  </w:style>
  <w:style w:type="character" w:customStyle="1" w:styleId="135">
    <w:name w:val="报告书正文 Char"/>
    <w:link w:val="136"/>
    <w:qFormat/>
    <w:uiPriority w:val="0"/>
    <w:rPr>
      <w:rFonts w:ascii="Times New Roman" w:hAnsi="Times New Roman"/>
      <w:sz w:val="24"/>
    </w:rPr>
  </w:style>
  <w:style w:type="paragraph" w:customStyle="1" w:styleId="136">
    <w:name w:val="报告书正文"/>
    <w:basedOn w:val="1"/>
    <w:link w:val="135"/>
    <w:uiPriority w:val="0"/>
    <w:pPr>
      <w:spacing w:line="360" w:lineRule="auto"/>
      <w:ind w:firstLine="200" w:firstLineChars="200"/>
    </w:pPr>
    <w:rPr>
      <w:rFonts w:ascii="Times New Roman" w:hAnsi="Times New Roman"/>
      <w:kern w:val="0"/>
      <w:sz w:val="24"/>
    </w:rPr>
  </w:style>
  <w:style w:type="character" w:styleId="137">
    <w:name w:val="Placeholder Text"/>
    <w:basedOn w:val="30"/>
    <w:unhideWhenUsed/>
    <w:uiPriority w:val="99"/>
    <w:rPr>
      <w:color w:val="808080"/>
    </w:rPr>
  </w:style>
  <w:style w:type="paragraph" w:customStyle="1" w:styleId="138">
    <w:name w:val="报告表正文"/>
    <w:link w:val="139"/>
    <w:uiPriority w:val="0"/>
    <w:pPr>
      <w:widowControl w:val="0"/>
      <w:spacing w:line="360" w:lineRule="auto"/>
    </w:pPr>
    <w:rPr>
      <w:rFonts w:ascii="Times New Roman" w:hAnsi="Times New Roman" w:eastAsia="宋体" w:cs="Times New Roman"/>
      <w:sz w:val="24"/>
      <w:szCs w:val="24"/>
      <w:lang w:val="en-US" w:eastAsia="zh-CN" w:bidi="ar-SA"/>
    </w:rPr>
  </w:style>
  <w:style w:type="character" w:customStyle="1" w:styleId="139">
    <w:name w:val="报告表正文 Char"/>
    <w:link w:val="138"/>
    <w:qFormat/>
    <w:uiPriority w:val="0"/>
    <w:rPr>
      <w:rFonts w:ascii="Times New Roman" w:hAnsi="Times New Roman"/>
      <w:sz w:val="24"/>
      <w:szCs w:val="24"/>
    </w:rPr>
  </w:style>
  <w:style w:type="character" w:customStyle="1" w:styleId="140">
    <w:name w:val="页眉 Char"/>
    <w:basedOn w:val="30"/>
    <w:link w:val="18"/>
    <w:uiPriority w:val="0"/>
    <w:rPr>
      <w:rFonts w:ascii="Calibri" w:hAnsi="Calibri"/>
      <w:kern w:val="2"/>
      <w:sz w:val="18"/>
      <w:szCs w:val="18"/>
    </w:rPr>
  </w:style>
  <w:style w:type="paragraph" w:customStyle="1" w:styleId="141">
    <w:name w:val="1文章"/>
    <w:basedOn w:val="1"/>
    <w:uiPriority w:val="0"/>
    <w:pPr>
      <w:snapToGrid w:val="0"/>
      <w:spacing w:line="360" w:lineRule="auto"/>
      <w:ind w:firstLine="573"/>
    </w:pPr>
    <w:rPr>
      <w:rFonts w:ascii="Times New Roman" w:hAnsi="Times New Roman" w:eastAsia="仿宋_GB2312"/>
      <w:sz w:val="28"/>
      <w:szCs w:val="24"/>
    </w:rPr>
  </w:style>
  <w:style w:type="paragraph" w:customStyle="1" w:styleId="142">
    <w:name w:val="Char Char1 Char Char Char Char Char Char Char Char Char Char Char Char Char Char Char Char Char Char Char Char1 Char"/>
    <w:basedOn w:val="1"/>
    <w:uiPriority w:val="0"/>
    <w:pPr>
      <w:spacing w:line="360" w:lineRule="auto"/>
      <w:ind w:firstLine="200" w:firstLineChars="200"/>
    </w:pPr>
    <w:rPr>
      <w:rFonts w:ascii="Times New Roman" w:hAnsi="Times New Roman"/>
      <w:szCs w:val="24"/>
    </w:rPr>
  </w:style>
  <w:style w:type="character" w:customStyle="1" w:styleId="143">
    <w:name w:val="正文文本缩进 2 Char"/>
    <w:link w:val="15"/>
    <w:uiPriority w:val="0"/>
    <w:rPr>
      <w:rFonts w:ascii="Calibri" w:hAnsi="Calibri"/>
      <w:kern w:val="2"/>
      <w:sz w:val="21"/>
      <w:szCs w:val="24"/>
    </w:rPr>
  </w:style>
  <w:style w:type="character" w:customStyle="1" w:styleId="144">
    <w:name w:val="正文文本缩进 Char"/>
    <w:link w:val="11"/>
    <w:uiPriority w:val="0"/>
    <w:rPr>
      <w:rFonts w:ascii="Calibri" w:hAnsi="Calibri"/>
      <w:kern w:val="2"/>
      <w:sz w:val="21"/>
      <w:szCs w:val="24"/>
    </w:rPr>
  </w:style>
  <w:style w:type="paragraph" w:customStyle="1" w:styleId="145">
    <w:name w:val="Table Paragraph"/>
    <w:basedOn w:val="1"/>
    <w:uiPriority w:val="0"/>
    <w:pPr>
      <w:spacing w:line="360" w:lineRule="auto"/>
      <w:ind w:firstLine="200" w:firstLineChars="200"/>
    </w:pPr>
    <w:rPr>
      <w:rFonts w:ascii="Times New Roman" w:hAnsi="Times New Roman"/>
      <w:sz w:val="24"/>
      <w:szCs w:val="24"/>
    </w:rPr>
  </w:style>
  <w:style w:type="paragraph" w:customStyle="1" w:styleId="146">
    <w:name w:val="_Style 63"/>
    <w:basedOn w:val="1"/>
    <w:semiHidden/>
    <w:uiPriority w:val="0"/>
    <w:pPr>
      <w:spacing w:line="360" w:lineRule="auto"/>
      <w:ind w:firstLine="200" w:firstLineChars="200"/>
      <w:jc w:val="left"/>
    </w:pPr>
    <w:rPr>
      <w:rFonts w:ascii="宋体" w:hAnsi="宋体" w:cs="宋体"/>
      <w:sz w:val="24"/>
      <w:szCs w:val="24"/>
    </w:rPr>
  </w:style>
  <w:style w:type="paragraph" w:customStyle="1" w:styleId="147">
    <w:name w:val="Char1"/>
    <w:basedOn w:val="1"/>
    <w:uiPriority w:val="0"/>
    <w:pPr>
      <w:spacing w:line="360" w:lineRule="auto"/>
      <w:ind w:firstLine="200" w:firstLineChars="200"/>
    </w:pPr>
    <w:rPr>
      <w:rFonts w:ascii="宋体" w:hAnsi="宋体" w:cs="宋体"/>
      <w:sz w:val="24"/>
      <w:szCs w:val="24"/>
    </w:rPr>
  </w:style>
  <w:style w:type="paragraph" w:customStyle="1" w:styleId="148">
    <w:name w:val="列出段落1"/>
    <w:basedOn w:val="1"/>
    <w:uiPriority w:val="0"/>
    <w:pPr>
      <w:widowControl/>
      <w:spacing w:line="360" w:lineRule="auto"/>
      <w:jc w:val="center"/>
    </w:pPr>
    <w:rPr>
      <w:rFonts w:ascii="宋体" w:hAnsi="宋体" w:eastAsia="黑体" w:cs="宋体"/>
      <w:kern w:val="0"/>
      <w:sz w:val="24"/>
      <w:szCs w:val="24"/>
    </w:rPr>
  </w:style>
  <w:style w:type="paragraph" w:customStyle="1" w:styleId="149">
    <w:name w:val="段落后报告正文"/>
    <w:link w:val="150"/>
    <w:uiPriority w:val="0"/>
    <w:pPr>
      <w:widowControl w:val="0"/>
      <w:spacing w:before="50" w:beforeLines="50" w:line="360" w:lineRule="auto"/>
      <w:ind w:firstLine="200" w:firstLineChars="200"/>
    </w:pPr>
    <w:rPr>
      <w:rFonts w:ascii="Times New Roman" w:hAnsi="Times New Roman" w:eastAsia="宋体" w:cs="Times New Roman"/>
      <w:sz w:val="24"/>
      <w:szCs w:val="24"/>
      <w:lang w:val="en-US" w:eastAsia="zh-CN" w:bidi="ar-SA"/>
    </w:rPr>
  </w:style>
  <w:style w:type="character" w:customStyle="1" w:styleId="150">
    <w:name w:val="段落后报告正文 Char"/>
    <w:link w:val="149"/>
    <w:qFormat/>
    <w:uiPriority w:val="0"/>
    <w:rPr>
      <w:sz w:val="24"/>
      <w:szCs w:val="24"/>
    </w:rPr>
  </w:style>
  <w:style w:type="character" w:customStyle="1" w:styleId="151">
    <w:name w:val="中大表格内容 Char"/>
    <w:link w:val="152"/>
    <w:uiPriority w:val="0"/>
    <w:rPr>
      <w:rFonts w:ascii="宋体" w:hAnsi="宋体" w:cs="宋体"/>
      <w:sz w:val="21"/>
      <w:szCs w:val="21"/>
      <w:lang w:val="zh-CN"/>
    </w:rPr>
  </w:style>
  <w:style w:type="paragraph" w:customStyle="1" w:styleId="152">
    <w:name w:val="中大表格内容"/>
    <w:basedOn w:val="1"/>
    <w:link w:val="151"/>
    <w:uiPriority w:val="0"/>
    <w:pPr>
      <w:autoSpaceDE w:val="0"/>
      <w:autoSpaceDN w:val="0"/>
      <w:adjustRightInd w:val="0"/>
      <w:jc w:val="center"/>
    </w:pPr>
    <w:rPr>
      <w:rFonts w:ascii="宋体" w:hAnsi="宋体" w:cs="宋体"/>
      <w:kern w:val="0"/>
      <w:szCs w:val="21"/>
      <w:lang w:val="zh-CN"/>
    </w:rPr>
  </w:style>
  <w:style w:type="paragraph" w:customStyle="1" w:styleId="153">
    <w:name w:val="4444表格"/>
    <w:basedOn w:val="1"/>
    <w:uiPriority w:val="0"/>
    <w:pPr>
      <w:spacing w:line="300" w:lineRule="exact"/>
      <w:jc w:val="center"/>
    </w:pPr>
    <w:rPr>
      <w:rFonts w:ascii="Times New Roman" w:hAnsi="Times New Roman"/>
      <w:szCs w:val="21"/>
    </w:rPr>
  </w:style>
  <w:style w:type="paragraph" w:customStyle="1" w:styleId="154">
    <w:name w:val="正文首行缩进2个字"/>
    <w:basedOn w:val="1"/>
    <w:link w:val="155"/>
    <w:qFormat/>
    <w:uiPriority w:val="0"/>
    <w:pPr>
      <w:ind w:firstLine="200" w:firstLineChars="200"/>
    </w:pPr>
    <w:rPr>
      <w:rFonts w:ascii="Times New Roman" w:hAnsi="Times New Roman"/>
    </w:rPr>
  </w:style>
  <w:style w:type="character" w:customStyle="1" w:styleId="155">
    <w:name w:val="正文首行缩进2个字 Char"/>
    <w:link w:val="154"/>
    <w:qFormat/>
    <w:locked/>
    <w:uiPriority w:val="0"/>
    <w:rPr>
      <w:kern w:val="2"/>
      <w:sz w:val="21"/>
    </w:rPr>
  </w:style>
  <w:style w:type="paragraph" w:customStyle="1" w:styleId="156">
    <w:name w:val="固定表格"/>
    <w:basedOn w:val="1"/>
    <w:uiPriority w:val="0"/>
    <w:pPr>
      <w:spacing w:line="360" w:lineRule="exact"/>
      <w:jc w:val="center"/>
    </w:pPr>
    <w:rPr>
      <w:rFonts w:ascii="Times New Roman" w:hAnsi="Times New Roman"/>
    </w:rPr>
  </w:style>
  <w:style w:type="paragraph" w:customStyle="1" w:styleId="157">
    <w:name w:val="样式 样式 (符号) 宋体 小四 行距: 1.5 倍行距 + (符号) Times New Roman 上标"/>
    <w:basedOn w:val="1"/>
    <w:qFormat/>
    <w:uiPriority w:val="0"/>
    <w:pPr>
      <w:spacing w:line="480" w:lineRule="exact"/>
      <w:ind w:firstLine="200" w:firstLineChars="200"/>
    </w:pPr>
    <w:rPr>
      <w:rFonts w:ascii="Times New Roman" w:hAnsi="Times New Roman" w:cs="宋体"/>
      <w:sz w:val="24"/>
    </w:rPr>
  </w:style>
  <w:style w:type="paragraph" w:customStyle="1" w:styleId="158">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6.emf"/><Relationship Id="rId12" Type="http://schemas.openxmlformats.org/officeDocument/2006/relationships/oleObject" Target="embeddings/oleObject1.bin"/><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AD25A-3226-4F5F-8ACE-37313E19CDC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8201</Words>
  <Characters>46749</Characters>
  <Lines>389</Lines>
  <Paragraphs>109</Paragraphs>
  <TotalTime>12220</TotalTime>
  <ScaleCrop>false</ScaleCrop>
  <LinksUpToDate>false</LinksUpToDate>
  <CharactersWithSpaces>54841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2018-07-30T07:53:00Z</dcterms:created>
  <dc:creator>User</dc:creator>
  <cp:lastModifiedBy>彭波荣</cp:lastModifiedBy>
  <cp:lastPrinted>2020-02-06T02:43:00Z</cp:lastPrinted>
  <dcterms:modified xsi:type="dcterms:W3CDTF">2020-03-06T07:06:04Z</dcterms:modified>
  <dc:title>建设项目环境影响报告表</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