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D6" w:rsidRPr="006A3F70" w:rsidRDefault="00746FD6" w:rsidP="00746FD6">
      <w:pPr>
        <w:pStyle w:val="a3"/>
        <w:spacing w:before="3"/>
        <w:rPr>
          <w:rFonts w:asciiTheme="minorEastAsia" w:eastAsiaTheme="minorEastAsia" w:hAnsiTheme="minorEastAsia"/>
          <w:sz w:val="27"/>
        </w:rPr>
      </w:pPr>
    </w:p>
    <w:p w:rsidR="00746FD6" w:rsidRDefault="00746FD6" w:rsidP="00746FD6">
      <w:pPr>
        <w:spacing w:before="58"/>
        <w:ind w:left="421"/>
        <w:rPr>
          <w:sz w:val="30"/>
        </w:rPr>
      </w:pPr>
      <w:r>
        <w:rPr>
          <w:sz w:val="30"/>
        </w:rPr>
        <w:t>附件 1</w:t>
      </w:r>
    </w:p>
    <w:p w:rsidR="00746FD6" w:rsidRDefault="00746FD6" w:rsidP="00746FD6">
      <w:pPr>
        <w:pStyle w:val="a3"/>
        <w:rPr>
          <w:sz w:val="20"/>
        </w:rPr>
      </w:pPr>
    </w:p>
    <w:p w:rsidR="00746FD6" w:rsidRDefault="00746FD6" w:rsidP="00746FD6">
      <w:pPr>
        <w:pStyle w:val="Heading1"/>
        <w:spacing w:before="179"/>
        <w:ind w:left="1173"/>
      </w:pPr>
      <w:bookmarkStart w:id="0" w:name="协议医疗机构自查自纠登记表"/>
      <w:bookmarkEnd w:id="0"/>
      <w:r>
        <w:t>协议医疗机构自查自纠登记表</w:t>
      </w:r>
    </w:p>
    <w:p w:rsidR="00746FD6" w:rsidRDefault="00746FD6" w:rsidP="00746FD6">
      <w:pPr>
        <w:pStyle w:val="a3"/>
        <w:rPr>
          <w:sz w:val="44"/>
        </w:rPr>
      </w:pPr>
    </w:p>
    <w:p w:rsidR="00746FD6" w:rsidRDefault="00746FD6" w:rsidP="00746FD6">
      <w:pPr>
        <w:tabs>
          <w:tab w:val="left" w:pos="4340"/>
          <w:tab w:val="left" w:pos="6721"/>
        </w:tabs>
        <w:spacing w:before="297"/>
        <w:ind w:left="421"/>
        <w:rPr>
          <w:sz w:val="28"/>
        </w:rPr>
      </w:pPr>
      <w:r>
        <w:rPr>
          <w:sz w:val="28"/>
        </w:rPr>
        <w:t>填</w:t>
      </w:r>
      <w:r>
        <w:rPr>
          <w:spacing w:val="-3"/>
          <w:sz w:val="28"/>
        </w:rPr>
        <w:t>报</w:t>
      </w:r>
      <w:r>
        <w:rPr>
          <w:sz w:val="28"/>
        </w:rPr>
        <w:t>单位</w:t>
      </w:r>
      <w:r>
        <w:rPr>
          <w:spacing w:val="-3"/>
          <w:sz w:val="28"/>
        </w:rPr>
        <w:t>（</w:t>
      </w:r>
      <w:r>
        <w:rPr>
          <w:sz w:val="28"/>
        </w:rPr>
        <w:t>盖章）：</w:t>
      </w:r>
      <w:r>
        <w:rPr>
          <w:sz w:val="28"/>
        </w:rPr>
        <w:tab/>
        <w:t>填</w:t>
      </w:r>
      <w:r>
        <w:rPr>
          <w:spacing w:val="-3"/>
          <w:sz w:val="28"/>
        </w:rPr>
        <w:t>报</w:t>
      </w:r>
      <w:r>
        <w:rPr>
          <w:sz w:val="28"/>
        </w:rPr>
        <w:t>人：</w:t>
      </w:r>
      <w:r>
        <w:rPr>
          <w:sz w:val="28"/>
        </w:rPr>
        <w:tab/>
        <w:t>填</w:t>
      </w:r>
      <w:r>
        <w:rPr>
          <w:spacing w:val="-3"/>
          <w:sz w:val="28"/>
        </w:rPr>
        <w:t>报</w:t>
      </w:r>
      <w:r>
        <w:rPr>
          <w:sz w:val="28"/>
        </w:rPr>
        <w:t>时</w:t>
      </w:r>
      <w:r>
        <w:rPr>
          <w:spacing w:val="-3"/>
          <w:sz w:val="28"/>
        </w:rPr>
        <w:t>间</w:t>
      </w:r>
      <w:r>
        <w:rPr>
          <w:sz w:val="28"/>
        </w:rPr>
        <w:t>:</w:t>
      </w:r>
    </w:p>
    <w:p w:rsidR="00746FD6" w:rsidRDefault="00746FD6" w:rsidP="00746FD6">
      <w:pPr>
        <w:pStyle w:val="a3"/>
        <w:spacing w:before="8"/>
        <w:rPr>
          <w:sz w:val="1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10"/>
        <w:gridCol w:w="1760"/>
        <w:gridCol w:w="1758"/>
      </w:tblGrid>
      <w:tr w:rsidR="00746FD6" w:rsidTr="004332C8">
        <w:trPr>
          <w:trHeight w:val="1022"/>
        </w:trPr>
        <w:tc>
          <w:tcPr>
            <w:tcW w:w="5610" w:type="dxa"/>
          </w:tcPr>
          <w:p w:rsidR="00746FD6" w:rsidRDefault="00746FD6" w:rsidP="004332C8">
            <w:pPr>
              <w:pStyle w:val="TableParagraph"/>
              <w:spacing w:before="6"/>
              <w:rPr>
                <w:sz w:val="28"/>
              </w:rPr>
            </w:pPr>
          </w:p>
          <w:p w:rsidR="00746FD6" w:rsidRDefault="00746FD6" w:rsidP="004332C8">
            <w:pPr>
              <w:pStyle w:val="TableParagraph"/>
              <w:ind w:left="1754"/>
              <w:rPr>
                <w:rFonts w:ascii="黑体" w:eastAsia="黑体"/>
                <w:sz w:val="28"/>
              </w:rPr>
            </w:pPr>
            <w:r>
              <w:rPr>
                <w:rFonts w:ascii="黑体" w:eastAsia="黑体" w:hint="eastAsia"/>
                <w:sz w:val="28"/>
              </w:rPr>
              <w:t>违法违规违约行为</w:t>
            </w:r>
          </w:p>
        </w:tc>
        <w:tc>
          <w:tcPr>
            <w:tcW w:w="1760" w:type="dxa"/>
          </w:tcPr>
          <w:p w:rsidR="00746FD6" w:rsidRDefault="00746FD6" w:rsidP="004332C8">
            <w:pPr>
              <w:pStyle w:val="TableParagraph"/>
              <w:spacing w:before="63" w:line="440" w:lineRule="atLeast"/>
              <w:ind w:left="539" w:right="18" w:hanging="490"/>
              <w:rPr>
                <w:rFonts w:ascii="黑体" w:eastAsia="黑体"/>
                <w:sz w:val="28"/>
              </w:rPr>
            </w:pPr>
            <w:r>
              <w:rPr>
                <w:rFonts w:ascii="黑体" w:eastAsia="黑体" w:hint="eastAsia"/>
                <w:sz w:val="28"/>
              </w:rPr>
              <w:t>违法违规违约人 次</w:t>
            </w:r>
          </w:p>
        </w:tc>
        <w:tc>
          <w:tcPr>
            <w:tcW w:w="1758" w:type="dxa"/>
          </w:tcPr>
          <w:p w:rsidR="00746FD6" w:rsidRDefault="00746FD6" w:rsidP="004332C8">
            <w:pPr>
              <w:pStyle w:val="TableParagraph"/>
              <w:spacing w:before="63" w:line="440" w:lineRule="atLeast"/>
              <w:ind w:left="547" w:right="7" w:hanging="490"/>
              <w:rPr>
                <w:rFonts w:ascii="黑体" w:eastAsia="黑体"/>
                <w:sz w:val="28"/>
              </w:rPr>
            </w:pPr>
            <w:r>
              <w:rPr>
                <w:rFonts w:ascii="黑体" w:eastAsia="黑体" w:hint="eastAsia"/>
                <w:sz w:val="28"/>
              </w:rPr>
              <w:t>违法违规违约金 额</w:t>
            </w:r>
          </w:p>
        </w:tc>
      </w:tr>
      <w:tr w:rsidR="00746FD6" w:rsidTr="004332C8">
        <w:trPr>
          <w:trHeight w:val="1306"/>
        </w:trPr>
        <w:tc>
          <w:tcPr>
            <w:tcW w:w="5610" w:type="dxa"/>
          </w:tcPr>
          <w:p w:rsidR="00746FD6" w:rsidRDefault="00746FD6" w:rsidP="004332C8">
            <w:pPr>
              <w:pStyle w:val="TableParagraph"/>
              <w:spacing w:before="99" w:line="218" w:lineRule="auto"/>
              <w:ind w:left="9" w:right="137"/>
              <w:jc w:val="both"/>
              <w:rPr>
                <w:sz w:val="24"/>
              </w:rPr>
            </w:pPr>
            <w:r>
              <w:rPr>
                <w:spacing w:val="-6"/>
                <w:sz w:val="24"/>
              </w:rPr>
              <w:t>对参保人员重复或者无指征化验、检查、治疗，分解</w:t>
            </w:r>
            <w:r>
              <w:rPr>
                <w:spacing w:val="-9"/>
                <w:sz w:val="24"/>
              </w:rPr>
              <w:t>或者无指征住院，或者实施超出病情实际需要的其他</w:t>
            </w:r>
            <w:r>
              <w:rPr>
                <w:spacing w:val="-10"/>
                <w:sz w:val="24"/>
              </w:rPr>
              <w:t>医疗服务，并将不合理医疗费用纳入基本医疗保险费</w:t>
            </w:r>
            <w:r>
              <w:rPr>
                <w:sz w:val="24"/>
              </w:rPr>
              <w:t>用结算。</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1300"/>
        </w:trPr>
        <w:tc>
          <w:tcPr>
            <w:tcW w:w="5610" w:type="dxa"/>
          </w:tcPr>
          <w:p w:rsidR="00746FD6" w:rsidRDefault="00746FD6" w:rsidP="004332C8">
            <w:pPr>
              <w:pStyle w:val="TableParagraph"/>
              <w:spacing w:before="96" w:line="218" w:lineRule="auto"/>
              <w:ind w:left="9" w:right="137"/>
              <w:jc w:val="both"/>
              <w:rPr>
                <w:sz w:val="24"/>
              </w:rPr>
            </w:pPr>
            <w:r>
              <w:rPr>
                <w:spacing w:val="-7"/>
                <w:sz w:val="24"/>
              </w:rPr>
              <w:t>违反基本医疗保险有关规定，将医疗保险基金支付范</w:t>
            </w:r>
            <w:r>
              <w:rPr>
                <w:spacing w:val="-6"/>
                <w:sz w:val="24"/>
              </w:rPr>
              <w:t>围以外或者约定服务范围以外的药品、诊疗项目、医疗服务设施所产生的医疗费用，纳入基本医疗保险费</w:t>
            </w:r>
            <w:r>
              <w:rPr>
                <w:sz w:val="24"/>
              </w:rPr>
              <w:t>用结算。</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461"/>
        </w:trPr>
        <w:tc>
          <w:tcPr>
            <w:tcW w:w="5610" w:type="dxa"/>
          </w:tcPr>
          <w:p w:rsidR="00746FD6" w:rsidRDefault="00746FD6" w:rsidP="004332C8">
            <w:pPr>
              <w:pStyle w:val="TableParagraph"/>
              <w:spacing w:before="76"/>
              <w:ind w:left="9"/>
              <w:rPr>
                <w:sz w:val="24"/>
              </w:rPr>
            </w:pPr>
            <w:r>
              <w:rPr>
                <w:sz w:val="24"/>
              </w:rPr>
              <w:t>超标准收费，超标准结算基本医疗保险费用。</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470"/>
        </w:trPr>
        <w:tc>
          <w:tcPr>
            <w:tcW w:w="5610" w:type="dxa"/>
          </w:tcPr>
          <w:p w:rsidR="00746FD6" w:rsidRDefault="00746FD6" w:rsidP="004332C8">
            <w:pPr>
              <w:pStyle w:val="TableParagraph"/>
              <w:spacing w:before="80"/>
              <w:ind w:left="9"/>
              <w:rPr>
                <w:sz w:val="24"/>
              </w:rPr>
            </w:pPr>
            <w:r>
              <w:rPr>
                <w:sz w:val="24"/>
              </w:rPr>
              <w:t>故意推诿患者或者延长住院期限。</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662"/>
        </w:trPr>
        <w:tc>
          <w:tcPr>
            <w:tcW w:w="5610" w:type="dxa"/>
          </w:tcPr>
          <w:p w:rsidR="00746FD6" w:rsidRDefault="00746FD6" w:rsidP="004332C8">
            <w:pPr>
              <w:pStyle w:val="TableParagraph"/>
              <w:spacing w:before="59" w:line="218" w:lineRule="auto"/>
              <w:ind w:left="9" w:right="137"/>
              <w:rPr>
                <w:sz w:val="24"/>
              </w:rPr>
            </w:pPr>
            <w:r>
              <w:rPr>
                <w:sz w:val="24"/>
              </w:rPr>
              <w:t>不按照基本医疗保险规定的支付比例进行基本医疗保险费用结算。</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737"/>
        </w:trPr>
        <w:tc>
          <w:tcPr>
            <w:tcW w:w="5610" w:type="dxa"/>
          </w:tcPr>
          <w:p w:rsidR="00746FD6" w:rsidRDefault="00746FD6" w:rsidP="004332C8">
            <w:pPr>
              <w:pStyle w:val="TableParagraph"/>
              <w:spacing w:before="94" w:line="218" w:lineRule="auto"/>
              <w:ind w:left="9" w:right="64"/>
              <w:rPr>
                <w:sz w:val="24"/>
              </w:rPr>
            </w:pPr>
            <w:r>
              <w:rPr>
                <w:sz w:val="24"/>
              </w:rPr>
              <w:t>与非协议医疗机构串通，将非协议医疗机构发生的医疗费用纳入基本医疗保险信息系统结算。</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925"/>
        </w:trPr>
        <w:tc>
          <w:tcPr>
            <w:tcW w:w="5610" w:type="dxa"/>
          </w:tcPr>
          <w:p w:rsidR="00746FD6" w:rsidRDefault="00746FD6" w:rsidP="004332C8">
            <w:pPr>
              <w:pStyle w:val="TableParagraph"/>
              <w:spacing w:before="48" w:line="218" w:lineRule="auto"/>
              <w:ind w:left="9" w:right="137"/>
              <w:jc w:val="both"/>
              <w:rPr>
                <w:sz w:val="24"/>
              </w:rPr>
            </w:pPr>
            <w:r>
              <w:rPr>
                <w:spacing w:val="-5"/>
                <w:sz w:val="24"/>
              </w:rPr>
              <w:t>允许非参保人员冒用参保人员名义就医，或者将不符</w:t>
            </w:r>
            <w:r>
              <w:rPr>
                <w:sz w:val="24"/>
              </w:rPr>
              <w:t>合特殊门诊人员的费用登记为特殊门诊费用 并纳入基本医疗保险费用结算。</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710"/>
        </w:trPr>
        <w:tc>
          <w:tcPr>
            <w:tcW w:w="5610" w:type="dxa"/>
          </w:tcPr>
          <w:p w:rsidR="00746FD6" w:rsidRDefault="00746FD6" w:rsidP="004332C8">
            <w:pPr>
              <w:pStyle w:val="TableParagraph"/>
              <w:spacing w:before="82" w:line="218" w:lineRule="auto"/>
              <w:ind w:left="9" w:right="66"/>
              <w:rPr>
                <w:sz w:val="24"/>
              </w:rPr>
            </w:pPr>
            <w:r>
              <w:rPr>
                <w:sz w:val="24"/>
              </w:rPr>
              <w:t>伪造病历资料、医疗票据、收费明细等骗取基本医疗保险基金。</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715"/>
        </w:trPr>
        <w:tc>
          <w:tcPr>
            <w:tcW w:w="5610" w:type="dxa"/>
          </w:tcPr>
          <w:p w:rsidR="00746FD6" w:rsidRDefault="00746FD6" w:rsidP="004332C8">
            <w:pPr>
              <w:pStyle w:val="TableParagraph"/>
              <w:spacing w:before="84" w:line="218" w:lineRule="auto"/>
              <w:ind w:left="9" w:right="64"/>
              <w:rPr>
                <w:sz w:val="24"/>
              </w:rPr>
            </w:pPr>
            <w:r>
              <w:rPr>
                <w:sz w:val="24"/>
              </w:rPr>
              <w:t>违反国家和省有关规定，拒绝或者推诿异地就医直接结算。</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725"/>
        </w:trPr>
        <w:tc>
          <w:tcPr>
            <w:tcW w:w="5610" w:type="dxa"/>
          </w:tcPr>
          <w:p w:rsidR="00746FD6" w:rsidRDefault="00746FD6" w:rsidP="004332C8">
            <w:pPr>
              <w:pStyle w:val="TableParagraph"/>
              <w:spacing w:before="207"/>
              <w:ind w:left="9"/>
              <w:rPr>
                <w:sz w:val="24"/>
              </w:rPr>
            </w:pPr>
            <w:r>
              <w:rPr>
                <w:sz w:val="24"/>
              </w:rPr>
              <w:t>危害基本医疗保险基金安全的其他行为。</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r w:rsidR="00746FD6" w:rsidTr="004332C8">
        <w:trPr>
          <w:trHeight w:val="734"/>
        </w:trPr>
        <w:tc>
          <w:tcPr>
            <w:tcW w:w="5610" w:type="dxa"/>
          </w:tcPr>
          <w:p w:rsidR="00746FD6" w:rsidRDefault="00746FD6" w:rsidP="004332C8">
            <w:pPr>
              <w:pStyle w:val="TableParagraph"/>
              <w:spacing w:before="211"/>
              <w:ind w:left="2565" w:right="2515"/>
              <w:jc w:val="center"/>
              <w:rPr>
                <w:sz w:val="24"/>
              </w:rPr>
            </w:pPr>
            <w:r>
              <w:rPr>
                <w:sz w:val="24"/>
              </w:rPr>
              <w:t>合计</w:t>
            </w:r>
          </w:p>
        </w:tc>
        <w:tc>
          <w:tcPr>
            <w:tcW w:w="1760" w:type="dxa"/>
          </w:tcPr>
          <w:p w:rsidR="00746FD6" w:rsidRDefault="00746FD6" w:rsidP="004332C8">
            <w:pPr>
              <w:pStyle w:val="TableParagraph"/>
              <w:rPr>
                <w:rFonts w:ascii="Times New Roman"/>
                <w:sz w:val="24"/>
              </w:rPr>
            </w:pPr>
          </w:p>
        </w:tc>
        <w:tc>
          <w:tcPr>
            <w:tcW w:w="1758" w:type="dxa"/>
          </w:tcPr>
          <w:p w:rsidR="00746FD6" w:rsidRDefault="00746FD6" w:rsidP="004332C8">
            <w:pPr>
              <w:pStyle w:val="TableParagraph"/>
              <w:rPr>
                <w:rFonts w:ascii="Times New Roman"/>
                <w:sz w:val="24"/>
              </w:rPr>
            </w:pPr>
          </w:p>
        </w:tc>
      </w:tr>
    </w:tbl>
    <w:p w:rsidR="00746FD6" w:rsidRDefault="00746FD6" w:rsidP="00746FD6">
      <w:pPr>
        <w:rPr>
          <w:rFonts w:ascii="Times New Roman"/>
          <w:sz w:val="24"/>
        </w:rPr>
        <w:sectPr w:rsidR="00746FD6">
          <w:pgSz w:w="11910" w:h="16840"/>
          <w:pgMar w:top="1580" w:right="1260" w:bottom="1520" w:left="1280" w:header="0" w:footer="1333" w:gutter="0"/>
          <w:cols w:space="720"/>
        </w:sectPr>
      </w:pPr>
    </w:p>
    <w:p w:rsidR="00746FD6" w:rsidRDefault="00746FD6" w:rsidP="00746FD6">
      <w:pPr>
        <w:pStyle w:val="a3"/>
        <w:spacing w:before="6"/>
        <w:rPr>
          <w:sz w:val="26"/>
        </w:rPr>
      </w:pPr>
      <w:r w:rsidRPr="00257ADE">
        <w:lastRenderedPageBreak/>
        <w:pict>
          <v:shapetype id="_x0000_t202" coordsize="21600,21600" o:spt="202" path="m,l,21600r21600,l21600,xe">
            <v:stroke joinstyle="miter"/>
            <v:path gradientshapeok="t" o:connecttype="rect"/>
          </v:shapetype>
          <v:shape id="_x0000_s1028" type="#_x0000_t202" style="position:absolute;margin-left:312.95pt;margin-top:640.85pt;width:12pt;height:12pt;z-index:-251656192;mso-position-horizontal-relative:page;mso-position-vertical-relative:page" filled="f" stroked="f">
            <v:textbox inset="0,0,0,0">
              <w:txbxContent>
                <w:p w:rsidR="00746FD6" w:rsidRDefault="00746FD6" w:rsidP="00746FD6">
                  <w:pPr>
                    <w:spacing w:line="240" w:lineRule="exact"/>
                    <w:rPr>
                      <w:sz w:val="24"/>
                    </w:rPr>
                  </w:pPr>
                  <w:r>
                    <w:rPr>
                      <w:sz w:val="24"/>
                    </w:rPr>
                    <w:t>。</w:t>
                  </w:r>
                </w:p>
              </w:txbxContent>
            </v:textbox>
            <w10:wrap anchorx="page" anchory="page"/>
          </v:shape>
        </w:pict>
      </w:r>
    </w:p>
    <w:p w:rsidR="00746FD6" w:rsidRDefault="00746FD6" w:rsidP="00746FD6">
      <w:pPr>
        <w:spacing w:before="68"/>
        <w:ind w:left="421"/>
        <w:rPr>
          <w:rFonts w:ascii="Times New Roman" w:eastAsia="Times New Roman"/>
          <w:sz w:val="30"/>
        </w:rPr>
      </w:pPr>
      <w:r>
        <w:rPr>
          <w:sz w:val="30"/>
        </w:rPr>
        <w:t xml:space="preserve">附件 </w:t>
      </w:r>
      <w:r>
        <w:rPr>
          <w:rFonts w:ascii="Times New Roman" w:eastAsia="Times New Roman"/>
          <w:sz w:val="30"/>
        </w:rPr>
        <w:t>2</w:t>
      </w:r>
    </w:p>
    <w:p w:rsidR="00746FD6" w:rsidRDefault="00746FD6" w:rsidP="00746FD6">
      <w:pPr>
        <w:pStyle w:val="a3"/>
        <w:rPr>
          <w:rFonts w:ascii="Times New Roman"/>
          <w:sz w:val="20"/>
        </w:rPr>
      </w:pPr>
    </w:p>
    <w:p w:rsidR="00746FD6" w:rsidRDefault="00746FD6" w:rsidP="00746FD6">
      <w:pPr>
        <w:pStyle w:val="Heading1"/>
        <w:spacing w:before="205"/>
        <w:ind w:right="1388"/>
      </w:pPr>
      <w:bookmarkStart w:id="1" w:name="协议零售药店自查自纠登记表"/>
      <w:bookmarkEnd w:id="1"/>
      <w:r>
        <w:t>协议零售药店自查自纠登记表</w:t>
      </w:r>
    </w:p>
    <w:p w:rsidR="00746FD6" w:rsidRDefault="00746FD6" w:rsidP="00746FD6">
      <w:pPr>
        <w:pStyle w:val="a3"/>
        <w:spacing w:before="1"/>
        <w:rPr>
          <w:sz w:val="48"/>
        </w:rPr>
      </w:pPr>
    </w:p>
    <w:p w:rsidR="00746FD6" w:rsidRDefault="00746FD6" w:rsidP="00746FD6">
      <w:pPr>
        <w:tabs>
          <w:tab w:val="left" w:pos="4340"/>
          <w:tab w:val="left" w:pos="6721"/>
        </w:tabs>
        <w:ind w:left="421"/>
        <w:rPr>
          <w:sz w:val="28"/>
        </w:rPr>
      </w:pPr>
      <w:r>
        <w:rPr>
          <w:sz w:val="28"/>
        </w:rPr>
        <w:t>填</w:t>
      </w:r>
      <w:r>
        <w:rPr>
          <w:spacing w:val="-3"/>
          <w:sz w:val="28"/>
        </w:rPr>
        <w:t>报</w:t>
      </w:r>
      <w:r>
        <w:rPr>
          <w:sz w:val="28"/>
        </w:rPr>
        <w:t>单位</w:t>
      </w:r>
      <w:r>
        <w:rPr>
          <w:spacing w:val="-3"/>
          <w:sz w:val="28"/>
        </w:rPr>
        <w:t>（</w:t>
      </w:r>
      <w:r>
        <w:rPr>
          <w:sz w:val="28"/>
        </w:rPr>
        <w:t>盖章）：</w:t>
      </w:r>
      <w:r>
        <w:rPr>
          <w:sz w:val="28"/>
        </w:rPr>
        <w:tab/>
        <w:t>填</w:t>
      </w:r>
      <w:r>
        <w:rPr>
          <w:spacing w:val="-3"/>
          <w:sz w:val="28"/>
        </w:rPr>
        <w:t>报</w:t>
      </w:r>
      <w:r>
        <w:rPr>
          <w:sz w:val="28"/>
        </w:rPr>
        <w:t>人：</w:t>
      </w:r>
      <w:r>
        <w:rPr>
          <w:sz w:val="28"/>
        </w:rPr>
        <w:tab/>
        <w:t>填</w:t>
      </w:r>
      <w:r>
        <w:rPr>
          <w:spacing w:val="-3"/>
          <w:sz w:val="28"/>
        </w:rPr>
        <w:t>报</w:t>
      </w:r>
      <w:r>
        <w:rPr>
          <w:sz w:val="28"/>
        </w:rPr>
        <w:t>时</w:t>
      </w:r>
      <w:r>
        <w:rPr>
          <w:spacing w:val="-3"/>
          <w:sz w:val="28"/>
        </w:rPr>
        <w:t>间</w:t>
      </w:r>
      <w:r>
        <w:rPr>
          <w:sz w:val="28"/>
        </w:rPr>
        <w:t>:</w:t>
      </w:r>
    </w:p>
    <w:p w:rsidR="00746FD6" w:rsidRDefault="00746FD6" w:rsidP="00746FD6">
      <w:pPr>
        <w:pStyle w:val="a3"/>
        <w:spacing w:before="9"/>
        <w:rPr>
          <w:sz w:val="18"/>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10"/>
        <w:gridCol w:w="1953"/>
        <w:gridCol w:w="2084"/>
      </w:tblGrid>
      <w:tr w:rsidR="00746FD6" w:rsidTr="004332C8">
        <w:trPr>
          <w:trHeight w:val="1474"/>
        </w:trPr>
        <w:tc>
          <w:tcPr>
            <w:tcW w:w="4910" w:type="dxa"/>
          </w:tcPr>
          <w:p w:rsidR="00746FD6" w:rsidRDefault="00746FD6" w:rsidP="004332C8">
            <w:pPr>
              <w:pStyle w:val="TableParagraph"/>
              <w:rPr>
                <w:sz w:val="28"/>
              </w:rPr>
            </w:pPr>
          </w:p>
          <w:p w:rsidR="00746FD6" w:rsidRDefault="00746FD6" w:rsidP="004332C8">
            <w:pPr>
              <w:pStyle w:val="TableParagraph"/>
              <w:spacing w:before="219"/>
              <w:ind w:left="1374"/>
              <w:rPr>
                <w:rFonts w:ascii="黑体" w:eastAsia="黑体"/>
                <w:sz w:val="28"/>
              </w:rPr>
            </w:pPr>
            <w:r>
              <w:rPr>
                <w:rFonts w:ascii="黑体" w:eastAsia="黑体" w:hint="eastAsia"/>
                <w:sz w:val="28"/>
              </w:rPr>
              <w:t>违法违规违约行为</w:t>
            </w:r>
          </w:p>
        </w:tc>
        <w:tc>
          <w:tcPr>
            <w:tcW w:w="1953" w:type="dxa"/>
          </w:tcPr>
          <w:p w:rsidR="00746FD6" w:rsidRDefault="00746FD6" w:rsidP="004332C8">
            <w:pPr>
              <w:pStyle w:val="TableParagraph"/>
              <w:spacing w:before="7"/>
              <w:rPr>
                <w:sz w:val="29"/>
              </w:rPr>
            </w:pPr>
          </w:p>
          <w:p w:rsidR="00746FD6" w:rsidRDefault="00746FD6" w:rsidP="004332C8">
            <w:pPr>
              <w:pStyle w:val="TableParagraph"/>
              <w:tabs>
                <w:tab w:val="left" w:pos="1115"/>
              </w:tabs>
              <w:spacing w:line="266" w:lineRule="auto"/>
              <w:ind w:left="556" w:right="124" w:hanging="420"/>
              <w:rPr>
                <w:rFonts w:ascii="黑体" w:eastAsia="黑体"/>
                <w:sz w:val="28"/>
              </w:rPr>
            </w:pPr>
            <w:r>
              <w:rPr>
                <w:rFonts w:ascii="黑体" w:eastAsia="黑体" w:hint="eastAsia"/>
                <w:sz w:val="28"/>
              </w:rPr>
              <w:t>违</w:t>
            </w:r>
            <w:r>
              <w:rPr>
                <w:rFonts w:ascii="黑体" w:eastAsia="黑体" w:hint="eastAsia"/>
                <w:spacing w:val="-3"/>
                <w:sz w:val="28"/>
              </w:rPr>
              <w:t>法</w:t>
            </w:r>
            <w:r>
              <w:rPr>
                <w:rFonts w:ascii="黑体" w:eastAsia="黑体" w:hint="eastAsia"/>
                <w:sz w:val="28"/>
              </w:rPr>
              <w:t>违规</w:t>
            </w:r>
            <w:r>
              <w:rPr>
                <w:rFonts w:ascii="黑体" w:eastAsia="黑体" w:hint="eastAsia"/>
                <w:spacing w:val="-3"/>
                <w:sz w:val="28"/>
              </w:rPr>
              <w:t>违</w:t>
            </w:r>
            <w:r>
              <w:rPr>
                <w:rFonts w:ascii="黑体" w:eastAsia="黑体" w:hint="eastAsia"/>
                <w:spacing w:val="-14"/>
                <w:sz w:val="28"/>
              </w:rPr>
              <w:t>约</w:t>
            </w:r>
            <w:r>
              <w:rPr>
                <w:rFonts w:ascii="黑体" w:eastAsia="黑体" w:hint="eastAsia"/>
                <w:sz w:val="28"/>
              </w:rPr>
              <w:t>人</w:t>
            </w:r>
            <w:r>
              <w:rPr>
                <w:rFonts w:ascii="黑体" w:eastAsia="黑体" w:hint="eastAsia"/>
                <w:sz w:val="28"/>
              </w:rPr>
              <w:tab/>
              <w:t>次</w:t>
            </w:r>
          </w:p>
        </w:tc>
        <w:tc>
          <w:tcPr>
            <w:tcW w:w="2084" w:type="dxa"/>
          </w:tcPr>
          <w:p w:rsidR="00746FD6" w:rsidRDefault="00746FD6" w:rsidP="004332C8">
            <w:pPr>
              <w:pStyle w:val="TableParagraph"/>
              <w:spacing w:before="7"/>
              <w:rPr>
                <w:sz w:val="29"/>
              </w:rPr>
            </w:pPr>
          </w:p>
          <w:p w:rsidR="00746FD6" w:rsidRDefault="00746FD6" w:rsidP="004332C8">
            <w:pPr>
              <w:pStyle w:val="TableParagraph"/>
              <w:tabs>
                <w:tab w:val="left" w:pos="1202"/>
              </w:tabs>
              <w:spacing w:line="266" w:lineRule="auto"/>
              <w:ind w:left="640" w:right="170" w:hanging="420"/>
              <w:rPr>
                <w:rFonts w:ascii="黑体" w:eastAsia="黑体"/>
                <w:sz w:val="28"/>
              </w:rPr>
            </w:pPr>
            <w:r>
              <w:rPr>
                <w:rFonts w:ascii="黑体" w:eastAsia="黑体" w:hint="eastAsia"/>
                <w:sz w:val="28"/>
              </w:rPr>
              <w:t>违</w:t>
            </w:r>
            <w:r>
              <w:rPr>
                <w:rFonts w:ascii="黑体" w:eastAsia="黑体" w:hint="eastAsia"/>
                <w:spacing w:val="-3"/>
                <w:sz w:val="28"/>
              </w:rPr>
              <w:t>法</w:t>
            </w:r>
            <w:r>
              <w:rPr>
                <w:rFonts w:ascii="黑体" w:eastAsia="黑体" w:hint="eastAsia"/>
                <w:sz w:val="28"/>
              </w:rPr>
              <w:t>违规</w:t>
            </w:r>
            <w:r>
              <w:rPr>
                <w:rFonts w:ascii="黑体" w:eastAsia="黑体" w:hint="eastAsia"/>
                <w:spacing w:val="-3"/>
                <w:sz w:val="28"/>
              </w:rPr>
              <w:t>违</w:t>
            </w:r>
            <w:r>
              <w:rPr>
                <w:rFonts w:ascii="黑体" w:eastAsia="黑体" w:hint="eastAsia"/>
                <w:spacing w:val="-13"/>
                <w:sz w:val="28"/>
              </w:rPr>
              <w:t>约</w:t>
            </w:r>
            <w:r>
              <w:rPr>
                <w:rFonts w:ascii="黑体" w:eastAsia="黑体" w:hint="eastAsia"/>
                <w:sz w:val="28"/>
              </w:rPr>
              <w:t>金</w:t>
            </w:r>
            <w:r>
              <w:rPr>
                <w:rFonts w:ascii="黑体" w:eastAsia="黑体" w:hint="eastAsia"/>
                <w:sz w:val="28"/>
              </w:rPr>
              <w:tab/>
              <w:t>额</w:t>
            </w:r>
          </w:p>
        </w:tc>
      </w:tr>
      <w:tr w:rsidR="00746FD6" w:rsidTr="004332C8">
        <w:trPr>
          <w:trHeight w:val="1679"/>
        </w:trPr>
        <w:tc>
          <w:tcPr>
            <w:tcW w:w="4910" w:type="dxa"/>
          </w:tcPr>
          <w:p w:rsidR="00746FD6" w:rsidRDefault="00746FD6" w:rsidP="004332C8">
            <w:pPr>
              <w:pStyle w:val="TableParagraph"/>
              <w:spacing w:before="5"/>
              <w:rPr>
                <w:sz w:val="29"/>
              </w:rPr>
            </w:pPr>
          </w:p>
          <w:p w:rsidR="00746FD6" w:rsidRDefault="00746FD6" w:rsidP="004332C8">
            <w:pPr>
              <w:pStyle w:val="TableParagraph"/>
              <w:spacing w:line="247" w:lineRule="auto"/>
              <w:ind w:left="8"/>
              <w:jc w:val="both"/>
              <w:rPr>
                <w:sz w:val="24"/>
              </w:rPr>
            </w:pPr>
            <w:r>
              <w:rPr>
                <w:sz w:val="24"/>
              </w:rPr>
              <w:t>违反基本医疗保险有关规定，将基本医疗保险基金支付范围以外的药品、非药品以及其他物品纳入基本医疗保险费用结算。</w:t>
            </w:r>
          </w:p>
        </w:tc>
        <w:tc>
          <w:tcPr>
            <w:tcW w:w="1953" w:type="dxa"/>
          </w:tcPr>
          <w:p w:rsidR="00746FD6" w:rsidRDefault="00746FD6" w:rsidP="004332C8">
            <w:pPr>
              <w:pStyle w:val="TableParagraph"/>
              <w:rPr>
                <w:rFonts w:ascii="Times New Roman"/>
                <w:sz w:val="24"/>
              </w:rPr>
            </w:pPr>
          </w:p>
        </w:tc>
        <w:tc>
          <w:tcPr>
            <w:tcW w:w="2084" w:type="dxa"/>
          </w:tcPr>
          <w:p w:rsidR="00746FD6" w:rsidRDefault="00746FD6" w:rsidP="004332C8">
            <w:pPr>
              <w:pStyle w:val="TableParagraph"/>
              <w:rPr>
                <w:rFonts w:ascii="Times New Roman"/>
                <w:sz w:val="24"/>
              </w:rPr>
            </w:pPr>
          </w:p>
        </w:tc>
      </w:tr>
      <w:tr w:rsidR="00746FD6" w:rsidTr="004332C8">
        <w:trPr>
          <w:trHeight w:val="1478"/>
        </w:trPr>
        <w:tc>
          <w:tcPr>
            <w:tcW w:w="4910" w:type="dxa"/>
          </w:tcPr>
          <w:p w:rsidR="00746FD6" w:rsidRDefault="00746FD6" w:rsidP="004332C8">
            <w:pPr>
              <w:pStyle w:val="TableParagraph"/>
              <w:spacing w:before="11"/>
              <w:rPr>
                <w:sz w:val="33"/>
              </w:rPr>
            </w:pPr>
          </w:p>
          <w:p w:rsidR="00746FD6" w:rsidRDefault="00746FD6" w:rsidP="004332C8">
            <w:pPr>
              <w:pStyle w:val="TableParagraph"/>
              <w:spacing w:line="254" w:lineRule="auto"/>
              <w:ind w:left="8"/>
              <w:rPr>
                <w:sz w:val="24"/>
              </w:rPr>
            </w:pPr>
            <w:r>
              <w:rPr>
                <w:sz w:val="24"/>
              </w:rPr>
              <w:t>为他人利用基本医疗保险凭证套取现金提供帮助。</w:t>
            </w:r>
          </w:p>
        </w:tc>
        <w:tc>
          <w:tcPr>
            <w:tcW w:w="1953" w:type="dxa"/>
          </w:tcPr>
          <w:p w:rsidR="00746FD6" w:rsidRDefault="00746FD6" w:rsidP="004332C8">
            <w:pPr>
              <w:pStyle w:val="TableParagraph"/>
              <w:rPr>
                <w:rFonts w:ascii="Times New Roman"/>
                <w:sz w:val="24"/>
              </w:rPr>
            </w:pPr>
          </w:p>
        </w:tc>
        <w:tc>
          <w:tcPr>
            <w:tcW w:w="2084" w:type="dxa"/>
          </w:tcPr>
          <w:p w:rsidR="00746FD6" w:rsidRDefault="00746FD6" w:rsidP="004332C8">
            <w:pPr>
              <w:pStyle w:val="TableParagraph"/>
              <w:rPr>
                <w:rFonts w:ascii="Times New Roman"/>
                <w:sz w:val="24"/>
              </w:rPr>
            </w:pPr>
          </w:p>
        </w:tc>
      </w:tr>
      <w:tr w:rsidR="00746FD6" w:rsidTr="004332C8">
        <w:trPr>
          <w:trHeight w:val="1469"/>
        </w:trPr>
        <w:tc>
          <w:tcPr>
            <w:tcW w:w="4910" w:type="dxa"/>
          </w:tcPr>
          <w:p w:rsidR="00746FD6" w:rsidRDefault="00746FD6" w:rsidP="004332C8">
            <w:pPr>
              <w:pStyle w:val="TableParagraph"/>
              <w:spacing w:before="12"/>
              <w:rPr>
                <w:sz w:val="20"/>
              </w:rPr>
            </w:pPr>
          </w:p>
          <w:p w:rsidR="00746FD6" w:rsidRDefault="00746FD6" w:rsidP="004332C8">
            <w:pPr>
              <w:pStyle w:val="TableParagraph"/>
              <w:spacing w:line="252" w:lineRule="auto"/>
              <w:ind w:left="8"/>
              <w:jc w:val="both"/>
              <w:rPr>
                <w:sz w:val="24"/>
              </w:rPr>
            </w:pPr>
            <w:r>
              <w:rPr>
                <w:sz w:val="24"/>
              </w:rPr>
              <w:t>冒用参保人员名义进行基本医疗保险药品费用结算，或者伪造参保人员购药记录骗取基本医疗保险基金。</w:t>
            </w:r>
          </w:p>
        </w:tc>
        <w:tc>
          <w:tcPr>
            <w:tcW w:w="1953" w:type="dxa"/>
          </w:tcPr>
          <w:p w:rsidR="00746FD6" w:rsidRDefault="00746FD6" w:rsidP="004332C8">
            <w:pPr>
              <w:pStyle w:val="TableParagraph"/>
              <w:rPr>
                <w:rFonts w:ascii="Times New Roman"/>
                <w:sz w:val="24"/>
              </w:rPr>
            </w:pPr>
          </w:p>
        </w:tc>
        <w:tc>
          <w:tcPr>
            <w:tcW w:w="2084" w:type="dxa"/>
          </w:tcPr>
          <w:p w:rsidR="00746FD6" w:rsidRDefault="00746FD6" w:rsidP="004332C8">
            <w:pPr>
              <w:pStyle w:val="TableParagraph"/>
              <w:rPr>
                <w:rFonts w:ascii="Times New Roman"/>
                <w:sz w:val="24"/>
              </w:rPr>
            </w:pPr>
          </w:p>
        </w:tc>
      </w:tr>
      <w:tr w:rsidR="00746FD6" w:rsidTr="004332C8">
        <w:trPr>
          <w:trHeight w:val="1617"/>
        </w:trPr>
        <w:tc>
          <w:tcPr>
            <w:tcW w:w="4910" w:type="dxa"/>
          </w:tcPr>
          <w:p w:rsidR="00746FD6" w:rsidRDefault="00746FD6" w:rsidP="004332C8">
            <w:pPr>
              <w:pStyle w:val="TableParagraph"/>
              <w:spacing w:before="11"/>
              <w:rPr>
                <w:sz w:val="26"/>
              </w:rPr>
            </w:pPr>
          </w:p>
          <w:p w:rsidR="00746FD6" w:rsidRDefault="00746FD6" w:rsidP="004332C8">
            <w:pPr>
              <w:pStyle w:val="TableParagraph"/>
              <w:spacing w:line="252" w:lineRule="auto"/>
              <w:ind w:left="8"/>
              <w:jc w:val="both"/>
              <w:rPr>
                <w:sz w:val="24"/>
              </w:rPr>
            </w:pPr>
            <w:r>
              <w:rPr>
                <w:sz w:val="24"/>
              </w:rPr>
              <w:t>与非协议零售药店串通，将非协议零售药店发生的购药费用纳入基本医疗保险信息系统结算或者基本医疗保险个人账户卡支付。</w:t>
            </w:r>
          </w:p>
        </w:tc>
        <w:tc>
          <w:tcPr>
            <w:tcW w:w="1953" w:type="dxa"/>
          </w:tcPr>
          <w:p w:rsidR="00746FD6" w:rsidRDefault="00746FD6" w:rsidP="004332C8">
            <w:pPr>
              <w:pStyle w:val="TableParagraph"/>
              <w:rPr>
                <w:rFonts w:ascii="Times New Roman"/>
                <w:sz w:val="24"/>
              </w:rPr>
            </w:pPr>
          </w:p>
        </w:tc>
        <w:tc>
          <w:tcPr>
            <w:tcW w:w="2084" w:type="dxa"/>
          </w:tcPr>
          <w:p w:rsidR="00746FD6" w:rsidRDefault="00746FD6" w:rsidP="004332C8">
            <w:pPr>
              <w:pStyle w:val="TableParagraph"/>
              <w:rPr>
                <w:rFonts w:ascii="Times New Roman"/>
                <w:sz w:val="24"/>
              </w:rPr>
            </w:pPr>
          </w:p>
        </w:tc>
      </w:tr>
      <w:tr w:rsidR="00746FD6" w:rsidTr="004332C8">
        <w:trPr>
          <w:trHeight w:val="1085"/>
        </w:trPr>
        <w:tc>
          <w:tcPr>
            <w:tcW w:w="4910" w:type="dxa"/>
          </w:tcPr>
          <w:p w:rsidR="00746FD6" w:rsidRDefault="00746FD6" w:rsidP="004332C8">
            <w:pPr>
              <w:pStyle w:val="TableParagraph"/>
              <w:spacing w:before="4"/>
              <w:rPr>
                <w:sz w:val="31"/>
              </w:rPr>
            </w:pPr>
          </w:p>
          <w:p w:rsidR="00746FD6" w:rsidRDefault="00746FD6" w:rsidP="004332C8">
            <w:pPr>
              <w:pStyle w:val="TableParagraph"/>
              <w:ind w:left="8"/>
              <w:rPr>
                <w:sz w:val="24"/>
              </w:rPr>
            </w:pPr>
            <w:r>
              <w:rPr>
                <w:sz w:val="24"/>
              </w:rPr>
              <w:t>骗取、协同骗取基本医疗保险基金的其他行为</w:t>
            </w:r>
          </w:p>
        </w:tc>
        <w:tc>
          <w:tcPr>
            <w:tcW w:w="1953" w:type="dxa"/>
          </w:tcPr>
          <w:p w:rsidR="00746FD6" w:rsidRDefault="00746FD6" w:rsidP="004332C8">
            <w:pPr>
              <w:pStyle w:val="TableParagraph"/>
              <w:ind w:left="2" w:right="-72"/>
              <w:rPr>
                <w:sz w:val="20"/>
              </w:rPr>
            </w:pPr>
            <w:r w:rsidRPr="00257ADE">
              <w:rPr>
                <w:sz w:val="20"/>
              </w:rPr>
            </w:r>
            <w:r>
              <w:rPr>
                <w:sz w:val="20"/>
              </w:rPr>
              <w:pict>
                <v:group id="_x0000_s1026" style="width:97.4pt;height:54.55pt;mso-position-horizontal-relative:char;mso-position-vertical-relative:line" coordsize="1948,1091">
                  <v:rect id="_x0000_s1027" style="position:absolute;width:1948;height:1091" stroked="f"/>
                  <w10:wrap type="none"/>
                  <w10:anchorlock/>
                </v:group>
              </w:pict>
            </w:r>
          </w:p>
        </w:tc>
        <w:tc>
          <w:tcPr>
            <w:tcW w:w="2084" w:type="dxa"/>
          </w:tcPr>
          <w:p w:rsidR="00746FD6" w:rsidRDefault="00746FD6" w:rsidP="004332C8">
            <w:pPr>
              <w:pStyle w:val="TableParagraph"/>
              <w:rPr>
                <w:rFonts w:ascii="Times New Roman"/>
                <w:sz w:val="24"/>
              </w:rPr>
            </w:pPr>
          </w:p>
        </w:tc>
      </w:tr>
      <w:tr w:rsidR="00746FD6" w:rsidTr="004332C8">
        <w:trPr>
          <w:trHeight w:val="830"/>
        </w:trPr>
        <w:tc>
          <w:tcPr>
            <w:tcW w:w="4910" w:type="dxa"/>
          </w:tcPr>
          <w:p w:rsidR="00746FD6" w:rsidRDefault="00746FD6" w:rsidP="004332C8">
            <w:pPr>
              <w:pStyle w:val="TableParagraph"/>
              <w:rPr>
                <w:sz w:val="18"/>
              </w:rPr>
            </w:pPr>
          </w:p>
          <w:p w:rsidR="00746FD6" w:rsidRDefault="00746FD6" w:rsidP="004332C8">
            <w:pPr>
              <w:pStyle w:val="TableParagraph"/>
              <w:spacing w:before="1"/>
              <w:ind w:left="2235" w:right="2145"/>
              <w:jc w:val="center"/>
              <w:rPr>
                <w:sz w:val="24"/>
              </w:rPr>
            </w:pPr>
            <w:r>
              <w:rPr>
                <w:sz w:val="24"/>
              </w:rPr>
              <w:t>合计</w:t>
            </w:r>
          </w:p>
        </w:tc>
        <w:tc>
          <w:tcPr>
            <w:tcW w:w="1953" w:type="dxa"/>
          </w:tcPr>
          <w:p w:rsidR="00746FD6" w:rsidRDefault="00746FD6" w:rsidP="004332C8">
            <w:pPr>
              <w:pStyle w:val="TableParagraph"/>
              <w:rPr>
                <w:rFonts w:ascii="Times New Roman"/>
                <w:sz w:val="24"/>
              </w:rPr>
            </w:pPr>
          </w:p>
        </w:tc>
        <w:tc>
          <w:tcPr>
            <w:tcW w:w="2084" w:type="dxa"/>
          </w:tcPr>
          <w:p w:rsidR="00746FD6" w:rsidRDefault="00746FD6" w:rsidP="004332C8">
            <w:pPr>
              <w:pStyle w:val="TableParagraph"/>
              <w:rPr>
                <w:rFonts w:ascii="Times New Roman"/>
                <w:sz w:val="24"/>
              </w:rPr>
            </w:pPr>
          </w:p>
        </w:tc>
      </w:tr>
    </w:tbl>
    <w:p w:rsidR="00746FD6" w:rsidRDefault="00746FD6" w:rsidP="00746FD6"/>
    <w:p w:rsidR="008918F7" w:rsidRDefault="008918F7"/>
    <w:sectPr w:rsidR="008918F7" w:rsidSect="00257ADE">
      <w:pgSz w:w="11910" w:h="16840"/>
      <w:pgMar w:top="1580" w:right="1260" w:bottom="1520" w:left="1280" w:header="0" w:footer="1333"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FD6"/>
    <w:rsid w:val="006A0446"/>
    <w:rsid w:val="00746FD6"/>
    <w:rsid w:val="0075556D"/>
    <w:rsid w:val="0077036E"/>
    <w:rsid w:val="008918F7"/>
    <w:rsid w:val="00B37BCF"/>
    <w:rsid w:val="00C5261C"/>
    <w:rsid w:val="00D04373"/>
    <w:rsid w:val="00D13B60"/>
    <w:rsid w:val="00DC32EC"/>
    <w:rsid w:val="00ED5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6FD6"/>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46F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746FD6"/>
    <w:rPr>
      <w:sz w:val="32"/>
      <w:szCs w:val="32"/>
    </w:rPr>
  </w:style>
  <w:style w:type="character" w:customStyle="1" w:styleId="Char">
    <w:name w:val="正文文本 Char"/>
    <w:basedOn w:val="a0"/>
    <w:link w:val="a3"/>
    <w:uiPriority w:val="1"/>
    <w:rsid w:val="00746FD6"/>
    <w:rPr>
      <w:rFonts w:ascii="宋体" w:eastAsia="宋体" w:hAnsi="宋体" w:cs="宋体"/>
      <w:kern w:val="0"/>
      <w:sz w:val="32"/>
      <w:szCs w:val="32"/>
      <w:lang w:val="zh-CN" w:bidi="zh-CN"/>
    </w:rPr>
  </w:style>
  <w:style w:type="paragraph" w:customStyle="1" w:styleId="Heading1">
    <w:name w:val="Heading 1"/>
    <w:basedOn w:val="a"/>
    <w:uiPriority w:val="1"/>
    <w:qFormat/>
    <w:rsid w:val="00746FD6"/>
    <w:pPr>
      <w:spacing w:before="34"/>
      <w:ind w:left="1371" w:right="1392"/>
      <w:jc w:val="center"/>
      <w:outlineLvl w:val="1"/>
    </w:pPr>
    <w:rPr>
      <w:sz w:val="44"/>
      <w:szCs w:val="44"/>
    </w:rPr>
  </w:style>
  <w:style w:type="paragraph" w:customStyle="1" w:styleId="TableParagraph">
    <w:name w:val="Table Paragraph"/>
    <w:basedOn w:val="a"/>
    <w:uiPriority w:val="1"/>
    <w:qFormat/>
    <w:rsid w:val="00746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715</Characters>
  <Application>Microsoft Office Word</Application>
  <DocSecurity>0</DocSecurity>
  <Lines>5</Lines>
  <Paragraphs>1</Paragraphs>
  <ScaleCrop>false</ScaleCrop>
  <Company>CHINA</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1</cp:revision>
  <dcterms:created xsi:type="dcterms:W3CDTF">2019-07-15T02:11:00Z</dcterms:created>
  <dcterms:modified xsi:type="dcterms:W3CDTF">2019-07-15T02:12:00Z</dcterms:modified>
</cp:coreProperties>
</file>